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eastAsia="SimSun" w:cs="Times New Roman"/>
          <w:b/>
          <w:bCs/>
          <w:color w:val="222222"/>
          <w:sz w:val="22"/>
          <w:szCs w:val="22"/>
          <w:shd w:val="clear" w:color="auto" w:fill="FFFFFF"/>
        </w:rPr>
      </w:pPr>
      <w:bookmarkStart w:id="0" w:name="_GoBack"/>
      <w:bookmarkEnd w:id="0"/>
      <w:r>
        <w:rPr>
          <w:rFonts w:ascii="Times New Roman" w:hAnsi="Times New Roman" w:eastAsia="SimSun" w:cs="Times New Roman"/>
          <w:b/>
          <w:bCs/>
          <w:color w:val="222222"/>
          <w:sz w:val="22"/>
          <w:szCs w:val="22"/>
          <w:shd w:val="clear" w:color="auto" w:fill="FFFFFF"/>
        </w:rPr>
        <w:t>Supplementary Table 1</w:t>
      </w:r>
      <w:r>
        <w:rPr>
          <w:rFonts w:hint="eastAsia" w:ascii="Times New Roman" w:hAnsi="Times New Roman" w:eastAsia="SimSun" w:cs="Times New Roman"/>
          <w:b/>
          <w:bCs/>
          <w:color w:val="222222"/>
          <w:sz w:val="22"/>
          <w:szCs w:val="22"/>
          <w:shd w:val="clear" w:color="auto" w:fill="FFFFFF"/>
        </w:rPr>
        <w:t xml:space="preserve">. Cox regression analysis </w:t>
      </w:r>
      <w:r>
        <w:rPr>
          <w:rFonts w:ascii="Times New Roman" w:hAnsi="Times New Roman" w:eastAsia="SimSun" w:cs="Times New Roman"/>
          <w:b/>
          <w:bCs/>
          <w:color w:val="222222"/>
          <w:sz w:val="22"/>
          <w:szCs w:val="22"/>
          <w:shd w:val="clear" w:color="auto" w:fill="FFFFFF"/>
        </w:rPr>
        <w:t xml:space="preserve">for </w:t>
      </w:r>
      <w:r>
        <w:rPr>
          <w:rFonts w:hint="eastAsia" w:ascii="Times New Roman" w:hAnsi="Times New Roman" w:eastAsia="SimSun" w:cs="Times New Roman"/>
          <w:b/>
          <w:bCs/>
          <w:color w:val="222222"/>
          <w:sz w:val="22"/>
          <w:szCs w:val="22"/>
          <w:shd w:val="clear" w:color="auto" w:fill="FFFFFF"/>
        </w:rPr>
        <w:t xml:space="preserve">gestational </w:t>
      </w:r>
      <w:r>
        <w:rPr>
          <w:rFonts w:ascii="Times New Roman" w:hAnsi="Times New Roman" w:eastAsia="SimSun" w:cs="Times New Roman"/>
          <w:b/>
          <w:bCs/>
          <w:color w:val="222222"/>
          <w:sz w:val="22"/>
          <w:szCs w:val="22"/>
          <w:shd w:val="clear" w:color="auto" w:fill="FFFFFF"/>
        </w:rPr>
        <w:t>age</w:t>
      </w:r>
      <w:r>
        <w:rPr>
          <w:rFonts w:hint="eastAsia" w:ascii="Times New Roman" w:hAnsi="Times New Roman" w:eastAsia="SimSun" w:cs="Times New Roman"/>
          <w:b/>
          <w:bCs/>
          <w:color w:val="222222"/>
          <w:sz w:val="22"/>
          <w:szCs w:val="22"/>
          <w:shd w:val="clear" w:color="auto" w:fill="FFFFFF"/>
        </w:rPr>
        <w:t xml:space="preserve"> </w:t>
      </w:r>
      <w:r>
        <w:rPr>
          <w:rFonts w:ascii="Times New Roman" w:hAnsi="Times New Roman" w:eastAsia="SimSun" w:cs="Times New Roman"/>
          <w:b/>
          <w:bCs/>
          <w:color w:val="222222"/>
          <w:sz w:val="22"/>
          <w:szCs w:val="22"/>
          <w:shd w:val="clear" w:color="auto" w:fill="FFFFFF"/>
        </w:rPr>
        <w:t xml:space="preserve">and </w:t>
      </w:r>
      <w:r>
        <w:rPr>
          <w:rFonts w:hint="eastAsia" w:ascii="Times New Roman" w:hAnsi="Times New Roman" w:eastAsia="SimSun" w:cs="Times New Roman"/>
          <w:b/>
          <w:bCs/>
          <w:color w:val="222222"/>
          <w:sz w:val="22"/>
          <w:szCs w:val="22"/>
          <w:shd w:val="clear" w:color="auto" w:fill="FFFFFF"/>
        </w:rPr>
        <w:t>characteristics</w:t>
      </w:r>
      <w:r>
        <w:rPr>
          <w:rFonts w:ascii="Times New Roman" w:hAnsi="Times New Roman" w:eastAsia="SimSun" w:cs="Times New Roman"/>
          <w:b/>
          <w:bCs/>
          <w:color w:val="222222"/>
          <w:sz w:val="22"/>
          <w:szCs w:val="22"/>
          <w:shd w:val="clear" w:color="auto" w:fill="FFFFFF"/>
        </w:rPr>
        <w:t xml:space="preserve"> of ART-treated</w:t>
      </w:r>
      <w:r>
        <w:t xml:space="preserve"> </w:t>
      </w:r>
      <w:r>
        <w:rPr>
          <w:rFonts w:ascii="Times New Roman" w:hAnsi="Times New Roman" w:eastAsia="SimSun" w:cs="Times New Roman"/>
          <w:b/>
          <w:bCs/>
          <w:color w:val="222222"/>
          <w:sz w:val="22"/>
          <w:szCs w:val="22"/>
          <w:shd w:val="clear" w:color="auto" w:fill="FFFFFF"/>
        </w:rPr>
        <w:t>pregnant women</w:t>
      </w:r>
    </w:p>
    <w:tbl>
      <w:tblPr>
        <w:tblStyle w:val="4"/>
        <w:tblW w:w="9797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2"/>
        <w:gridCol w:w="2216"/>
        <w:gridCol w:w="1417"/>
        <w:gridCol w:w="2196"/>
        <w:gridCol w:w="14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32" w:type="dxa"/>
            <w:vMerge w:val="restart"/>
            <w:tcBorders>
              <w:top w:val="single" w:color="auto" w:sz="12" w:space="0"/>
              <w:bottom w:val="nil"/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Variables </w:t>
            </w:r>
          </w:p>
        </w:tc>
        <w:tc>
          <w:tcPr>
            <w:tcW w:w="3633" w:type="dxa"/>
            <w:gridSpan w:val="2"/>
            <w:tcBorders>
              <w:top w:val="single" w:color="auto" w:sz="12" w:space="0"/>
              <w:bottom w:val="single" w:color="auto" w:sz="4" w:space="0"/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Univariable analysis</w:t>
            </w:r>
          </w:p>
        </w:tc>
        <w:tc>
          <w:tcPr>
            <w:tcW w:w="3632" w:type="dxa"/>
            <w:gridSpan w:val="2"/>
            <w:tcBorders>
              <w:top w:val="single" w:color="auto" w:sz="12" w:space="0"/>
              <w:bottom w:val="single" w:color="auto" w:sz="4" w:space="0"/>
              <w:right w:val="nil"/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Multivariable analysis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32" w:type="dxa"/>
            <w:vMerge w:val="continue"/>
            <w:tcBorders>
              <w:top w:val="nil"/>
              <w:bottom w:val="single" w:color="auto" w:sz="4" w:space="0"/>
              <w:tl2br w:val="nil"/>
              <w:tr2bl w:val="nil"/>
            </w:tcBorders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16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HR (95% CI)</w:t>
            </w:r>
          </w:p>
        </w:tc>
        <w:tc>
          <w:tcPr>
            <w:tcW w:w="1417" w:type="dxa"/>
            <w:tcBorders>
              <w:top w:val="nil"/>
              <w:bottom w:val="single" w:color="auto" w:sz="4" w:space="0"/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bCs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</w:t>
            </w: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-Value</w:t>
            </w:r>
          </w:p>
        </w:tc>
        <w:tc>
          <w:tcPr>
            <w:tcW w:w="2196" w:type="dxa"/>
            <w:tcBorders>
              <w:top w:val="nil"/>
              <w:bottom w:val="single" w:color="auto" w:sz="4" w:space="0"/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HR (95% CI)</w:t>
            </w:r>
          </w:p>
        </w:tc>
        <w:tc>
          <w:tcPr>
            <w:tcW w:w="1436" w:type="dxa"/>
            <w:tcBorders>
              <w:top w:val="nil"/>
              <w:bottom w:val="nil"/>
              <w:right w:val="nil"/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bCs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</w:t>
            </w: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-Value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748" w:type="dxa"/>
            <w:gridSpan w:val="2"/>
            <w:tcBorders>
              <w:top w:val="single" w:color="auto" w:sz="4" w:space="0"/>
              <w:bottom w:val="nil"/>
              <w:tl2br w:val="nil"/>
              <w:tr2bl w:val="nil"/>
            </w:tcBorders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Pre-pregnancy characteristics</w:t>
            </w:r>
          </w:p>
        </w:tc>
        <w:tc>
          <w:tcPr>
            <w:tcW w:w="1417" w:type="dxa"/>
            <w:tcBorders>
              <w:top w:val="single" w:color="auto" w:sz="4" w:space="0"/>
              <w:bottom w:val="nil"/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op w:val="single" w:color="auto" w:sz="4" w:space="0"/>
              <w:bottom w:val="nil"/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36" w:type="dxa"/>
            <w:tcBorders>
              <w:top w:val="single" w:color="auto" w:sz="4" w:space="0"/>
              <w:bottom w:val="nil"/>
              <w:right w:val="nil"/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op w:val="nil"/>
              <w:tl2br w:val="nil"/>
              <w:tr2bl w:val="nil"/>
            </w:tcBorders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Age (years)</w:t>
            </w:r>
          </w:p>
        </w:tc>
        <w:tc>
          <w:tcPr>
            <w:tcW w:w="2216" w:type="dxa"/>
            <w:tcBorders>
              <w:top w:val="nil"/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  <w:tc>
          <w:tcPr>
            <w:tcW w:w="2196" w:type="dxa"/>
            <w:tcBorders>
              <w:top w:val="nil"/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36" w:type="dxa"/>
            <w:tcBorders>
              <w:top w:val="nil"/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18 - 24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Reference 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Reference 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25 - 34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0.91 (0.77 - 1.07)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0.91 (0.77 - 1.07)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35 - 44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0.98 (0.84 - 1.16)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0.97 (0.82 - 1.14)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≥ 45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1.41 (1.19 - 1.67)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1.28 (1.08 - 1.52)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Race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White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Reference 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Reference 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Black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1.56 (1.47 - 1.66)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1.38 (1.29 - 1.46)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AIAN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0.95 (0.62 - 1.44)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0.86 (0.57 - 1.31)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Asian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1.01 (0.96 - 1.05)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1.05 (1.00 - 1.10)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Pacific islander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1.27 (0.77 - 2.11)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1.22 (0.73 - 2.02)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More than one race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0.92 (0.81 - 1.04)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0.91 (0.80 - 1.03)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Pre-pregnancy BMI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Normal 18.5 - 24.9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Reference 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Underweight &lt; 18.5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0.96 (0.86 - 1.08)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0.98 (0.88 - 1.10)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Overweight 25.0 - 29.9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1.21 (1.17 - 1.26)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1.10 (1.05 - 1.14)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Obesity I 30.0 - 34.9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1.48 (1.41 - 1.55)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1.22 (1.16 - 1.28)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Obesity II 35.0 - 39.9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1.52 (1.43 - 1.62)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1.17 (1.10 - 1.25)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Obesity III ≥ 40.0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1.70 (1.57 - 1.84)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1.20 (1.11 - 1.31) 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Birth interval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no previous pregnancy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0 - 3 months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1.53 (1.42 - 1.65)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1.50 (1.38 - 1.62)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4 - 17 months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0.97 (0.92 - 1.01)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0.98 (0.93 - 1.03)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18 -35 months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0.89 (0.86 - 0.93)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0.95 (0.90 - 1.01)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36 - 59 months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0.99 (0.93 - 1.06)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1.03 (0.96 - 1.12)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 60 months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1.19 (1.12 - 1.27)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1.16 (1.08 - 1.25)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Obstetric history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Parity 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Nulliparous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Multiparous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0.94 (0.90 - 0.97)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0.84 (0.79 - 0.88)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Previous Cesarean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1.13 (1.08- 1.18)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1.15 (1.09 - 1.21)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Previous Preterm Birth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2.16 (2.02 - 2.31)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2.13 (1.98 - 2.28)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Pre-pregnancy Diabetes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2.21 (1.98 - 2.46)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1.63 (1.46 - 1.82)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748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Pre-pregnancy hypertension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2.11 (1.98 - 2.26)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1.95 (1.82 - 2.09)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748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Cigarettes Before Pregnancy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0.081</w:t>
            </w: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left="210" w:left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1.14 (0.99 - 1.32)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Pregnancy characteristics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748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Cigarettes During 1</w:t>
            </w: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 xml:space="preserve">st </w:t>
            </w: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Trimester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0.972</w:t>
            </w: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firstLine="220" w:firstLine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firstLine="220" w:firstLine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1.00 (0.78 - 1.28)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748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 xml:space="preserve">Cigarettes During </w:t>
            </w: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nd</w:t>
            </w: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 xml:space="preserve"> Trimester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0.980</w:t>
            </w: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firstLine="220" w:firstLine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firstLine="220" w:firstLine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1.00 (0.75 - 1.32)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748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 xml:space="preserve">Cigarettes During </w:t>
            </w: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 xml:space="preserve">rd </w:t>
            </w: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Trimester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0.892</w:t>
            </w: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firstLine="220" w:firstLine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firstLine="220" w:firstLine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1.02 (0.77 - 1.35)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Gestational Diabetes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firstLine="220" w:firstLine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firstLine="220" w:firstLine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1.34 (1.28 - 1.40)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1.15 (1.10 - 1.21)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Gestational Hypertension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firstLine="220" w:firstLine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firstLine="220" w:firstLine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2.33 (2.24 - 2.42)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2.22 (2.13 - 2.31)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Eclampsia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ind w:firstLine="220" w:firstLine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221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</w:tcPr>
          <w:p>
            <w:pPr>
              <w:widowControl/>
              <w:spacing w:line="480" w:lineRule="auto"/>
              <w:ind w:firstLine="220" w:firstLineChars="100"/>
              <w:jc w:val="left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2216" w:type="dxa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3.88 (3.32 - 4.53)</w:t>
            </w:r>
          </w:p>
        </w:tc>
        <w:tc>
          <w:tcPr>
            <w:tcW w:w="1417" w:type="dxa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3.16 (2.71 - 3.70)</w:t>
            </w:r>
          </w:p>
        </w:tc>
        <w:tc>
          <w:tcPr>
            <w:tcW w:w="1436" w:type="dxa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Fertility Enhancing Drugs</w:t>
            </w:r>
          </w:p>
        </w:tc>
        <w:tc>
          <w:tcPr>
            <w:tcW w:w="2216" w:type="dxa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17" w:type="dxa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0.046</w:t>
            </w:r>
          </w:p>
        </w:tc>
        <w:tc>
          <w:tcPr>
            <w:tcW w:w="2196" w:type="dxa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6" w:type="dxa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0.194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</w:tcPr>
          <w:p>
            <w:pPr>
              <w:widowControl/>
              <w:spacing w:line="480" w:lineRule="auto"/>
              <w:ind w:firstLine="220" w:firstLineChars="100"/>
              <w:jc w:val="left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2216" w:type="dxa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17" w:type="dxa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 xml:space="preserve">Reference </w:t>
            </w:r>
          </w:p>
        </w:tc>
        <w:tc>
          <w:tcPr>
            <w:tcW w:w="1436" w:type="dxa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32" w:type="dxa"/>
            <w:tcBorders>
              <w:bottom w:val="single" w:color="auto" w:sz="12" w:space="0"/>
            </w:tcBorders>
          </w:tcPr>
          <w:p>
            <w:pPr>
              <w:widowControl/>
              <w:spacing w:line="480" w:lineRule="auto"/>
              <w:ind w:firstLine="220" w:firstLineChars="100"/>
              <w:jc w:val="left"/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2216" w:type="dxa"/>
            <w:tcBorders>
              <w:bottom w:val="single" w:color="auto" w:sz="12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0.95 (0.91 - 1.00)</w:t>
            </w:r>
          </w:p>
        </w:tc>
        <w:tc>
          <w:tcPr>
            <w:tcW w:w="1417" w:type="dxa"/>
            <w:tcBorders>
              <w:bottom w:val="single" w:color="auto" w:sz="12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6" w:type="dxa"/>
            <w:tcBorders>
              <w:bottom w:val="single" w:color="auto" w:sz="12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  <w:t>0.97 (0.93 - 1.02)</w:t>
            </w:r>
          </w:p>
        </w:tc>
        <w:tc>
          <w:tcPr>
            <w:tcW w:w="1436" w:type="dxa"/>
            <w:tcBorders>
              <w:bottom w:val="single" w:color="auto" w:sz="12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>
      <w:pPr/>
      <w:r>
        <w:rPr>
          <w:rFonts w:hint="eastAsia" w:ascii="Times New Roman" w:hAnsi="Times New Roman" w:eastAsia="SimSun" w:cs="Times New Roman"/>
          <w:b/>
          <w:bCs/>
          <w:color w:val="222222"/>
          <w:sz w:val="22"/>
          <w:szCs w:val="22"/>
          <w:shd w:val="clear" w:color="auto" w:fill="FFFFFF"/>
        </w:rPr>
        <w:t xml:space="preserve"> </w:t>
      </w:r>
      <w:r>
        <w:rPr>
          <w:rFonts w:ascii="Times New Roman" w:hAnsi="Times New Roman" w:eastAsia="SimSun" w:cs="Times New Roman"/>
          <w:b/>
          <w:bCs/>
          <w:color w:val="222222"/>
          <w:sz w:val="22"/>
          <w:szCs w:val="22"/>
          <w:shd w:val="clear" w:color="auto" w:fill="FFFFFF"/>
        </w:rPr>
        <w:t xml:space="preserve">Abbreviation: </w:t>
      </w:r>
      <w:r>
        <w:rPr>
          <w:rFonts w:ascii="Times New Roman" w:hAnsi="Times New Roman" w:cs="Times New Roman"/>
          <w:sz w:val="22"/>
          <w:szCs w:val="22"/>
        </w:rPr>
        <w:t>American Indian or Alaskan Native</w:t>
      </w:r>
      <w:r>
        <w:rPr>
          <w:rFonts w:hint="eastAsia" w:ascii="Times New Roman" w:hAnsi="Times New Roman" w:cs="Times New Roman"/>
          <w:sz w:val="22"/>
          <w:szCs w:val="22"/>
        </w:rPr>
        <w:t xml:space="preserve"> (AIAN)</w:t>
      </w:r>
      <w:r>
        <w:rPr>
          <w:rFonts w:ascii="Times New Roman" w:hAnsi="Times New Roman" w:cs="Times New Roman"/>
          <w:sz w:val="22"/>
          <w:szCs w:val="22"/>
        </w:rPr>
        <w:t>; BMI: body mass index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libri Light"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977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2021-11-11T09:33:43Z</dcterms:created>
  <dc:creator>林雅端的iPad</dc:creator>
  <cp:lastModifiedBy>林雅端的iPad</cp:lastModifiedBy>
  <dcterms:modified xsi:type="dcterms:W3CDTF">2021-11-11T09:34:15Z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2052-11.16.1</vt:lpwstr>
  </property>
  <property fmtid="{D5CDD505-2E9C-101B-9397-08002B2CF9AE}" pid="3" name="ICV">
    <vt:lpwstr>B73670568851719AF7728C616F19D969</vt:lpwstr>
  </property>
</Properties>
</file>