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DA18A" w14:textId="4209B165" w:rsidR="00000C0B" w:rsidRDefault="00443E61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kern w:val="0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S3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>
        <w:rPr>
          <w:rFonts w:ascii="Times New Roman" w:hAnsi="Times New Roman" w:cs="Times New Roman"/>
          <w:bCs/>
          <w:kern w:val="0"/>
          <w:szCs w:val="21"/>
        </w:rPr>
        <w:t>Multivariate Cox regression analysis of LINC00460 expression and clinicopathologic variables predicting the survival of CRC patients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1809"/>
        <w:gridCol w:w="2410"/>
        <w:gridCol w:w="851"/>
        <w:gridCol w:w="2409"/>
        <w:gridCol w:w="1037"/>
      </w:tblGrid>
      <w:tr w:rsidR="00000C0B" w14:paraId="30D13CBE" w14:textId="77777777">
        <w:tc>
          <w:tcPr>
            <w:tcW w:w="1809" w:type="dxa"/>
            <w:vMerge w:val="restart"/>
            <w:tcBorders>
              <w:left w:val="nil"/>
              <w:right w:val="nil"/>
            </w:tcBorders>
            <w:vAlign w:val="center"/>
          </w:tcPr>
          <w:p w14:paraId="1D5ADBB0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Variables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ABD63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Overall Survival</w:t>
            </w: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305F9F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Disease Free Survival</w:t>
            </w:r>
          </w:p>
        </w:tc>
      </w:tr>
      <w:tr w:rsidR="00000C0B" w14:paraId="42E1804F" w14:textId="77777777">
        <w:tc>
          <w:tcPr>
            <w:tcW w:w="18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61400AA" w14:textId="77777777" w:rsidR="00000C0B" w:rsidRDefault="00000C0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A6A14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43F76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33C34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HR (95%CI)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9626C" w14:textId="77777777" w:rsidR="00000C0B" w:rsidRDefault="00443E6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</w:tr>
      <w:tr w:rsidR="00000C0B" w14:paraId="4F9E1D6F" w14:textId="77777777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041D94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LINC00460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EFB087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2.299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1.539-3.435)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53E4E3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80BAFF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2.751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1.052-7.198)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929D01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00C0B" w14:paraId="2A091AEF" w14:textId="77777777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7FDBFEB7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Age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C7B90D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1.288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0.923-1.797)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130A41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77D33FB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2.484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1.761-3.502)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79401240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0.051</w:t>
            </w:r>
          </w:p>
        </w:tc>
      </w:tr>
      <w:tr w:rsidR="00000C0B" w14:paraId="2F1C3F23" w14:textId="77777777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A5B1C11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Differentiat</w:t>
            </w:r>
            <w:r>
              <w:rPr>
                <w:rFonts w:ascii="Times New Roman" w:hAnsi="Times New Roman" w:cs="Times New Roman" w:hint="eastAsia"/>
                <w:szCs w:val="21"/>
              </w:rPr>
              <w:t>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507877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0.743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0.460-1.198)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2A413A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615194D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0.624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0.185-2.106)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1278608A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0.447</w:t>
            </w:r>
          </w:p>
        </w:tc>
      </w:tr>
      <w:tr w:rsidR="00000C0B" w14:paraId="3189D546" w14:textId="77777777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69AEF39C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Depth of invasion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C495F7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1.545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0.964-2.475)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BA0CF5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B8FDFF5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2.863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0.669-12.240)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198F8263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0.156</w:t>
            </w:r>
          </w:p>
        </w:tc>
      </w:tr>
      <w:tr w:rsidR="00000C0B" w14:paraId="509F66D2" w14:textId="77777777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0FC7B8F2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TNM stage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C0EDF92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2.861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1.774-4.614)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A3E510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7978EEC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6.244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1.911-20.404)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3C52D418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000C0B" w14:paraId="30FF2BC7" w14:textId="77777777"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878C8" w14:textId="77777777" w:rsidR="00000C0B" w:rsidRDefault="00443E6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L</w:t>
            </w:r>
            <w:r>
              <w:rPr>
                <w:rFonts w:ascii="Times New Roman" w:hAnsi="Times New Roman" w:cs="Times New Roman"/>
                <w:bCs/>
                <w:szCs w:val="21"/>
              </w:rPr>
              <w:t>NM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E591D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1.296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0.814-2.063)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2D79D0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6F6F5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2.484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1.761-3.502)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5CD90B" w14:textId="77777777" w:rsidR="00000C0B" w:rsidRDefault="00443E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0.275</w:t>
            </w:r>
          </w:p>
        </w:tc>
      </w:tr>
    </w:tbl>
    <w:p w14:paraId="483F2E49" w14:textId="77777777" w:rsidR="00000C0B" w:rsidRDefault="00443E6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Abbreviations: HR: Hazard Ratio; CI: Confidence Interval; LNM: Lymph Node Metastasis.</w:t>
      </w:r>
    </w:p>
    <w:p w14:paraId="3ADF7AD1" w14:textId="77777777" w:rsidR="00000C0B" w:rsidRDefault="00443E6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Variables*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hAnsi="Times New Roman" w:cs="Times New Roman"/>
          <w:szCs w:val="21"/>
        </w:rPr>
        <w:t xml:space="preserve"> LINC00460: Low </w:t>
      </w:r>
      <w:r>
        <w:rPr>
          <w:rFonts w:ascii="Times New Roman" w:hAnsi="Times New Roman" w:cs="Times New Roman"/>
          <w:i/>
          <w:szCs w:val="21"/>
        </w:rPr>
        <w:t xml:space="preserve">vs </w:t>
      </w:r>
      <w:r>
        <w:rPr>
          <w:rFonts w:ascii="Times New Roman" w:hAnsi="Times New Roman" w:cs="Times New Roman"/>
          <w:szCs w:val="21"/>
        </w:rPr>
        <w:t>High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Age</w:t>
      </w:r>
      <w:bookmarkStart w:id="1" w:name="OLE_LINK8"/>
      <w:bookmarkStart w:id="2" w:name="OLE_LINK7"/>
      <w:r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 w:hint="eastAsia"/>
          <w:szCs w:val="21"/>
        </w:rPr>
        <w:t>≤</w:t>
      </w:r>
      <w:r>
        <w:rPr>
          <w:rFonts w:ascii="Times New Roman" w:hAnsi="Times New Roman" w:cs="Times New Roman"/>
          <w:szCs w:val="21"/>
        </w:rPr>
        <w:t xml:space="preserve">60(years) </w:t>
      </w:r>
      <w:r>
        <w:rPr>
          <w:rFonts w:ascii="Times New Roman" w:hAnsi="Times New Roman" w:cs="Times New Roman"/>
          <w:i/>
          <w:szCs w:val="21"/>
        </w:rPr>
        <w:t>vs</w:t>
      </w:r>
      <w:r>
        <w:rPr>
          <w:rFonts w:ascii="Times New Roman" w:hAnsi="Times New Roman" w:cs="Times New Roman" w:hint="eastAsia"/>
          <w:szCs w:val="21"/>
        </w:rPr>
        <w:t>＞</w:t>
      </w:r>
      <w:r>
        <w:rPr>
          <w:rFonts w:ascii="Times New Roman" w:hAnsi="Times New Roman" w:cs="Times New Roman"/>
          <w:szCs w:val="21"/>
        </w:rPr>
        <w:t>60</w:t>
      </w:r>
      <w:bookmarkEnd w:id="1"/>
      <w:bookmarkEnd w:id="2"/>
      <w:r>
        <w:rPr>
          <w:rFonts w:ascii="Times New Roman" w:hAnsi="Times New Roman" w:cs="Times New Roman"/>
          <w:szCs w:val="21"/>
        </w:rPr>
        <w:t xml:space="preserve">(years); Differentiation: Poor </w:t>
      </w:r>
      <w:r>
        <w:rPr>
          <w:rFonts w:ascii="Times New Roman" w:hAnsi="Times New Roman" w:cs="Times New Roman"/>
          <w:i/>
          <w:szCs w:val="21"/>
        </w:rPr>
        <w:t>vs</w:t>
      </w:r>
      <w:r>
        <w:rPr>
          <w:rFonts w:ascii="Times New Roman" w:hAnsi="Times New Roman" w:cs="Times New Roman"/>
          <w:szCs w:val="21"/>
        </w:rPr>
        <w:t xml:space="preserve"> Moderate</w:t>
      </w:r>
      <w:r>
        <w:rPr>
          <w:rFonts w:ascii="Times New Roman" w:hAnsi="Times New Roman" w:cs="Times New Roman" w:hint="eastAsia"/>
          <w:szCs w:val="21"/>
        </w:rPr>
        <w:t>/</w:t>
      </w:r>
      <w:r>
        <w:rPr>
          <w:rFonts w:ascii="Times New Roman" w:hAnsi="Times New Roman" w:cs="Times New Roman"/>
          <w:szCs w:val="21"/>
        </w:rPr>
        <w:t xml:space="preserve">High; Depth of invasion: T1/T2 </w:t>
      </w:r>
      <w:r>
        <w:rPr>
          <w:rFonts w:ascii="Times New Roman" w:hAnsi="Times New Roman" w:cs="Times New Roman"/>
          <w:i/>
          <w:szCs w:val="21"/>
        </w:rPr>
        <w:t>vs</w:t>
      </w:r>
      <w:r>
        <w:rPr>
          <w:rFonts w:ascii="Times New Roman" w:hAnsi="Times New Roman" w:cs="Times New Roman"/>
          <w:szCs w:val="21"/>
        </w:rPr>
        <w:t xml:space="preserve"> T3/T4; TNM stage: I/II </w:t>
      </w:r>
      <w:r>
        <w:rPr>
          <w:rFonts w:ascii="Times New Roman" w:hAnsi="Times New Roman" w:cs="Times New Roman"/>
          <w:i/>
          <w:szCs w:val="21"/>
        </w:rPr>
        <w:t>vs</w:t>
      </w:r>
      <w:r>
        <w:rPr>
          <w:rFonts w:ascii="Times New Roman" w:hAnsi="Times New Roman" w:cs="Times New Roman"/>
          <w:szCs w:val="21"/>
        </w:rPr>
        <w:t xml:space="preserve"> III/IV; LNM: N0 </w:t>
      </w:r>
      <w:r>
        <w:rPr>
          <w:rFonts w:ascii="Times New Roman" w:hAnsi="Times New Roman" w:cs="Times New Roman"/>
          <w:i/>
          <w:szCs w:val="21"/>
        </w:rPr>
        <w:t xml:space="preserve">vs </w:t>
      </w:r>
      <w:r>
        <w:rPr>
          <w:rFonts w:ascii="Times New Roman" w:hAnsi="Times New Roman" w:cs="Times New Roman"/>
          <w:szCs w:val="21"/>
        </w:rPr>
        <w:t>N1/N2/N3.</w:t>
      </w:r>
    </w:p>
    <w:p w14:paraId="2A7764AA" w14:textId="77777777" w:rsidR="00000C0B" w:rsidRDefault="00000C0B"/>
    <w:sectPr w:rsidR="00000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56D2B07"/>
    <w:rsid w:val="00000C0B"/>
    <w:rsid w:val="00010293"/>
    <w:rsid w:val="00024BA3"/>
    <w:rsid w:val="000D001F"/>
    <w:rsid w:val="00100095"/>
    <w:rsid w:val="00134B49"/>
    <w:rsid w:val="001362E7"/>
    <w:rsid w:val="002A612A"/>
    <w:rsid w:val="002C00D7"/>
    <w:rsid w:val="0030012A"/>
    <w:rsid w:val="00304C31"/>
    <w:rsid w:val="00383A25"/>
    <w:rsid w:val="00400E41"/>
    <w:rsid w:val="00443E61"/>
    <w:rsid w:val="00444D50"/>
    <w:rsid w:val="0046084D"/>
    <w:rsid w:val="005107BE"/>
    <w:rsid w:val="00512F91"/>
    <w:rsid w:val="005D31A6"/>
    <w:rsid w:val="00607893"/>
    <w:rsid w:val="00696F0E"/>
    <w:rsid w:val="007231FB"/>
    <w:rsid w:val="007E022A"/>
    <w:rsid w:val="0086260F"/>
    <w:rsid w:val="008D14A6"/>
    <w:rsid w:val="009766D3"/>
    <w:rsid w:val="009C033D"/>
    <w:rsid w:val="00B101CF"/>
    <w:rsid w:val="00B21719"/>
    <w:rsid w:val="00C01AEE"/>
    <w:rsid w:val="00C12E9B"/>
    <w:rsid w:val="00D6009E"/>
    <w:rsid w:val="00DB2412"/>
    <w:rsid w:val="00E24E94"/>
    <w:rsid w:val="00E27EA0"/>
    <w:rsid w:val="00F17559"/>
    <w:rsid w:val="00F56AFD"/>
    <w:rsid w:val="00F76251"/>
    <w:rsid w:val="225E21B1"/>
    <w:rsid w:val="356D2B07"/>
    <w:rsid w:val="66A6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976E65"/>
  <w15:docId w15:val="{DDA73020-C149-4D86-A9E6-16499E52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houpingfu@163.com</cp:lastModifiedBy>
  <cp:revision>17</cp:revision>
  <cp:lastPrinted>2019-05-24T01:46:00Z</cp:lastPrinted>
  <dcterms:created xsi:type="dcterms:W3CDTF">2019-05-16T10:44:00Z</dcterms:created>
  <dcterms:modified xsi:type="dcterms:W3CDTF">2020-10-07T20:11:00Z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