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E1573">
      <w:r>
        <w:drawing>
          <wp:inline distT="0" distB="0" distL="114300" distR="114300">
            <wp:extent cx="4267835" cy="2077085"/>
            <wp:effectExtent l="0" t="0" r="24765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835" cy="2077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FD963D">
      <w:pPr>
        <w:rPr>
          <w:rStyle w:val="4"/>
          <w:rFonts w:hint="eastAsia" w:ascii="Times New Roman" w:hAnsi="Times New Roman" w:eastAsia="宋体" w:cs="Times New Roman"/>
          <w:b w:val="0"/>
          <w:bCs w:val="0"/>
          <w:color w:val="060607"/>
          <w:spacing w:val="4"/>
          <w:szCs w:val="21"/>
          <w:shd w:val="clear" w:color="auto" w:fill="FFFFFF"/>
          <w:lang w:val="en-GB"/>
        </w:rPr>
      </w:pPr>
      <w:r>
        <w:rPr>
          <w:rStyle w:val="4"/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val="en-GB"/>
        </w:rPr>
        <w:t>Supplementary Figure 1</w:t>
      </w:r>
      <w:r>
        <w:rPr>
          <w:rStyle w:val="4"/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val="en-US" w:eastAsia="zh-CN"/>
        </w:rPr>
        <w:t>:</w:t>
      </w:r>
      <w:bookmarkStart w:id="0" w:name="_GoBack"/>
      <w:bookmarkEnd w:id="0"/>
      <w:r>
        <w:rPr>
          <w:rStyle w:val="4"/>
          <w:rFonts w:hint="eastAsia" w:ascii="Times New Roman" w:hAnsi="Times New Roman" w:eastAsia="宋体" w:cs="Times New Roman"/>
          <w:color w:val="060607"/>
          <w:spacing w:val="4"/>
          <w:szCs w:val="21"/>
          <w:shd w:val="clear" w:color="auto" w:fill="FFFFFF"/>
          <w:lang w:val="en-GB"/>
        </w:rPr>
        <w:t xml:space="preserve"> </w:t>
      </w:r>
      <w:r>
        <w:rPr>
          <w:rStyle w:val="4"/>
          <w:rFonts w:hint="eastAsia" w:ascii="Times New Roman" w:hAnsi="Times New Roman" w:eastAsia="宋体" w:cs="Times New Roman"/>
          <w:b w:val="0"/>
          <w:bCs w:val="0"/>
          <w:color w:val="060607"/>
          <w:spacing w:val="4"/>
          <w:szCs w:val="21"/>
          <w:shd w:val="clear" w:color="auto" w:fill="FFFFFF"/>
          <w:lang w:val="en-GB"/>
        </w:rPr>
        <w:t>Polymerase chain reaction validation of TRAIL-/- mouse genotypes. The primer sequences used were 5′-GCCTTCTAACTGTGACCTT-3′ and 5′-CACTCACCTGCTTCATCTC-3′. A 100 bp DNA ladder marker was purchased from Takara. Genomic DNA extracted from mouse tail was amplified, separated by 3% agarose gel electrophoresis, and visualized as shown above. The PCR product lengths for wild-type (WT) and homozygous mutant (HO) mice were 228 bp and 152 bp, respectively, while heterozygous (HE) mice yielded both 228 bp and 152 bp products.</w:t>
      </w:r>
    </w:p>
    <w:p w14:paraId="31ABB9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F5D2F0F"/>
    <w:rsid w:val="8F5D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2026-02-06T14:14:00Z</dcterms:created>
  <dc:creator>日月星光</dc:creator>
  <cp:lastModifiedBy>日月星光</cp:lastModifiedBy>
  <dcterms:modified xsi:type="dcterms:W3CDTF">2026-02-06T14:19:57Z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B46C8AA4A30FE9ABB9868569C0613798_41</vt:lpwstr>
  </property>
</Properties>
</file>