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4032"/>
        <w:gridCol w:w="5040"/>
        <w:gridCol w:w="2160"/>
      </w:tblGrid>
      <w:tr>
        <w:trPr>
          <w:trHeight w:val="638" w:hRule="auto"/>
          <w:tblHeader/>
        </w:trPr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Our ecological finding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Individual-level evidence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Consistency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Kitagawa rate effect 94%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BMI-KOA: Women RR 1.38 vs Men RR 1.22 (P=0.04) (Szilagyi 2023)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Consistent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APC peak at age 47, 34-year stability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Natural menopause-KOA OR 1.3-1.8 (Gilmer 2023)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Consistent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D_Continental FMR 1.50 vs A_Tropical 0.81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Small-scale weather-OA studies, n&lt;800 (McAlindon 2007)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Novel ecological signal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Cold+Dry FMR=1.30, only group differing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No large-scale climate-KOA sex interaction studies available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Novel ecological signal</w:t>
            </w:r>
          </w:p>
        </w:tc>
      </w:tr>
      <w:tr>
        <w:trPr>
          <w:trHeight w:val="623" w:hRule="auto"/>
        </w:trPr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Knee vs Hip FMR not significantly different (P=0.87)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Knee F:M 1.5-2.0; Hip F:M lower (Faber 2024)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Direction consistent</w:t>
            </w:r>
          </w:p>
        </w:tc>
      </w:tr>
    </w:tbl>
    <w:sectPr>
      <w:pgMar w:header="708" w:bottom="1417" w:top="1417" w:right="1417" w:left="1417" w:footer="708" w:gutter="0"/>
      <w:pgSz w:h="16838" w:w="11906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2026-07-13T11:46:51Z</dcterms:modified>
  <cp:category/>
</cp:coreProperties>
</file>