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168"/>
        <w:gridCol w:w="3600"/>
        <w:gridCol w:w="5040"/>
      </w:tblGrid>
      <w:tr>
        <w:trPr>
          <w:trHeight w:val="638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Variable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Statistic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Interpretation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Temperature x Sex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β = -174.7, P &lt; 0.0001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Cold amplifies F-M gap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Vapor Pressure x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β = +817.1, P = 0.053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Borderline: humid amplifies gap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Precipitation x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β = -0.5, P = 0.035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Weak negative: more rain = slightly smaller gap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Koppen Zone x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χ² = 120.9, df=3, P &lt; 0.0001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D_Continental FMR=1.50 vs A_Tropical FMR=0.81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Climate Model Improvement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χ² = 267.9, df=6, P &lt; 0.0001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Climate explains 6.3% of remaining cross-country variance</w:t>
            </w:r>
          </w:p>
        </w:tc>
      </w:tr>
      <w:tr>
        <w:trPr>
          <w:trHeight w:val="623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Cold+Dry vs Others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F = 21.9, P &lt; 0.0001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Only Cold+Dry significantly different from other climate groups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2026-07-13T11:46:51Z</dcterms:modified>
  <cp:category/>
</cp:coreProperties>
</file>