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600"/>
        <w:gridCol w:w="1728"/>
        <w:gridCol w:w="5040"/>
      </w:tblGrid>
      <w:tr>
        <w:trPr>
          <w:trHeight w:val="638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Metric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Value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Interpretation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SDI coefficient (FMR~SDI)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1.204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Base model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SDI coefficient (FMR~SDI+UHC)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1.186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Adjusted for healthcare access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SDI attenuation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1.6%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Near-zero attenuation: healthcare access not the driver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VIF(SDI~UHC)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4.95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Below collinearity threshold (VIF&lt;5)</w:t>
            </w:r>
          </w:p>
        </w:tc>
      </w:tr>
      <w:tr>
        <w:trPr>
          <w:trHeight w:val="623" w:hRule="auto"/>
        </w:trPr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Residual-SDI correlation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r = 0.000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Residuals orthogonal to SDI: no spatial confounding</w:t>
            </w:r>
          </w:p>
        </w:tc>
      </w:tr>
    </w:tbl>
    <w:sectPr>
      <w:pgMar w:header="708" w:bottom="1417" w:top="1417" w:right="1417" w:left="1417" w:footer="708" w:gutter="0"/>
      <w:pgSz w:h="16838" w:w="11906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2026-07-13T11:46:50Z</dcterms:modified>
  <cp:category/>
</cp:coreProperties>
</file>