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37c66384954b4ed752c232ffd4fe2d177eaee8"/>
    <w:p>
      <w:pPr>
        <w:pStyle w:val="Heading1"/>
      </w:pPr>
      <w:r>
        <w:t xml:space="preserve">Additional File 1: Supplementary Methods and Results</w:t>
      </w:r>
    </w:p>
    <w:bookmarkStart w:id="12" w:name="supplementary-methods"/>
    <w:p>
      <w:pPr>
        <w:pStyle w:val="Heading2"/>
      </w:pPr>
      <w:r>
        <w:t xml:space="preserve">SUPPLEMENTARY METHODS</w:t>
      </w:r>
    </w:p>
    <w:bookmarkStart w:id="9" w:name="Xb14186d7090e7f3be27de17b29eb476de11a4b4"/>
    <w:p>
      <w:pPr>
        <w:pStyle w:val="Heading3"/>
      </w:pPr>
      <w:r>
        <w:t xml:space="preserve">Direction 5: SDI Tipping Point Analysis (Expanded)</w:t>
      </w:r>
    </w:p>
    <w:p>
      <w:pPr>
        <w:pStyle w:val="FirstParagraph"/>
      </w:pPr>
      <w:r>
        <w:t xml:space="preserve">Segmented regression (Muggeo 2003) was fitted to the FMR-SDI association with a single unknown breakpoint. The breakpoint search employed a grid of candidate SDI values from 0.4 to 0.95 in steps of 0.005, with the final breakpoint estimated at SDI = 0.823 (bootstrap 95% CI: 0.630-0.849; 1,000 bootstrap iterations). The left segment (SDI ≤ 0.823) showed a positive slope of +1.57 (P &lt; 0.001); the right segment (SDI &gt; 0.823) showed a negative slope of -4.05 (P = 0.089). Model R^2 was 0.156, below the pre-registered threshold of 0.3 for main-text reporting, so Direction 5 is reported as supplementary.</w:t>
      </w:r>
    </w:p>
    <w:p>
      <w:pPr>
        <w:pStyle w:val="BodyText"/>
      </w:pPr>
      <w:r>
        <w:t xml:space="preserve">Of 204 countries, 35 were above the breakpoint (SDI &gt; 0.823) in 2023. An additional 58 countries are projected to cross the SDI = 0.823 threshold within this century based on historical SDI growth rates (1990-2023 country-level linear trends), representing a potential shift in the global FMR distribution.</w:t>
      </w:r>
    </w:p>
    <w:bookmarkEnd w:id="9"/>
    <w:bookmarkStart w:id="10" w:name="X8e12fd7a671415705cbddddb45ddd3fc4cab82a"/>
    <w:p>
      <w:pPr>
        <w:pStyle w:val="Heading3"/>
      </w:pPr>
      <w:r>
        <w:t xml:space="preserve">Direction 6: High-SDI Plateau (Logistic S-Curve)</w:t>
      </w:r>
    </w:p>
    <w:p>
      <w:pPr>
        <w:pStyle w:val="FirstParagraph"/>
      </w:pPr>
      <w:r>
        <w:t xml:space="preserve">Logistic growth curves were fitted to high-SDI country KOA prevalence time series (SDI ≥ 0.85; n = 28 countries; 1990-2023):</w:t>
      </w:r>
    </w:p>
    <w:p>
      <w:pPr>
        <w:pStyle w:val="BodyText"/>
      </w:pPr>
      <w:r>
        <w:t xml:space="preserve">K(t) = L / (1 + exp(-k * (t - t0)))</w:t>
      </w:r>
    </w:p>
    <w:p>
      <w:pPr>
        <w:pStyle w:val="BodyText"/>
      </w:pPr>
      <w:r>
        <w:t xml:space="preserve">where L is the asymptotic prevalence, k is the growth rate, and t0 is the inflection year. Models were fitted by non-linear least squares (nls R function) for each sex separately, using country-median prevalence rates pooled across the high-SDI group.</w:t>
      </w:r>
    </w:p>
    <w:p>
      <w:pPr>
        <w:pStyle w:val="BodyText"/>
      </w:pPr>
      <w:r>
        <w:t xml:space="preserve">The female asymptotic KOA prevalence was estimated at 9,821 per 100,000 (inflection year 2008), while the male asymptote was 17,056 per 100,000 (inflection year 2056). The substantially lower female asymptote, combined with the earlier inflection, suggests that female KOA prevalence in high-SDI countries may be approaching a biological ceiling, while male KOA prevalence continues to rise toward a higher plateau approximately 35 years later. This finding is reported as supplementary because the logistic model requires longer time series for robust asymptote estimation.</w:t>
      </w:r>
    </w:p>
    <w:bookmarkEnd w:id="10"/>
    <w:bookmarkStart w:id="11" w:name="X9d69df1b0e626281f8e174103006676b72dfb77"/>
    <w:p>
      <w:pPr>
        <w:pStyle w:val="Heading3"/>
      </w:pPr>
      <w:r>
        <w:t xml:space="preserve">Leave-One-Region-Out Validation of the 47-Year Peak</w:t>
      </w:r>
    </w:p>
    <w:p>
      <w:pPr>
        <w:pStyle w:val="FirstParagraph"/>
      </w:pPr>
      <w:r>
        <w:t xml:space="preserve">To assess whether the F/M incidence ratio peak at age 47 was driven by any single GBD super-region, we systematically excluded each of the seven super-regions and re-computed the F/M incidence ratio by age group. The peak remained at age 47 (45-49 years) in all seven leave-one-out iterations, confirming that the finding is not an artifact of any single region’s data. The minimal F/M IRR at age 47 across all iterations was 1.72 (excluding Central/Eastern Europe and Central Asia); the maximum was 2.11 (excluding Sub-Saharan Africa).</w:t>
      </w:r>
    </w:p>
    <w:bookmarkEnd w:id="11"/>
    <w:bookmarkEnd w:id="12"/>
    <w:bookmarkStart w:id="19" w:name="supplementary-results"/>
    <w:p>
      <w:pPr>
        <w:pStyle w:val="Heading2"/>
      </w:pPr>
      <w:r>
        <w:t xml:space="preserve">SUPPLEMENTARY RESULTS</w:t>
      </w:r>
    </w:p>
    <w:bookmarkStart w:id="13" w:name="X8fa2d5ad96c3098fdad6c0c8ce6afb6d9b02a56"/>
    <w:p>
      <w:pPr>
        <w:pStyle w:val="Heading3"/>
      </w:pPr>
      <w:r>
        <w:t xml:space="preserve">Supplementary Table S1: Country-Level Data Completeness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Data source</w:t>
            </w:r>
          </w:p>
        </w:tc>
        <w:tc>
          <w:tcPr/>
          <w:p>
            <w:pPr>
              <w:pStyle w:val="Compact"/>
            </w:pPr>
            <w:r>
              <w:t xml:space="preserve">Countries with data</w:t>
            </w:r>
          </w:p>
        </w:tc>
        <w:tc>
          <w:tcPr/>
          <w:p>
            <w:pPr>
              <w:pStyle w:val="Compact"/>
            </w:pPr>
            <w:r>
              <w:t xml:space="preserve">Coverage of GBD 204 countries</w:t>
            </w:r>
          </w:p>
        </w:tc>
      </w:tr>
      <w:tr>
        <w:tc>
          <w:tcPr/>
          <w:p>
            <w:pPr>
              <w:pStyle w:val="Compact"/>
            </w:pPr>
            <w:r>
              <w:t xml:space="preserve">GBD 2023 KOA prevalence</w:t>
            </w:r>
          </w:p>
        </w:tc>
        <w:tc>
          <w:tcPr/>
          <w:p>
            <w:pPr>
              <w:pStyle w:val="Compact"/>
            </w:pPr>
            <w:r>
              <w:t xml:space="preserve">204</w:t>
            </w:r>
          </w:p>
        </w:tc>
        <w:tc>
          <w:tcPr/>
          <w:p>
            <w:pPr>
              <w:pStyle w:val="Compact"/>
            </w:pPr>
            <w:r>
              <w:t xml:space="preserve">100%</w:t>
            </w:r>
          </w:p>
        </w:tc>
      </w:tr>
      <w:tr>
        <w:tc>
          <w:tcPr/>
          <w:p>
            <w:pPr>
              <w:pStyle w:val="Compact"/>
            </w:pPr>
            <w:r>
              <w:t xml:space="preserve">SDI</w:t>
            </w:r>
          </w:p>
        </w:tc>
        <w:tc>
          <w:tcPr/>
          <w:p>
            <w:pPr>
              <w:pStyle w:val="Compact"/>
            </w:pPr>
            <w:r>
              <w:t xml:space="preserve">204</w:t>
            </w:r>
          </w:p>
        </w:tc>
        <w:tc>
          <w:tcPr/>
          <w:p>
            <w:pPr>
              <w:pStyle w:val="Compact"/>
            </w:pPr>
            <w:r>
              <w:t xml:space="preserve">100%</w:t>
            </w:r>
          </w:p>
        </w:tc>
      </w:tr>
      <w:tr>
        <w:tc>
          <w:tcPr/>
          <w:p>
            <w:pPr>
              <w:pStyle w:val="Compact"/>
            </w:pPr>
            <w:r>
              <w:t xml:space="preserve">WorldClim 2.1 climate</w:t>
            </w:r>
          </w:p>
        </w:tc>
        <w:tc>
          <w:tcPr/>
          <w:p>
            <w:pPr>
              <w:pStyle w:val="Compact"/>
            </w:pPr>
            <w:r>
              <w:t xml:space="preserve">204</w:t>
            </w:r>
          </w:p>
        </w:tc>
        <w:tc>
          <w:tcPr/>
          <w:p>
            <w:pPr>
              <w:pStyle w:val="Compact"/>
            </w:pPr>
            <w:r>
              <w:t xml:space="preserve">100%</w:t>
            </w:r>
          </w:p>
        </w:tc>
      </w:tr>
      <w:tr>
        <w:tc>
          <w:tcPr/>
          <w:p>
            <w:pPr>
              <w:pStyle w:val="Compact"/>
            </w:pPr>
            <w:r>
              <w:t xml:space="preserve">WHO obesity (female)</w:t>
            </w:r>
          </w:p>
        </w:tc>
        <w:tc>
          <w:tcPr/>
          <w:p>
            <w:pPr>
              <w:pStyle w:val="Compact"/>
            </w:pPr>
            <w:r>
              <w:t xml:space="preserve">200</w:t>
            </w:r>
          </w:p>
        </w:tc>
        <w:tc>
          <w:tcPr/>
          <w:p>
            <w:pPr>
              <w:pStyle w:val="Compact"/>
            </w:pPr>
            <w:r>
              <w:t xml:space="preserve">98.0%</w:t>
            </w:r>
          </w:p>
        </w:tc>
      </w:tr>
      <w:tr>
        <w:tc>
          <w:tcPr/>
          <w:p>
            <w:pPr>
              <w:pStyle w:val="Compact"/>
            </w:pPr>
            <w:r>
              <w:t xml:space="preserve">WHO obesity (male)</w:t>
            </w:r>
          </w:p>
        </w:tc>
        <w:tc>
          <w:tcPr/>
          <w:p>
            <w:pPr>
              <w:pStyle w:val="Compact"/>
            </w:pPr>
            <w:r>
              <w:t xml:space="preserve">193</w:t>
            </w:r>
          </w:p>
        </w:tc>
        <w:tc>
          <w:tcPr/>
          <w:p>
            <w:pPr>
              <w:pStyle w:val="Compact"/>
            </w:pPr>
            <w:r>
              <w:t xml:space="preserve">94.6%</w:t>
            </w:r>
          </w:p>
        </w:tc>
      </w:tr>
      <w:tr>
        <w:tc>
          <w:tcPr/>
          <w:p>
            <w:pPr>
              <w:pStyle w:val="Compact"/>
            </w:pPr>
            <w:r>
              <w:t xml:space="preserve">WHO physical inactivity (female)</w:t>
            </w:r>
          </w:p>
        </w:tc>
        <w:tc>
          <w:tcPr/>
          <w:p>
            <w:pPr>
              <w:pStyle w:val="Compact"/>
            </w:pPr>
            <w:r>
              <w:t xml:space="preserve">197</w:t>
            </w:r>
          </w:p>
        </w:tc>
        <w:tc>
          <w:tcPr/>
          <w:p>
            <w:pPr>
              <w:pStyle w:val="Compact"/>
            </w:pPr>
            <w:r>
              <w:t xml:space="preserve">96.6%</w:t>
            </w:r>
          </w:p>
        </w:tc>
      </w:tr>
      <w:tr>
        <w:tc>
          <w:tcPr/>
          <w:p>
            <w:pPr>
              <w:pStyle w:val="Compact"/>
            </w:pPr>
            <w:r>
              <w:t xml:space="preserve">WHO physical inactivity (male)</w:t>
            </w:r>
          </w:p>
        </w:tc>
        <w:tc>
          <w:tcPr/>
          <w:p>
            <w:pPr>
              <w:pStyle w:val="Compact"/>
            </w:pPr>
            <w:r>
              <w:t xml:space="preserve">194</w:t>
            </w:r>
          </w:p>
        </w:tc>
        <w:tc>
          <w:tcPr/>
          <w:p>
            <w:pPr>
              <w:pStyle w:val="Compact"/>
            </w:pPr>
            <w:r>
              <w:t xml:space="preserve">95.1%</w:t>
            </w:r>
          </w:p>
        </w:tc>
      </w:tr>
      <w:tr>
        <w:tc>
          <w:tcPr/>
          <w:p>
            <w:pPr>
              <w:pStyle w:val="Compact"/>
            </w:pPr>
            <w:r>
              <w:t xml:space="preserve">UHC Service Coverage Index</w:t>
            </w:r>
          </w:p>
        </w:tc>
        <w:tc>
          <w:tcPr/>
          <w:p>
            <w:pPr>
              <w:pStyle w:val="Compact"/>
            </w:pPr>
            <w:r>
              <w:t xml:space="preserve">194</w:t>
            </w:r>
          </w:p>
        </w:tc>
        <w:tc>
          <w:tcPr/>
          <w:p>
            <w:pPr>
              <w:pStyle w:val="Compact"/>
            </w:pPr>
            <w:r>
              <w:t xml:space="preserve">95.1%</w:t>
            </w:r>
          </w:p>
        </w:tc>
      </w:tr>
      <w:tr>
        <w:tc>
          <w:tcPr/>
          <w:p>
            <w:pPr>
              <w:pStyle w:val="Compact"/>
            </w:pPr>
            <w:r>
              <w:t xml:space="preserve">UN WPP 2024 population</w:t>
            </w:r>
          </w:p>
        </w:tc>
        <w:tc>
          <w:tcPr/>
          <w:p>
            <w:pPr>
              <w:pStyle w:val="Compact"/>
            </w:pPr>
            <w:r>
              <w:t xml:space="preserve">204</w:t>
            </w:r>
          </w:p>
        </w:tc>
        <w:tc>
          <w:tcPr/>
          <w:p>
            <w:pPr>
              <w:pStyle w:val="Compact"/>
            </w:pPr>
            <w:r>
              <w:t xml:space="preserve">100%</w:t>
            </w:r>
          </w:p>
        </w:tc>
      </w:tr>
      <w:tr>
        <w:tc>
          <w:tcPr/>
          <w:p>
            <w:pPr>
              <w:pStyle w:val="Compact"/>
            </w:pPr>
            <w:r>
              <w:t xml:space="preserve">World Bank urban %</w:t>
            </w:r>
          </w:p>
        </w:tc>
        <w:tc>
          <w:tcPr/>
          <w:p>
            <w:pPr>
              <w:pStyle w:val="Compact"/>
            </w:pPr>
            <w:r>
              <w:t xml:space="preserve">203</w:t>
            </w:r>
          </w:p>
        </w:tc>
        <w:tc>
          <w:tcPr/>
          <w:p>
            <w:pPr>
              <w:pStyle w:val="Compact"/>
            </w:pPr>
            <w:r>
              <w:t xml:space="preserve">99.5%</w:t>
            </w:r>
          </w:p>
        </w:tc>
      </w:tr>
      <w:tr>
        <w:tc>
          <w:tcPr/>
          <w:p>
            <w:pPr>
              <w:pStyle w:val="Compact"/>
            </w:pPr>
            <w:r>
              <w:t xml:space="preserve">World Bank GDP per capita</w:t>
            </w:r>
          </w:p>
        </w:tc>
        <w:tc>
          <w:tcPr/>
          <w:p>
            <w:pPr>
              <w:pStyle w:val="Compact"/>
            </w:pPr>
            <w:r>
              <w:t xml:space="preserve">195</w:t>
            </w:r>
          </w:p>
        </w:tc>
        <w:tc>
          <w:tcPr/>
          <w:p>
            <w:pPr>
              <w:pStyle w:val="Compact"/>
            </w:pPr>
            <w:r>
              <w:t xml:space="preserve">95.6%</w:t>
            </w:r>
          </w:p>
        </w:tc>
      </w:tr>
      <w:tr>
        <w:tc>
          <w:tcPr/>
          <w:p>
            <w:pPr>
              <w:pStyle w:val="Compact"/>
            </w:pPr>
            <w:r>
              <w:t xml:space="preserve">UNDP HDI</w:t>
            </w:r>
          </w:p>
        </w:tc>
        <w:tc>
          <w:tcPr/>
          <w:p>
            <w:pPr>
              <w:pStyle w:val="Compact"/>
            </w:pPr>
            <w:r>
              <w:t xml:space="preserve">191</w:t>
            </w:r>
          </w:p>
        </w:tc>
        <w:tc>
          <w:tcPr/>
          <w:p>
            <w:pPr>
              <w:pStyle w:val="Compact"/>
            </w:pPr>
            <w:r>
              <w:t xml:space="preserve">93.6%</w:t>
            </w:r>
          </w:p>
        </w:tc>
      </w:tr>
      <w:tr>
        <w:tc>
          <w:tcPr/>
          <w:p>
            <w:pPr>
              <w:pStyle w:val="Compact"/>
            </w:pPr>
            <w:r>
              <w:t xml:space="preserve">UNDP GII</w:t>
            </w:r>
          </w:p>
        </w:tc>
        <w:tc>
          <w:tcPr/>
          <w:p>
            <w:pPr>
              <w:pStyle w:val="Compact"/>
            </w:pPr>
            <w:r>
              <w:t xml:space="preserve">183</w:t>
            </w:r>
          </w:p>
        </w:tc>
        <w:tc>
          <w:tcPr/>
          <w:p>
            <w:pPr>
              <w:pStyle w:val="Compact"/>
            </w:pPr>
            <w:r>
              <w:t xml:space="preserve">89.7%</w:t>
            </w:r>
          </w:p>
        </w:tc>
      </w:tr>
      <w:tr>
        <w:tc>
          <w:tcPr/>
          <w:p>
            <w:pPr>
              <w:pStyle w:val="Compact"/>
            </w:pPr>
            <w:r>
              <w:t xml:space="preserve">Complete cases (all covariates)</w:t>
            </w:r>
          </w:p>
        </w:tc>
        <w:tc>
          <w:tcPr/>
          <w:p>
            <w:pPr>
              <w:pStyle w:val="Compact"/>
            </w:pPr>
            <w:r>
              <w:t xml:space="preserve">182</w:t>
            </w:r>
          </w:p>
        </w:tc>
        <w:tc>
          <w:tcPr/>
          <w:p>
            <w:pPr>
              <w:pStyle w:val="Compact"/>
            </w:pPr>
            <w:r>
              <w:t xml:space="preserve">89.2%</w:t>
            </w:r>
          </w:p>
        </w:tc>
      </w:tr>
    </w:tbl>
    <w:bookmarkEnd w:id="13"/>
    <w:bookmarkStart w:id="14" w:name="X8952aafae6ed6efb2f88dad9925b08f90600272"/>
    <w:p>
      <w:pPr>
        <w:pStyle w:val="Heading3"/>
      </w:pPr>
      <w:r>
        <w:t xml:space="preserve">Supplementary Table S2: Full Mixed-Effects Model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Model</w:t>
            </w:r>
          </w:p>
        </w:tc>
        <w:tc>
          <w:tcPr/>
          <w:p>
            <w:pPr>
              <w:pStyle w:val="Compact"/>
            </w:pPr>
            <w:r>
              <w:t xml:space="preserve">Fixed effects</w:t>
            </w:r>
          </w:p>
        </w:tc>
        <w:tc>
          <w:tcPr/>
          <w:p>
            <w:pPr>
              <w:pStyle w:val="Compact"/>
            </w:pPr>
            <w:r>
              <w:t xml:space="preserve">Marginal R^2</w:t>
            </w:r>
          </w:p>
        </w:tc>
        <w:tc>
          <w:tcPr/>
          <w:p>
            <w:pPr>
              <w:pStyle w:val="Compact"/>
            </w:pPr>
            <w:r>
              <w:t xml:space="preserve">Conditional R^2</w:t>
            </w:r>
          </w:p>
        </w:tc>
        <w:tc>
          <w:tcPr/>
          <w:p>
            <w:pPr>
              <w:pStyle w:val="Compact"/>
            </w:pPr>
            <w:r>
              <w:t xml:space="preserve">AIC</w:t>
            </w:r>
          </w:p>
        </w:tc>
      </w:tr>
      <w:tr>
        <w:tc>
          <w:tcPr/>
          <w:p>
            <w:pPr>
              <w:pStyle w:val="Compact"/>
            </w:pPr>
            <w:r>
              <w:t xml:space="preserve">M0 (null)</w:t>
            </w:r>
          </w:p>
        </w:tc>
        <w:tc>
          <w:tcPr/>
          <w:p>
            <w:pPr>
              <w:pStyle w:val="Compact"/>
            </w:pPr>
            <w:r>
              <w:t xml:space="preserve">1 | country</w:t>
            </w:r>
          </w:p>
        </w:tc>
        <w:tc>
          <w:tcPr/>
          <w:p>
            <w:pPr>
              <w:pStyle w:val="Compact"/>
            </w:pPr>
            <w:r>
              <w:t xml:space="preserve">—</w:t>
            </w:r>
          </w:p>
        </w:tc>
        <w:tc>
          <w:tcPr/>
          <w:p>
            <w:pPr>
              <w:pStyle w:val="Compact"/>
            </w:pPr>
            <w:r>
              <w:t xml:space="preserve">0.000</w:t>
            </w:r>
          </w:p>
        </w:tc>
        <w:tc>
          <w:tcPr/>
          <w:p>
            <w:pPr>
              <w:pStyle w:val="Compact"/>
            </w:pPr>
            <w:r>
              <w:t xml:space="preserve">6881.2</w:t>
            </w:r>
          </w:p>
        </w:tc>
      </w:tr>
      <w:tr>
        <w:tc>
          <w:tcPr/>
          <w:p>
            <w:pPr>
              <w:pStyle w:val="Compact"/>
            </w:pPr>
            <w:r>
              <w:t xml:space="preserve">M1 (sex only)</w:t>
            </w:r>
          </w:p>
        </w:tc>
        <w:tc>
          <w:tcPr/>
          <w:p>
            <w:pPr>
              <w:pStyle w:val="Compact"/>
            </w:pPr>
            <w:r>
              <w:t xml:space="preserve">sex</w:t>
            </w:r>
          </w:p>
        </w:tc>
        <w:tc>
          <w:tcPr/>
          <w:p>
            <w:pPr>
              <w:pStyle w:val="Compact"/>
            </w:pPr>
            <w:r>
              <w:t xml:space="preserve">0.002</w:t>
            </w:r>
          </w:p>
        </w:tc>
        <w:tc>
          <w:tcPr/>
          <w:p>
            <w:pPr>
              <w:pStyle w:val="Compact"/>
            </w:pPr>
            <w:r>
              <w:t xml:space="preserve">0.091</w:t>
            </w:r>
          </w:p>
        </w:tc>
        <w:tc>
          <w:tcPr/>
          <w:p>
            <w:pPr>
              <w:pStyle w:val="Compact"/>
            </w:pPr>
            <w:r>
              <w:t xml:space="preserve">6876.8</w:t>
            </w:r>
          </w:p>
        </w:tc>
      </w:tr>
      <w:tr>
        <w:tc>
          <w:tcPr/>
          <w:p>
            <w:pPr>
              <w:pStyle w:val="Compact"/>
            </w:pPr>
            <w:r>
              <w:t xml:space="preserve">M2 (+obesity)</w:t>
            </w:r>
          </w:p>
        </w:tc>
        <w:tc>
          <w:tcPr/>
          <w:p>
            <w:pPr>
              <w:pStyle w:val="Compact"/>
            </w:pPr>
            <w:r>
              <w:t xml:space="preserve">sex + obesity + sex:obesity</w:t>
            </w:r>
          </w:p>
        </w:tc>
        <w:tc>
          <w:tcPr/>
          <w:p>
            <w:pPr>
              <w:pStyle w:val="Compact"/>
            </w:pPr>
            <w:r>
              <w:t xml:space="preserve">0.215</w:t>
            </w:r>
          </w:p>
        </w:tc>
        <w:tc>
          <w:tcPr/>
          <w:p>
            <w:pPr>
              <w:pStyle w:val="Compact"/>
            </w:pPr>
            <w:r>
              <w:t xml:space="preserve">0.442</w:t>
            </w:r>
          </w:p>
        </w:tc>
        <w:tc>
          <w:tcPr/>
          <w:p>
            <w:pPr>
              <w:pStyle w:val="Compact"/>
            </w:pPr>
            <w:r>
              <w:t xml:space="preserve">6341.5</w:t>
            </w:r>
          </w:p>
        </w:tc>
      </w:tr>
      <w:tr>
        <w:tc>
          <w:tcPr/>
          <w:p>
            <w:pPr>
              <w:pStyle w:val="Compact"/>
            </w:pPr>
            <w:r>
              <w:t xml:space="preserve">M3 (+inactivity)</w:t>
            </w:r>
          </w:p>
        </w:tc>
        <w:tc>
          <w:tcPr/>
          <w:p>
            <w:pPr>
              <w:pStyle w:val="Compact"/>
            </w:pPr>
            <w:r>
              <w:t xml:space="preserve">M2 + physical_inactivity</w:t>
            </w:r>
          </w:p>
        </w:tc>
        <w:tc>
          <w:tcPr/>
          <w:p>
            <w:pPr>
              <w:pStyle w:val="Compact"/>
            </w:pPr>
            <w:r>
              <w:t xml:space="preserve">0.228</w:t>
            </w:r>
          </w:p>
        </w:tc>
        <w:tc>
          <w:tcPr/>
          <w:p>
            <w:pPr>
              <w:pStyle w:val="Compact"/>
            </w:pPr>
            <w:r>
              <w:t xml:space="preserve">0.451</w:t>
            </w:r>
          </w:p>
        </w:tc>
        <w:tc>
          <w:tcPr/>
          <w:p>
            <w:pPr>
              <w:pStyle w:val="Compact"/>
            </w:pPr>
            <w:r>
              <w:t xml:space="preserve">6332.1</w:t>
            </w:r>
          </w:p>
        </w:tc>
      </w:tr>
      <w:tr>
        <w:tc>
          <w:tcPr/>
          <w:p>
            <w:pPr>
              <w:pStyle w:val="Compact"/>
            </w:pPr>
            <w:r>
              <w:t xml:space="preserve">M4 (+SDI)</w:t>
            </w:r>
          </w:p>
        </w:tc>
        <w:tc>
          <w:tcPr/>
          <w:p>
            <w:pPr>
              <w:pStyle w:val="Compact"/>
            </w:pPr>
            <w:r>
              <w:t xml:space="preserve">M3 + SDI</w:t>
            </w:r>
          </w:p>
        </w:tc>
        <w:tc>
          <w:tcPr/>
          <w:p>
            <w:pPr>
              <w:pStyle w:val="Compact"/>
            </w:pPr>
            <w:r>
              <w:t xml:space="preserve">0.601</w:t>
            </w:r>
          </w:p>
        </w:tc>
        <w:tc>
          <w:tcPr/>
          <w:p>
            <w:pPr>
              <w:pStyle w:val="Compact"/>
            </w:pPr>
            <w:r>
              <w:t xml:space="preserve">0.728</w:t>
            </w:r>
          </w:p>
        </w:tc>
        <w:tc>
          <w:tcPr/>
          <w:p>
            <w:pPr>
              <w:pStyle w:val="Compact"/>
            </w:pPr>
            <w:r>
              <w:t xml:space="preserve">5587.3</w:t>
            </w:r>
          </w:p>
        </w:tc>
      </w:tr>
      <w:tr>
        <w:tc>
          <w:tcPr/>
          <w:p>
            <w:pPr>
              <w:pStyle w:val="Compact"/>
            </w:pPr>
            <w:r>
              <w:t xml:space="preserve">M5 (+aging)</w:t>
            </w:r>
          </w:p>
        </w:tc>
        <w:tc>
          <w:tcPr/>
          <w:p>
            <w:pPr>
              <w:pStyle w:val="Compact"/>
            </w:pPr>
            <w:r>
              <w:t xml:space="preserve">M4 + aging_rate</w:t>
            </w:r>
          </w:p>
        </w:tc>
        <w:tc>
          <w:tcPr/>
          <w:p>
            <w:pPr>
              <w:pStyle w:val="Compact"/>
            </w:pPr>
            <w:r>
              <w:t xml:space="preserve">0.733</w:t>
            </w:r>
          </w:p>
        </w:tc>
        <w:tc>
          <w:tcPr/>
          <w:p>
            <w:pPr>
              <w:pStyle w:val="Compact"/>
            </w:pPr>
            <w:r>
              <w:t xml:space="preserve">0.808</w:t>
            </w:r>
          </w:p>
        </w:tc>
        <w:tc>
          <w:tcPr/>
          <w:p>
            <w:pPr>
              <w:pStyle w:val="Compact"/>
            </w:pPr>
            <w:r>
              <w:t xml:space="preserve">5234.6</w:t>
            </w:r>
          </w:p>
        </w:tc>
      </w:tr>
      <w:tr>
        <w:tc>
          <w:tcPr/>
          <w:p>
            <w:pPr>
              <w:pStyle w:val="Compact"/>
            </w:pPr>
            <w:r>
              <w:t xml:space="preserve">M6 (+GDP)</w:t>
            </w:r>
          </w:p>
        </w:tc>
        <w:tc>
          <w:tcPr/>
          <w:p>
            <w:pPr>
              <w:pStyle w:val="Compact"/>
            </w:pPr>
            <w:r>
              <w:t xml:space="preserve">M5 + log(GDP)</w:t>
            </w:r>
          </w:p>
        </w:tc>
        <w:tc>
          <w:tcPr/>
          <w:p>
            <w:pPr>
              <w:pStyle w:val="Compact"/>
            </w:pPr>
            <w:r>
              <w:t xml:space="preserve">0.735</w:t>
            </w:r>
          </w:p>
        </w:tc>
        <w:tc>
          <w:tcPr/>
          <w:p>
            <w:pPr>
              <w:pStyle w:val="Compact"/>
            </w:pPr>
            <w:r>
              <w:t xml:space="preserve">0.810</w:t>
            </w:r>
          </w:p>
        </w:tc>
        <w:tc>
          <w:tcPr/>
          <w:p>
            <w:pPr>
              <w:pStyle w:val="Compact"/>
            </w:pPr>
            <w:r>
              <w:t xml:space="preserve">5231.2</w:t>
            </w:r>
          </w:p>
        </w:tc>
      </w:tr>
      <w:tr>
        <w:tc>
          <w:tcPr/>
          <w:p>
            <w:pPr>
              <w:pStyle w:val="Compact"/>
            </w:pPr>
            <w:r>
              <w:t xml:space="preserve">M7 (+urban)</w:t>
            </w:r>
          </w:p>
        </w:tc>
        <w:tc>
          <w:tcPr/>
          <w:p>
            <w:pPr>
              <w:pStyle w:val="Compact"/>
            </w:pPr>
            <w:r>
              <w:t xml:space="preserve">M6 + urbanization</w:t>
            </w:r>
          </w:p>
        </w:tc>
        <w:tc>
          <w:tcPr/>
          <w:p>
            <w:pPr>
              <w:pStyle w:val="Compact"/>
            </w:pPr>
            <w:r>
              <w:t xml:space="preserve">0.736</w:t>
            </w:r>
          </w:p>
        </w:tc>
        <w:tc>
          <w:tcPr/>
          <w:p>
            <w:pPr>
              <w:pStyle w:val="Compact"/>
            </w:pPr>
            <w:r>
              <w:t xml:space="preserve">0.811</w:t>
            </w:r>
          </w:p>
        </w:tc>
        <w:tc>
          <w:tcPr/>
          <w:p>
            <w:pPr>
              <w:pStyle w:val="Compact"/>
            </w:pPr>
            <w:r>
              <w:t xml:space="preserve">5230.8</w:t>
            </w:r>
          </w:p>
        </w:tc>
      </w:tr>
    </w:tbl>
    <w:p>
      <w:pPr>
        <w:pStyle w:val="BodyText"/>
      </w:pPr>
      <w:r>
        <w:t xml:space="preserve">All models include country-level random intercepts. Marginal R^2 = variance explained by fixed effects only. Conditional R^2 = variance explained by fixed + random effects. AIC = Akaike Information Criterion (lower = better fit). The sex-by-obesity interaction term was non-significant in all models (P &gt; 0.05).</w:t>
      </w:r>
    </w:p>
    <w:bookmarkEnd w:id="14"/>
    <w:bookmarkStart w:id="15" w:name="X8a621d0c2de17b75334e07042f7494e835d760a"/>
    <w:p>
      <w:pPr>
        <w:pStyle w:val="Heading3"/>
      </w:pPr>
      <w:r>
        <w:t xml:space="preserve">Supplementary Table S3: Cross-Lagged Panel Correlation Results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Lag</w:t>
            </w:r>
          </w:p>
        </w:tc>
        <w:tc>
          <w:tcPr/>
          <w:p>
            <w:pPr>
              <w:pStyle w:val="Compact"/>
            </w:pPr>
            <w:r>
              <w:t xml:space="preserve">Direction</w:t>
            </w:r>
          </w:p>
        </w:tc>
        <w:tc>
          <w:tcPr/>
          <w:p>
            <w:pPr>
              <w:pStyle w:val="Compact"/>
            </w:pPr>
            <w:r>
              <w:t xml:space="preserve">Pearson r</w:t>
            </w:r>
          </w:p>
        </w:tc>
        <w:tc>
          <w:tcPr/>
          <w:p>
            <w:pPr>
              <w:pStyle w:val="Compact"/>
            </w:pPr>
            <w:r>
              <w:t xml:space="preserve">P value</w:t>
            </w:r>
          </w:p>
        </w:tc>
        <w:tc>
          <w:tcPr/>
          <w:p>
            <w:pPr>
              <w:pStyle w:val="Compact"/>
            </w:pPr>
            <w:r>
              <w:t xml:space="preserve">N (country-years)</w:t>
            </w:r>
          </w:p>
        </w:tc>
      </w:tr>
      <w:tr>
        <w:tc>
          <w:tcPr/>
          <w:p>
            <w:pPr>
              <w:pStyle w:val="Compact"/>
            </w:pPr>
            <w:r>
              <w:t xml:space="preserve">5 years</w:t>
            </w:r>
          </w:p>
        </w:tc>
        <w:tc>
          <w:tcPr/>
          <w:p>
            <w:pPr>
              <w:pStyle w:val="Compact"/>
            </w:pPr>
            <w:r>
              <w:t xml:space="preserve">FMR(t) → SDI(t+5)</w:t>
            </w:r>
          </w:p>
        </w:tc>
        <w:tc>
          <w:tcPr/>
          <w:p>
            <w:pPr>
              <w:pStyle w:val="Compact"/>
            </w:pPr>
            <w:r>
              <w:t xml:space="preserve">+0.468</w:t>
            </w:r>
          </w:p>
        </w:tc>
        <w:tc>
          <w:tcPr/>
          <w:p>
            <w:pPr>
              <w:pStyle w:val="Compact"/>
            </w:pPr>
            <w:r>
              <w:t xml:space="preserve">&lt; 0.0001</w:t>
            </w:r>
          </w:p>
        </w:tc>
        <w:tc>
          <w:tcPr/>
          <w:p>
            <w:pPr>
              <w:pStyle w:val="Compact"/>
            </w:pPr>
            <w:r>
              <w:t xml:space="preserve">5,252</w:t>
            </w:r>
          </w:p>
        </w:tc>
      </w:tr>
      <w:tr>
        <w:tc>
          <w:tcPr/>
          <w:p>
            <w:pPr>
              <w:pStyle w:val="Compact"/>
            </w:pPr>
            <w:r>
              <w:t xml:space="preserve">5 years</w:t>
            </w:r>
          </w:p>
        </w:tc>
        <w:tc>
          <w:tcPr/>
          <w:p>
            <w:pPr>
              <w:pStyle w:val="Compact"/>
            </w:pPr>
            <w:r>
              <w:t xml:space="preserve">SDI(t) → FMR(t+5)</w:t>
            </w:r>
          </w:p>
        </w:tc>
        <w:tc>
          <w:tcPr/>
          <w:p>
            <w:pPr>
              <w:pStyle w:val="Compact"/>
            </w:pPr>
            <w:r>
              <w:t xml:space="preserve">+0.453</w:t>
            </w:r>
          </w:p>
        </w:tc>
        <w:tc>
          <w:tcPr/>
          <w:p>
            <w:pPr>
              <w:pStyle w:val="Compact"/>
            </w:pPr>
            <w:r>
              <w:t xml:space="preserve">&lt; 0.0001</w:t>
            </w:r>
          </w:p>
        </w:tc>
        <w:tc>
          <w:tcPr/>
          <w:p>
            <w:pPr>
              <w:pStyle w:val="Compact"/>
            </w:pPr>
            <w:r>
              <w:t xml:space="preserve">5,252</w:t>
            </w:r>
          </w:p>
        </w:tc>
      </w:tr>
      <w:tr>
        <w:tc>
          <w:tcPr/>
          <w:p>
            <w:pPr>
              <w:pStyle w:val="Compact"/>
            </w:pPr>
            <w:r>
              <w:t xml:space="preserve">10 years</w:t>
            </w:r>
          </w:p>
        </w:tc>
        <w:tc>
          <w:tcPr/>
          <w:p>
            <w:pPr>
              <w:pStyle w:val="Compact"/>
            </w:pPr>
            <w:r>
              <w:t xml:space="preserve">FMR(t) → SDI(t+10)</w:t>
            </w:r>
          </w:p>
        </w:tc>
        <w:tc>
          <w:tcPr/>
          <w:p>
            <w:pPr>
              <w:pStyle w:val="Compact"/>
            </w:pPr>
            <w:r>
              <w:t xml:space="preserve">+0.479</w:t>
            </w:r>
          </w:p>
        </w:tc>
        <w:tc>
          <w:tcPr/>
          <w:p>
            <w:pPr>
              <w:pStyle w:val="Compact"/>
            </w:pPr>
            <w:r>
              <w:t xml:space="preserve">&lt; 0.0001</w:t>
            </w:r>
          </w:p>
        </w:tc>
        <w:tc>
          <w:tcPr/>
          <w:p>
            <w:pPr>
              <w:pStyle w:val="Compact"/>
            </w:pPr>
            <w:r>
              <w:t xml:space="preserve">4,848</w:t>
            </w:r>
          </w:p>
        </w:tc>
      </w:tr>
      <w:tr>
        <w:tc>
          <w:tcPr/>
          <w:p>
            <w:pPr>
              <w:pStyle w:val="Compact"/>
            </w:pPr>
            <w:r>
              <w:t xml:space="preserve">10 years</w:t>
            </w:r>
          </w:p>
        </w:tc>
        <w:tc>
          <w:tcPr/>
          <w:p>
            <w:pPr>
              <w:pStyle w:val="Compact"/>
            </w:pPr>
            <w:r>
              <w:t xml:space="preserve">SDI(t) → FMR(t+10)</w:t>
            </w:r>
          </w:p>
        </w:tc>
        <w:tc>
          <w:tcPr/>
          <w:p>
            <w:pPr>
              <w:pStyle w:val="Compact"/>
            </w:pPr>
            <w:r>
              <w:t xml:space="preserve">+0.444</w:t>
            </w:r>
          </w:p>
        </w:tc>
        <w:tc>
          <w:tcPr/>
          <w:p>
            <w:pPr>
              <w:pStyle w:val="Compact"/>
            </w:pPr>
            <w:r>
              <w:t xml:space="preserve">&lt; 0.0001</w:t>
            </w:r>
          </w:p>
        </w:tc>
        <w:tc>
          <w:tcPr/>
          <w:p>
            <w:pPr>
              <w:pStyle w:val="Compact"/>
            </w:pPr>
            <w:r>
              <w:t xml:space="preserve">4,848</w:t>
            </w:r>
          </w:p>
        </w:tc>
      </w:tr>
    </w:tbl>
    <w:p>
      <w:pPr>
        <w:pStyle w:val="BodyText"/>
      </w:pPr>
      <w:r>
        <w:t xml:space="preserve">The 202-country panel spans 1990-2023. SDI is included as a time-varying covariate; FMR = female KOA prevalence / male KOA prevalence at each country-year observation.</w:t>
      </w:r>
    </w:p>
    <w:bookmarkEnd w:id="15"/>
    <w:bookmarkStart w:id="16" w:name="Xda4ace34fd5ba6d8b3f28306bf27e4d0c5f0ade"/>
    <w:p>
      <w:pPr>
        <w:pStyle w:val="Heading3"/>
      </w:pPr>
      <w:r>
        <w:t xml:space="preserve">Supplementary Table S4: Monte Carlo Simulation Parameters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Parameter</w:t>
            </w:r>
          </w:p>
        </w:tc>
        <w:tc>
          <w:tcPr/>
          <w:p>
            <w:pPr>
              <w:pStyle w:val="Compact"/>
            </w:pPr>
            <w:r>
              <w:t xml:space="preserve">Value</w:t>
            </w:r>
          </w:p>
        </w:tc>
      </w:tr>
      <w:tr>
        <w:tc>
          <w:tcPr/>
          <w:p>
            <w:pPr>
              <w:pStyle w:val="Compact"/>
            </w:pPr>
            <w:r>
              <w:t xml:space="preserve">Iterations</w:t>
            </w:r>
          </w:p>
        </w:tc>
        <w:tc>
          <w:tcPr/>
          <w:p>
            <w:pPr>
              <w:pStyle w:val="Compact"/>
            </w:pPr>
            <w:r>
              <w:t xml:space="preserve">10,000</w:t>
            </w:r>
          </w:p>
        </w:tc>
      </w:tr>
      <w:tr>
        <w:tc>
          <w:tcPr/>
          <w:p>
            <w:pPr>
              <w:pStyle w:val="Compact"/>
            </w:pPr>
            <w:r>
              <w:t xml:space="preserve">PAF prior distribution</w:t>
            </w:r>
          </w:p>
        </w:tc>
        <w:tc>
          <w:tcPr/>
          <w:p>
            <w:pPr>
              <w:pStyle w:val="Compact"/>
            </w:pPr>
            <w:r>
              <w:t xml:space="preserve">Beta(alpha, beta)</w:t>
            </w:r>
          </w:p>
        </w:tc>
      </w:tr>
      <w:tr>
        <w:tc>
          <w:tcPr/>
          <w:p>
            <w:pPr>
              <w:pStyle w:val="Compact"/>
            </w:pPr>
            <w:r>
              <w:t xml:space="preserve">Effective sample size (k)</w:t>
            </w:r>
          </w:p>
        </w:tc>
        <w:tc>
          <w:tcPr/>
          <w:p>
            <w:pPr>
              <w:pStyle w:val="Compact"/>
            </w:pPr>
            <w:r>
              <w:t xml:space="preserve">100</w:t>
            </w:r>
          </w:p>
        </w:tc>
      </w:tr>
      <w:tr>
        <w:tc>
          <w:tcPr/>
          <w:p>
            <w:pPr>
              <w:pStyle w:val="Compact"/>
            </w:pPr>
            <w:r>
              <w:t xml:space="preserve">Female obesity reduction scenarios</w:t>
            </w:r>
          </w:p>
        </w:tc>
        <w:tc>
          <w:tcPr/>
          <w:p>
            <w:pPr>
              <w:pStyle w:val="Compact"/>
            </w:pPr>
            <w:r>
              <w:t xml:space="preserve">5%, 10%, 20%</w:t>
            </w:r>
          </w:p>
        </w:tc>
      </w:tr>
      <w:tr>
        <w:tc>
          <w:tcPr/>
          <w:p>
            <w:pPr>
              <w:pStyle w:val="Compact"/>
            </w:pPr>
            <w:r>
              <w:t xml:space="preserve">PAF propagation</w:t>
            </w:r>
          </w:p>
        </w:tc>
        <w:tc>
          <w:tcPr/>
          <w:p>
            <w:pPr>
              <w:pStyle w:val="Compact"/>
            </w:pPr>
            <w:r>
              <w:t xml:space="preserve">Country × sex specific</w:t>
            </w:r>
          </w:p>
        </w:tc>
      </w:tr>
      <w:tr>
        <w:tc>
          <w:tcPr/>
          <w:p>
            <w:pPr>
              <w:pStyle w:val="Compact"/>
            </w:pPr>
            <w:r>
              <w:t xml:space="preserve">Output metrics</w:t>
            </w:r>
          </w:p>
        </w:tc>
        <w:tc>
          <w:tcPr/>
          <w:p>
            <w:pPr>
              <w:pStyle w:val="Compact"/>
            </w:pPr>
            <w:r>
              <w:t xml:space="preserve">FMR gap closure %, cases averted</w:t>
            </w:r>
          </w:p>
        </w:tc>
      </w:tr>
      <w:tr>
        <w:tc>
          <w:tcPr/>
          <w:p>
            <w:pPr>
              <w:pStyle w:val="Compact"/>
            </w:pPr>
            <w:r>
              <w:t xml:space="preserve">Uncertainty interval</w:t>
            </w:r>
          </w:p>
        </w:tc>
        <w:tc>
          <w:tcPr/>
          <w:p>
            <w:pPr>
              <w:pStyle w:val="Compact"/>
            </w:pPr>
            <w:r>
              <w:t xml:space="preserve">2.5th-97.5th percentile</w:t>
            </w:r>
          </w:p>
        </w:tc>
      </w:tr>
    </w:tbl>
    <w:bookmarkEnd w:id="16"/>
    <w:bookmarkStart w:id="17" w:name="Xe9251a93ea99f0d90341dda75bae8196caf0db3"/>
    <w:p>
      <w:pPr>
        <w:pStyle w:val="Heading3"/>
      </w:pPr>
      <w:r>
        <w:t xml:space="preserve">Japan-Korea Comparison: A Natural Experiment in Epidemiological Transition</w:t>
      </w:r>
    </w:p>
    <w:p>
      <w:pPr>
        <w:pStyle w:val="FirstParagraph"/>
      </w:pPr>
      <w:r>
        <w:t xml:space="preserve">Japan and the Republic of Korea share genetic ancestry, geographic proximity, and temperate climate but occupy different positions on the SDI spectrum (Japan SDI 0.89; Korea SDI 0.86 in 1990, rising to 0.92 by 2023). Japan’s KOA net drift was +0.09% per year (effectively a plateau), while Korea’s was +3.70% per year. The 40-fold difference in growth rates between these two demographically similar countries at different stages of epidemiological transition provides a natural experiment supporting the development-stage framework proposed in the main text.</w:t>
      </w:r>
    </w:p>
    <w:bookmarkEnd w:id="17"/>
    <w:bookmarkStart w:id="18" w:name="supplementary-figure-legends"/>
    <w:p>
      <w:pPr>
        <w:pStyle w:val="Heading3"/>
      </w:pPr>
      <w:r>
        <w:t xml:space="preserve">Supplementary Figure Legends</w:t>
      </w:r>
    </w:p>
    <w:p>
      <w:pPr>
        <w:pStyle w:val="FirstParagraph"/>
      </w:pPr>
      <w:r>
        <w:rPr>
          <w:b/>
          <w:bCs/>
        </w:rPr>
        <w:t xml:space="preserve">Supplementary Figure S1. Model diagnostics and sensitivity analyses.</w:t>
      </w:r>
      <w:r>
        <w:t xml:space="preserve"> </w:t>
      </w:r>
      <w:r>
        <w:t xml:space="preserve">(A) Segmented regression with breakpoint at SDI = 0.823 (dashed red line), showing separate linear fits for SDI below and above the breakpoint. (B) Logistic S-curve fitted to high-SDI country KOA prevalence time series, showing female asymptote (9,821/100K, inflection 2008) and male asymptote (17,056/100K, inflection 2056). (C) Age-period-cohort net drift comparison between Japan and Republic of Korea.</w:t>
      </w:r>
    </w:p>
    <w:p>
      <w:pPr>
        <w:pStyle w:val="BodyText"/>
      </w:pPr>
      <w:r>
        <w:rPr>
          <w:b/>
          <w:bCs/>
        </w:rPr>
        <w:t xml:space="preserve">Supplementary Figure S2. Regional heterogeneity and development tipping points.</w:t>
      </w:r>
      <w:r>
        <w:t xml:space="preserve"> </w:t>
      </w:r>
      <w:r>
        <w:t xml:space="preserve">(A) Forest plot of FMR-SDI Pearson correlations within each GBD super-region, with 95% confidence intervals (Cochrane’s Q = 23.7, P = 0.0006). (B) Count of countries projected to cross the SDI tipping point (SDI &gt; 0.845) by region; 35 above currently, 58 projected this century.</w:t>
      </w:r>
    </w:p>
    <w:bookmarkEnd w:id="18"/>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2026-07-14T01:30:56Z</dcterms:created>
  <dcterms:modified xsi:type="dcterms:W3CDTF">2026-07-14T01:30:56Z</dcterms:modified>
</cp:coreProperties>
</file>

<file path=docProps/custom.xml><?xml version="1.0" encoding="utf-8"?>
<Properties xmlns="http://schemas.openxmlformats.org/officeDocument/2006/custom-properties" xmlns:vt="http://schemas.openxmlformats.org/officeDocument/2006/docPropsVTypes"/>
</file>