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BF49" w14:textId="77777777" w:rsidR="00166917" w:rsidRPr="0085248F" w:rsidRDefault="00166917" w:rsidP="00166917">
      <w:pPr>
        <w:pStyle w:val="Heading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248F">
        <w:rPr>
          <w:rFonts w:ascii="Times New Roman" w:hAnsi="Times New Roman" w:cs="Times New Roman"/>
          <w:color w:val="auto"/>
          <w:sz w:val="24"/>
          <w:szCs w:val="24"/>
        </w:rPr>
        <w:t>Appendix A: Theme Summary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3969"/>
        <w:gridCol w:w="1927"/>
        <w:gridCol w:w="1771"/>
      </w:tblGrid>
      <w:tr w:rsidR="00166917" w:rsidRPr="0085248F" w14:paraId="425792E7" w14:textId="77777777" w:rsidTr="00C856B4">
        <w:tc>
          <w:tcPr>
            <w:tcW w:w="817" w:type="dxa"/>
            <w:shd w:val="clear" w:color="auto" w:fill="D9E1F2"/>
          </w:tcPr>
          <w:p w14:paraId="40591E26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b/>
                <w:sz w:val="24"/>
                <w:szCs w:val="24"/>
              </w:rPr>
              <w:t>Results section</w:t>
            </w:r>
          </w:p>
        </w:tc>
        <w:tc>
          <w:tcPr>
            <w:tcW w:w="4111" w:type="dxa"/>
            <w:shd w:val="clear" w:color="auto" w:fill="D9E1F2"/>
          </w:tcPr>
          <w:p w14:paraId="35E66E5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b/>
                <w:sz w:val="24"/>
                <w:szCs w:val="24"/>
              </w:rPr>
              <w:t>Theme summary</w:t>
            </w:r>
          </w:p>
        </w:tc>
        <w:tc>
          <w:tcPr>
            <w:tcW w:w="1984" w:type="dxa"/>
            <w:shd w:val="clear" w:color="auto" w:fill="D9E1F2"/>
          </w:tcPr>
          <w:p w14:paraId="64241E4D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b/>
                <w:sz w:val="24"/>
                <w:szCs w:val="24"/>
              </w:rPr>
              <w:t>Primary participant groups</w:t>
            </w:r>
          </w:p>
        </w:tc>
        <w:tc>
          <w:tcPr>
            <w:tcW w:w="1814" w:type="dxa"/>
            <w:shd w:val="clear" w:color="auto" w:fill="D9E1F2"/>
          </w:tcPr>
          <w:p w14:paraId="58AB653C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b/>
                <w:sz w:val="24"/>
                <w:szCs w:val="24"/>
              </w:rPr>
              <w:t>Illustrative IDs</w:t>
            </w:r>
          </w:p>
        </w:tc>
      </w:tr>
      <w:tr w:rsidR="00166917" w:rsidRPr="0085248F" w14:paraId="1140F618" w14:textId="77777777" w:rsidTr="00C856B4">
        <w:tc>
          <w:tcPr>
            <w:tcW w:w="817" w:type="dxa"/>
          </w:tcPr>
          <w:p w14:paraId="34AB752C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1" w:type="dxa"/>
          </w:tcPr>
          <w:p w14:paraId="30BAD6E0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Communication &amp; coaching drive satisfaction and trust</w:t>
            </w:r>
          </w:p>
        </w:tc>
        <w:tc>
          <w:tcPr>
            <w:tcW w:w="1984" w:type="dxa"/>
          </w:tcPr>
          <w:p w14:paraId="0AD22A91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 + HCPs</w:t>
            </w:r>
          </w:p>
        </w:tc>
        <w:tc>
          <w:tcPr>
            <w:tcW w:w="1814" w:type="dxa"/>
          </w:tcPr>
          <w:p w14:paraId="3BB7B25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M01, M11; HCP12</w:t>
            </w:r>
          </w:p>
        </w:tc>
      </w:tr>
      <w:tr w:rsidR="00166917" w:rsidRPr="0085248F" w14:paraId="497FB088" w14:textId="77777777" w:rsidTr="00C856B4">
        <w:tc>
          <w:tcPr>
            <w:tcW w:w="817" w:type="dxa"/>
          </w:tcPr>
          <w:p w14:paraId="042DA55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11" w:type="dxa"/>
          </w:tcPr>
          <w:p w14:paraId="662C3A3D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Community expectations shape experience; coercion norms can be normalised</w:t>
            </w:r>
          </w:p>
        </w:tc>
        <w:tc>
          <w:tcPr>
            <w:tcW w:w="1984" w:type="dxa"/>
          </w:tcPr>
          <w:p w14:paraId="49C3353D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</w:t>
            </w:r>
          </w:p>
        </w:tc>
        <w:tc>
          <w:tcPr>
            <w:tcW w:w="1814" w:type="dxa"/>
          </w:tcPr>
          <w:p w14:paraId="60DE4165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M01, M11</w:t>
            </w:r>
          </w:p>
        </w:tc>
      </w:tr>
      <w:tr w:rsidR="00166917" w:rsidRPr="0085248F" w14:paraId="524F3430" w14:textId="77777777" w:rsidTr="00C856B4">
        <w:tc>
          <w:tcPr>
            <w:tcW w:w="817" w:type="dxa"/>
          </w:tcPr>
          <w:p w14:paraId="42A44060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11" w:type="dxa"/>
          </w:tcPr>
          <w:p w14:paraId="32467D17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Involvement stronger in routine labour; weaker in operative contexts</w:t>
            </w:r>
          </w:p>
        </w:tc>
        <w:tc>
          <w:tcPr>
            <w:tcW w:w="1984" w:type="dxa"/>
          </w:tcPr>
          <w:p w14:paraId="5539A981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 + HCPs</w:t>
            </w:r>
          </w:p>
        </w:tc>
        <w:tc>
          <w:tcPr>
            <w:tcW w:w="1814" w:type="dxa"/>
          </w:tcPr>
          <w:p w14:paraId="2028A50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M05, M09; HCP15</w:t>
            </w:r>
          </w:p>
        </w:tc>
      </w:tr>
      <w:tr w:rsidR="00166917" w:rsidRPr="0085248F" w14:paraId="04091882" w14:textId="77777777" w:rsidTr="00C856B4">
        <w:tc>
          <w:tcPr>
            <w:tcW w:w="817" w:type="dxa"/>
          </w:tcPr>
          <w:p w14:paraId="4391F5F2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111" w:type="dxa"/>
          </w:tcPr>
          <w:p w14:paraId="51951CF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Companionship valued but constrained by space/privacy</w:t>
            </w:r>
          </w:p>
        </w:tc>
        <w:tc>
          <w:tcPr>
            <w:tcW w:w="1984" w:type="dxa"/>
          </w:tcPr>
          <w:p w14:paraId="6084A6E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 + HCPs</w:t>
            </w:r>
          </w:p>
        </w:tc>
        <w:tc>
          <w:tcPr>
            <w:tcW w:w="1814" w:type="dxa"/>
          </w:tcPr>
          <w:p w14:paraId="5C034208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M10, M11; HCP12</w:t>
            </w:r>
          </w:p>
        </w:tc>
      </w:tr>
      <w:tr w:rsidR="00166917" w:rsidRPr="0085248F" w14:paraId="32B63C70" w14:textId="77777777" w:rsidTr="00C856B4">
        <w:tc>
          <w:tcPr>
            <w:tcW w:w="817" w:type="dxa"/>
          </w:tcPr>
          <w:p w14:paraId="6BFDE068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111" w:type="dxa"/>
          </w:tcPr>
          <w:p w14:paraId="0596E3EE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Companionship needs role clarity to prevent interference and protect privacy</w:t>
            </w:r>
          </w:p>
        </w:tc>
        <w:tc>
          <w:tcPr>
            <w:tcW w:w="1984" w:type="dxa"/>
          </w:tcPr>
          <w:p w14:paraId="08B2D58A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4FB6CBD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HCP08, HCP17</w:t>
            </w:r>
          </w:p>
        </w:tc>
      </w:tr>
      <w:tr w:rsidR="00166917" w:rsidRPr="0085248F" w14:paraId="00D4DC39" w14:textId="77777777" w:rsidTr="00C856B4">
        <w:tc>
          <w:tcPr>
            <w:tcW w:w="817" w:type="dxa"/>
          </w:tcPr>
          <w:p w14:paraId="143965EA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14:paraId="79077196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LCG improves reasoning, escalation, continuity</w:t>
            </w:r>
          </w:p>
        </w:tc>
        <w:tc>
          <w:tcPr>
            <w:tcW w:w="1984" w:type="dxa"/>
          </w:tcPr>
          <w:p w14:paraId="2D9D6E72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0BA2D512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HCP01, HCP11</w:t>
            </w:r>
          </w:p>
        </w:tc>
      </w:tr>
      <w:tr w:rsidR="00166917" w:rsidRPr="0085248F" w14:paraId="52097C46" w14:textId="77777777" w:rsidTr="00C856B4">
        <w:tc>
          <w:tcPr>
            <w:tcW w:w="817" w:type="dxa"/>
          </w:tcPr>
          <w:p w14:paraId="01113188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111" w:type="dxa"/>
          </w:tcPr>
          <w:p w14:paraId="0BA5D21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Accountability shift improves governance but can reduce documentation</w:t>
            </w:r>
          </w:p>
        </w:tc>
        <w:tc>
          <w:tcPr>
            <w:tcW w:w="1984" w:type="dxa"/>
          </w:tcPr>
          <w:p w14:paraId="7378F38F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02249F8C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HCP11, HCP15</w:t>
            </w:r>
          </w:p>
        </w:tc>
      </w:tr>
      <w:tr w:rsidR="00166917" w:rsidRPr="0085248F" w14:paraId="5C9F6036" w14:textId="77777777" w:rsidTr="00C856B4">
        <w:tc>
          <w:tcPr>
            <w:tcW w:w="817" w:type="dxa"/>
          </w:tcPr>
          <w:p w14:paraId="50F16F0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111" w:type="dxa"/>
          </w:tcPr>
          <w:p w14:paraId="593D8270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Women rarely recall LCG explanation; providers report engagement</w:t>
            </w:r>
          </w:p>
        </w:tc>
        <w:tc>
          <w:tcPr>
            <w:tcW w:w="1984" w:type="dxa"/>
          </w:tcPr>
          <w:p w14:paraId="27C1D82F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 + HCPs</w:t>
            </w:r>
          </w:p>
        </w:tc>
        <w:tc>
          <w:tcPr>
            <w:tcW w:w="1814" w:type="dxa"/>
          </w:tcPr>
          <w:p w14:paraId="528F4037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M01; HCP15</w:t>
            </w:r>
          </w:p>
        </w:tc>
      </w:tr>
      <w:tr w:rsidR="00166917" w:rsidRPr="0085248F" w14:paraId="50D7BFF0" w14:textId="77777777" w:rsidTr="00C856B4">
        <w:tc>
          <w:tcPr>
            <w:tcW w:w="817" w:type="dxa"/>
          </w:tcPr>
          <w:p w14:paraId="693AD67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111" w:type="dxa"/>
          </w:tcPr>
          <w:p w14:paraId="1142DE8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‘Give chance’ tension: reduced unnecessary interventions vs delay concerns</w:t>
            </w:r>
          </w:p>
        </w:tc>
        <w:tc>
          <w:tcPr>
            <w:tcW w:w="1984" w:type="dxa"/>
          </w:tcPr>
          <w:p w14:paraId="4D5F196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545EB878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HCP20, HCP21</w:t>
            </w:r>
          </w:p>
        </w:tc>
      </w:tr>
      <w:tr w:rsidR="00166917" w:rsidRPr="0085248F" w14:paraId="0381A220" w14:textId="77777777" w:rsidTr="00C856B4">
        <w:tc>
          <w:tcPr>
            <w:tcW w:w="817" w:type="dxa"/>
          </w:tcPr>
          <w:p w14:paraId="7FEB4D0D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111" w:type="dxa"/>
          </w:tcPr>
          <w:p w14:paraId="00F7D706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Workload/time constraints undermine fidelity</w:t>
            </w:r>
          </w:p>
        </w:tc>
        <w:tc>
          <w:tcPr>
            <w:tcW w:w="1984" w:type="dxa"/>
          </w:tcPr>
          <w:p w14:paraId="3F00B8DA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19C05B77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HCP02, HCP21</w:t>
            </w:r>
          </w:p>
        </w:tc>
      </w:tr>
      <w:tr w:rsidR="00166917" w:rsidRPr="0085248F" w14:paraId="294AA7B8" w14:textId="77777777" w:rsidTr="00C856B4">
        <w:tc>
          <w:tcPr>
            <w:tcW w:w="817" w:type="dxa"/>
          </w:tcPr>
          <w:p w14:paraId="1F355A7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111" w:type="dxa"/>
          </w:tcPr>
          <w:p w14:paraId="5CDBC9CA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Uneven training diffusion; peer summaries spread confusion</w:t>
            </w:r>
          </w:p>
        </w:tc>
        <w:tc>
          <w:tcPr>
            <w:tcW w:w="1984" w:type="dxa"/>
          </w:tcPr>
          <w:p w14:paraId="76D92651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039FECC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HCP06, HCP22</w:t>
            </w:r>
          </w:p>
        </w:tc>
      </w:tr>
      <w:tr w:rsidR="00166917" w:rsidRPr="0085248F" w14:paraId="1FF12CBE" w14:textId="77777777" w:rsidTr="00C856B4">
        <w:tc>
          <w:tcPr>
            <w:tcW w:w="817" w:type="dxa"/>
          </w:tcPr>
          <w:p w14:paraId="3010FE22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111" w:type="dxa"/>
          </w:tcPr>
          <w:p w14:paraId="16F2325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Usability issues: time/second stage/space/posture</w:t>
            </w:r>
          </w:p>
        </w:tc>
        <w:tc>
          <w:tcPr>
            <w:tcW w:w="1984" w:type="dxa"/>
          </w:tcPr>
          <w:p w14:paraId="64824B8F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759994DF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HCP04, HCP03, HCP21</w:t>
            </w:r>
          </w:p>
        </w:tc>
      </w:tr>
      <w:tr w:rsidR="00166917" w:rsidRPr="0085248F" w14:paraId="5838960B" w14:textId="77777777" w:rsidTr="00C856B4">
        <w:tc>
          <w:tcPr>
            <w:tcW w:w="817" w:type="dxa"/>
          </w:tcPr>
          <w:p w14:paraId="024E4713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111" w:type="dxa"/>
          </w:tcPr>
          <w:p w14:paraId="10095369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Resources/infrastructure and stationery affect feasibility and continuity</w:t>
            </w:r>
          </w:p>
        </w:tc>
        <w:tc>
          <w:tcPr>
            <w:tcW w:w="1984" w:type="dxa"/>
          </w:tcPr>
          <w:p w14:paraId="50D19CC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HCPs</w:t>
            </w:r>
          </w:p>
        </w:tc>
        <w:tc>
          <w:tcPr>
            <w:tcW w:w="1814" w:type="dxa"/>
          </w:tcPr>
          <w:p w14:paraId="1477EFD6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HCP18, HCP16</w:t>
            </w:r>
          </w:p>
        </w:tc>
      </w:tr>
      <w:tr w:rsidR="00166917" w:rsidRPr="0085248F" w14:paraId="14046CB7" w14:textId="77777777" w:rsidTr="00C856B4">
        <w:tc>
          <w:tcPr>
            <w:tcW w:w="817" w:type="dxa"/>
          </w:tcPr>
          <w:p w14:paraId="0DE111C5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111" w:type="dxa"/>
          </w:tcPr>
          <w:p w14:paraId="0E736A04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Sustainability requires system alignment, mentorship; postpartum gaps persist</w:t>
            </w:r>
          </w:p>
        </w:tc>
        <w:tc>
          <w:tcPr>
            <w:tcW w:w="1984" w:type="dxa"/>
          </w:tcPr>
          <w:p w14:paraId="7CB6DECF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Mothers + HCPs</w:t>
            </w:r>
          </w:p>
        </w:tc>
        <w:tc>
          <w:tcPr>
            <w:tcW w:w="1814" w:type="dxa"/>
          </w:tcPr>
          <w:p w14:paraId="0E8EB6B8" w14:textId="77777777" w:rsidR="00166917" w:rsidRPr="0085248F" w:rsidRDefault="00166917" w:rsidP="00C85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48F">
              <w:rPr>
                <w:rFonts w:ascii="Times New Roman" w:hAnsi="Times New Roman" w:cs="Times New Roman"/>
                <w:sz w:val="24"/>
                <w:szCs w:val="24"/>
              </w:rPr>
              <w:t>HCP15, HCP18; M09, M02</w:t>
            </w:r>
          </w:p>
        </w:tc>
      </w:tr>
    </w:tbl>
    <w:p w14:paraId="08CB60FB" w14:textId="77777777" w:rsidR="00166917" w:rsidRPr="0085248F" w:rsidRDefault="00166917" w:rsidP="001669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0E204" w14:textId="77777777" w:rsidR="00EB4A2D" w:rsidRDefault="00EB4A2D"/>
    <w:sectPr w:rsidR="00EB4A2D" w:rsidSect="00166917"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17"/>
    <w:rsid w:val="00166917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7C040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6D67"/>
  <w15:chartTrackingRefBased/>
  <w15:docId w15:val="{7848765F-5ED9-4F67-BB97-6CEEAF84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917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9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9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91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91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91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91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91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91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91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6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91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91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6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917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6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9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6691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6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2026-08-14T12:51:00Z</dcterms:created>
  <dcterms:modified xsi:type="dcterms:W3CDTF">2026-08-14T12:51:00Z</dcterms:modified>
</cp:coreProperties>
</file>