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A1E65A" w14:textId="3B41F651" w:rsidR="00DF36B0" w:rsidRDefault="001038A2" w:rsidP="001038A2">
      <w:pPr>
        <w:jc w:val="center"/>
      </w:pPr>
      <w:r w:rsidRPr="001038A2">
        <w:drawing>
          <wp:inline distT="0" distB="0" distL="0" distR="0" wp14:anchorId="6C9363A8" wp14:editId="7EB2886A">
            <wp:extent cx="4862557" cy="4279599"/>
            <wp:effectExtent l="0" t="0" r="1905" b="635"/>
            <wp:docPr id="42378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81327" name=""/>
                    <pic:cNvPicPr/>
                  </pic:nvPicPr>
                  <pic:blipFill>
                    <a:blip r:embed="rId5"/>
                    <a:stretch>
                      <a:fillRect/>
                    </a:stretch>
                  </pic:blipFill>
                  <pic:spPr>
                    <a:xfrm>
                      <a:off x="0" y="0"/>
                      <a:ext cx="4882308" cy="4296982"/>
                    </a:xfrm>
                    <a:prstGeom prst="rect">
                      <a:avLst/>
                    </a:prstGeom>
                  </pic:spPr>
                </pic:pic>
              </a:graphicData>
            </a:graphic>
          </wp:inline>
        </w:drawing>
      </w:r>
    </w:p>
    <w:p w14:paraId="29418624" w14:textId="2F42AFBB" w:rsidR="00DF36B0" w:rsidRDefault="007941B2" w:rsidP="739ECC65">
      <w:pPr>
        <w:ind w:left="360"/>
        <w:jc w:val="center"/>
        <w:rPr>
          <w:rFonts w:ascii="Arial" w:hAnsi="Arial" w:cs="Arial"/>
        </w:rPr>
      </w:pPr>
      <w:r w:rsidRPr="739ECC65">
        <w:rPr>
          <w:b/>
          <w:bCs/>
        </w:rPr>
        <w:t>Supplemental Figure 1</w:t>
      </w:r>
      <w:r w:rsidR="00181124" w:rsidRPr="739ECC65">
        <w:rPr>
          <w:b/>
          <w:bCs/>
        </w:rPr>
        <w:t>.</w:t>
      </w:r>
      <w:r w:rsidR="001D0FEC" w:rsidRPr="739ECC65">
        <w:rPr>
          <w:rFonts w:ascii="Arial" w:hAnsi="Arial" w:cs="Arial"/>
        </w:rPr>
        <w:t xml:space="preserve"> Kaplan-Meier curves of AD-free survival stratified by AD-PRS groups.</w:t>
      </w:r>
      <w:r w:rsidR="00181124" w:rsidRPr="739ECC65">
        <w:rPr>
          <w:rFonts w:ascii="Arial" w:hAnsi="Arial" w:cs="Arial"/>
        </w:rPr>
        <w:t xml:space="preserve"> </w:t>
      </w:r>
      <w:r w:rsidR="00DF36B0" w:rsidRPr="739ECC65">
        <w:rPr>
          <w:rFonts w:ascii="Arial" w:hAnsi="Arial" w:cs="Arial"/>
        </w:rPr>
        <w:br w:type="page"/>
      </w:r>
    </w:p>
    <w:p w14:paraId="55508D07" w14:textId="77777777" w:rsidR="001D0FEC" w:rsidRDefault="001D0FEC" w:rsidP="001D0FEC">
      <w:pPr>
        <w:ind w:left="360"/>
        <w:rPr>
          <w:rFonts w:ascii="Arial" w:hAnsi="Arial" w:cs="Arial"/>
        </w:rPr>
      </w:pPr>
    </w:p>
    <w:p w14:paraId="1C3C4B69" w14:textId="2F739D0E" w:rsidR="00DF36B0" w:rsidRDefault="00DF36B0" w:rsidP="001D0FEC">
      <w:pPr>
        <w:ind w:left="360"/>
        <w:rPr>
          <w:rFonts w:ascii="Arial" w:hAnsi="Arial" w:cs="Arial"/>
        </w:rPr>
      </w:pPr>
      <w:r w:rsidRPr="00DF36B0">
        <w:rPr>
          <w:rFonts w:ascii="Arial" w:hAnsi="Arial" w:cs="Arial"/>
          <w:noProof/>
        </w:rPr>
        <w:drawing>
          <wp:inline distT="0" distB="0" distL="0" distR="0" wp14:anchorId="015CF423" wp14:editId="3A7B4CDC">
            <wp:extent cx="8079288" cy="4177752"/>
            <wp:effectExtent l="0" t="0" r="0" b="635"/>
            <wp:docPr id="973985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985777" name=""/>
                    <pic:cNvPicPr/>
                  </pic:nvPicPr>
                  <pic:blipFill>
                    <a:blip r:embed="rId6"/>
                    <a:stretch>
                      <a:fillRect/>
                    </a:stretch>
                  </pic:blipFill>
                  <pic:spPr>
                    <a:xfrm>
                      <a:off x="0" y="0"/>
                      <a:ext cx="8135579" cy="4206860"/>
                    </a:xfrm>
                    <a:prstGeom prst="rect">
                      <a:avLst/>
                    </a:prstGeom>
                  </pic:spPr>
                </pic:pic>
              </a:graphicData>
            </a:graphic>
          </wp:inline>
        </w:drawing>
      </w:r>
    </w:p>
    <w:p w14:paraId="2B4751B8" w14:textId="7D2160AE" w:rsidR="00DF36B0" w:rsidRDefault="001D0FEC" w:rsidP="001D0FEC">
      <w:pPr>
        <w:ind w:left="360"/>
        <w:rPr>
          <w:rFonts w:ascii="Arial" w:hAnsi="Arial" w:cs="Arial"/>
        </w:rPr>
      </w:pPr>
      <w:r w:rsidRPr="001D0FEC">
        <w:rPr>
          <w:rFonts w:ascii="Arial" w:hAnsi="Arial" w:cs="Arial"/>
          <w:b/>
          <w:bCs/>
        </w:rPr>
        <w:t xml:space="preserve">Supplemental Figure </w:t>
      </w:r>
      <w:r>
        <w:rPr>
          <w:rFonts w:ascii="Arial" w:hAnsi="Arial" w:cs="Arial"/>
          <w:b/>
          <w:bCs/>
        </w:rPr>
        <w:t xml:space="preserve">2 </w:t>
      </w:r>
      <w:r w:rsidRPr="00DB79B0">
        <w:rPr>
          <w:rFonts w:ascii="Arial" w:hAnsi="Arial" w:cs="Arial"/>
        </w:rPr>
        <w:t xml:space="preserve">Calibrated standardized predicted cumulative AD risk by protein level and APOE </w:t>
      </w:r>
      <w:r w:rsidRPr="00DB79B0">
        <w:rPr>
          <w:rFonts w:ascii="Arial" w:hAnsi="Arial" w:cs="Arial"/>
          <w:lang w:val="el-GR"/>
        </w:rPr>
        <w:t>ε</w:t>
      </w:r>
      <w:r w:rsidRPr="00DB79B0">
        <w:rPr>
          <w:rFonts w:ascii="Arial" w:hAnsi="Arial" w:cs="Arial"/>
        </w:rPr>
        <w:t>4 carrier status</w:t>
      </w:r>
      <w:r>
        <w:rPr>
          <w:rFonts w:ascii="Arial" w:hAnsi="Arial" w:cs="Arial"/>
        </w:rPr>
        <w:t xml:space="preserve"> for </w:t>
      </w:r>
      <w:r w:rsidR="00DF36B0">
        <w:rPr>
          <w:rFonts w:ascii="Arial" w:hAnsi="Arial" w:cs="Arial"/>
        </w:rPr>
        <w:t>selected</w:t>
      </w:r>
      <w:r w:rsidRPr="0020351E">
        <w:rPr>
          <w:rFonts w:ascii="Arial" w:hAnsi="Arial" w:cs="Arial"/>
        </w:rPr>
        <w:t xml:space="preserve"> </w:t>
      </w:r>
      <w:r>
        <w:rPr>
          <w:rFonts w:ascii="Arial" w:hAnsi="Arial" w:cs="Arial"/>
        </w:rPr>
        <w:t>proteins</w:t>
      </w:r>
      <w:r w:rsidR="00DF36B0">
        <w:rPr>
          <w:rFonts w:ascii="Arial" w:hAnsi="Arial" w:cs="Arial"/>
        </w:rPr>
        <w:t xml:space="preserve"> (t</w:t>
      </w:r>
      <w:r w:rsidR="00DF36B0" w:rsidRPr="001E7E20">
        <w:rPr>
          <w:rFonts w:ascii="Arial" w:hAnsi="Arial" w:cs="Arial"/>
        </w:rPr>
        <w:t>he top six</w:t>
      </w:r>
      <w:r w:rsidR="00DF36B0" w:rsidRPr="00B463C9">
        <w:rPr>
          <w:rFonts w:ascii="Arial" w:hAnsi="Arial" w:cs="Arial"/>
        </w:rPr>
        <w:t xml:space="preserve"> </w:t>
      </w:r>
      <w:r w:rsidR="00DF36B0" w:rsidRPr="001E7E20">
        <w:rPr>
          <w:rFonts w:ascii="Arial" w:hAnsi="Arial" w:cs="Arial"/>
        </w:rPr>
        <w:t>newly identified proteins with the strongest positive and negative associations among APOE ε4 non</w:t>
      </w:r>
      <w:r w:rsidR="00DF36B0">
        <w:rPr>
          <w:rFonts w:ascii="Arial" w:hAnsi="Arial" w:cs="Arial" w:hint="eastAsia"/>
        </w:rPr>
        <w:t>-</w:t>
      </w:r>
      <w:r w:rsidR="00DF36B0" w:rsidRPr="001E7E20">
        <w:rPr>
          <w:rFonts w:ascii="Arial" w:hAnsi="Arial" w:cs="Arial"/>
        </w:rPr>
        <w:t>carriers, along with all five newly identified proteins among APOE ε4 carriers</w:t>
      </w:r>
      <w:r w:rsidR="00DF36B0" w:rsidRPr="002604F6">
        <w:rPr>
          <w:rFonts w:ascii="Arial" w:hAnsi="Arial" w:cs="Arial"/>
        </w:rPr>
        <w:t xml:space="preserve"> </w:t>
      </w:r>
      <w:r w:rsidR="00DF36B0" w:rsidRPr="001E7E20">
        <w:rPr>
          <w:rFonts w:ascii="Arial" w:hAnsi="Arial" w:cs="Arial"/>
        </w:rPr>
        <w:t>were labeled</w:t>
      </w:r>
      <w:r w:rsidR="00DF36B0">
        <w:rPr>
          <w:rFonts w:ascii="Arial" w:hAnsi="Arial" w:cs="Arial"/>
        </w:rPr>
        <w:t>)</w:t>
      </w:r>
      <w:r>
        <w:rPr>
          <w:rFonts w:ascii="Arial" w:hAnsi="Arial" w:cs="Arial"/>
        </w:rPr>
        <w:t xml:space="preserve">. </w:t>
      </w:r>
      <w:r w:rsidRPr="00DB79B0">
        <w:rPr>
          <w:rFonts w:ascii="Arial" w:hAnsi="Arial" w:cs="Arial"/>
        </w:rPr>
        <w:t xml:space="preserve">Standardized predicted cumulative AD risk curves were generated from Cox proportional hazards models stratified by APOE ε4 carrier status and adjusted for age, sex, education, and the first 20 genetic PCs. For each protein, predicted risks were estimated at prespecified low and high protein levels, defined as Q1 − 1.5 × IQR and Q3 + 1.5 × IQR, </w:t>
      </w:r>
      <w:r w:rsidRPr="00DB79B0">
        <w:rPr>
          <w:rFonts w:ascii="Arial" w:hAnsi="Arial" w:cs="Arial"/>
        </w:rPr>
        <w:lastRenderedPageBreak/>
        <w:t>respectively.</w:t>
      </w:r>
      <w:r w:rsidRPr="004E02E2">
        <w:t xml:space="preserve"> </w:t>
      </w:r>
      <w:r w:rsidRPr="00DB79B0">
        <w:rPr>
          <w:rFonts w:ascii="Arial" w:hAnsi="Arial" w:cs="Arial"/>
        </w:rPr>
        <w:t>To estimate absolute cumulative risk, the model-based baseline hazard was calibrated to an external population-level AD incidence rate of 11.98 per 10,000 person-years at the calibration horizon, while preserving the relative effects estimated from the Cox model.</w:t>
      </w:r>
    </w:p>
    <w:p w14:paraId="642867C2" w14:textId="0F69CDF2" w:rsidR="001D0FEC" w:rsidRDefault="001D0FEC" w:rsidP="739ECC65">
      <w:pPr>
        <w:rPr>
          <w:rFonts w:ascii="Arial" w:hAnsi="Arial" w:cs="Arial"/>
        </w:rPr>
        <w:sectPr w:rsidR="001D0FEC" w:rsidSect="00DF36B0">
          <w:pgSz w:w="15840" w:h="12240" w:orient="landscape"/>
          <w:pgMar w:top="1440" w:right="1440" w:bottom="1440" w:left="1440" w:header="720" w:footer="720" w:gutter="0"/>
          <w:cols w:space="720"/>
          <w:docGrid w:linePitch="360"/>
        </w:sectPr>
      </w:pPr>
    </w:p>
    <w:p w14:paraId="6A16CFB7" w14:textId="5BF7EB65" w:rsidR="001D0FEC" w:rsidRDefault="001038A2" w:rsidP="001D0FEC">
      <w:pPr>
        <w:ind w:left="360"/>
        <w:rPr>
          <w:rFonts w:ascii="Arial" w:hAnsi="Arial" w:cs="Arial"/>
        </w:rPr>
      </w:pPr>
      <w:r w:rsidRPr="001038A2">
        <w:rPr>
          <w:rFonts w:ascii="Arial" w:hAnsi="Arial" w:cs="Arial"/>
        </w:rPr>
        <w:lastRenderedPageBreak/>
        <w:drawing>
          <wp:inline distT="0" distB="0" distL="0" distR="0" wp14:anchorId="510E6DAA" wp14:editId="21F9D146">
            <wp:extent cx="8229600" cy="1199515"/>
            <wp:effectExtent l="0" t="0" r="0" b="0"/>
            <wp:docPr id="499464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64311" name=""/>
                    <pic:cNvPicPr/>
                  </pic:nvPicPr>
                  <pic:blipFill>
                    <a:blip r:embed="rId7"/>
                    <a:stretch>
                      <a:fillRect/>
                    </a:stretch>
                  </pic:blipFill>
                  <pic:spPr>
                    <a:xfrm>
                      <a:off x="0" y="0"/>
                      <a:ext cx="8229600" cy="1199515"/>
                    </a:xfrm>
                    <a:prstGeom prst="rect">
                      <a:avLst/>
                    </a:prstGeom>
                  </pic:spPr>
                </pic:pic>
              </a:graphicData>
            </a:graphic>
          </wp:inline>
        </w:drawing>
      </w:r>
    </w:p>
    <w:p w14:paraId="082B9173" w14:textId="69E7A7FB" w:rsidR="00DF36B0" w:rsidRDefault="001D0FEC" w:rsidP="001D0FEC">
      <w:pPr>
        <w:ind w:left="360"/>
        <w:rPr>
          <w:rFonts w:ascii="Arial" w:hAnsi="Arial" w:cs="Arial"/>
        </w:rPr>
      </w:pPr>
      <w:r w:rsidRPr="739ECC65">
        <w:rPr>
          <w:rFonts w:ascii="Arial" w:hAnsi="Arial" w:cs="Arial"/>
          <w:b/>
          <w:bCs/>
        </w:rPr>
        <w:t>Supplemental Figure 3</w:t>
      </w:r>
      <w:r w:rsidR="004910A6" w:rsidRPr="739ECC65">
        <w:rPr>
          <w:rFonts w:ascii="Arial" w:hAnsi="Arial" w:cs="Arial"/>
          <w:b/>
          <w:bCs/>
        </w:rPr>
        <w:t>:</w:t>
      </w:r>
      <w:r w:rsidRPr="739ECC65">
        <w:rPr>
          <w:rFonts w:ascii="Arial" w:hAnsi="Arial" w:cs="Arial"/>
          <w:b/>
          <w:bCs/>
        </w:rPr>
        <w:t xml:space="preserve"> </w:t>
      </w:r>
      <w:r w:rsidRPr="739ECC65">
        <w:rPr>
          <w:rFonts w:ascii="Arial" w:hAnsi="Arial" w:cs="Arial"/>
        </w:rPr>
        <w:t xml:space="preserve">Differential protein-AD associations by AD-PRS levels. This plot compares the estimated associations between </w:t>
      </w:r>
      <w:r w:rsidR="004910A6" w:rsidRPr="739ECC65">
        <w:rPr>
          <w:rFonts w:ascii="Arial" w:hAnsi="Arial" w:cs="Arial"/>
        </w:rPr>
        <w:t>80</w:t>
      </w:r>
      <w:r w:rsidRPr="739ECC65">
        <w:rPr>
          <w:rFonts w:ascii="Arial" w:hAnsi="Arial" w:cs="Arial"/>
        </w:rPr>
        <w:t xml:space="preserve"> plasma proteins and incident AD stratified by AD-PRS groups</w:t>
      </w:r>
      <w:r w:rsidRPr="739ECC65">
        <w:rPr>
          <w:rFonts w:ascii="Arial" w:hAnsi="Arial" w:cs="Arial"/>
          <w:b/>
          <w:bCs/>
        </w:rPr>
        <w:t xml:space="preserve">. </w:t>
      </w:r>
      <w:r w:rsidRPr="739ECC65">
        <w:rPr>
          <w:rFonts w:ascii="Arial" w:hAnsi="Arial" w:cs="Arial"/>
        </w:rPr>
        <w:t>Each tile represents one protein.</w:t>
      </w:r>
      <w:r w:rsidRPr="739ECC65">
        <w:rPr>
          <w:rFonts w:ascii="Arial" w:hAnsi="Arial" w:cs="Arial"/>
          <w:b/>
          <w:bCs/>
        </w:rPr>
        <w:t xml:space="preserve"> </w:t>
      </w:r>
      <w:r w:rsidR="00F70BE9" w:rsidRPr="739ECC65">
        <w:rPr>
          <w:rFonts w:ascii="Arial" w:hAnsi="Arial" w:cs="Arial"/>
        </w:rPr>
        <w:t xml:space="preserve">Labeled </w:t>
      </w:r>
      <w:r w:rsidR="00053FED" w:rsidRPr="739ECC65">
        <w:rPr>
          <w:rFonts w:ascii="Arial" w:hAnsi="Arial" w:cs="Arial"/>
        </w:rPr>
        <w:t xml:space="preserve">tile </w:t>
      </w:r>
      <w:r w:rsidR="001038A2" w:rsidRPr="739ECC65">
        <w:rPr>
          <w:rFonts w:ascii="Arial" w:hAnsi="Arial" w:cs="Arial"/>
        </w:rPr>
        <w:t>columns indicate</w:t>
      </w:r>
      <w:r w:rsidRPr="739ECC65">
        <w:rPr>
          <w:rFonts w:ascii="Arial" w:hAnsi="Arial" w:cs="Arial"/>
        </w:rPr>
        <w:t xml:space="preserve"> proteins reaching adjusted significance in </w:t>
      </w:r>
      <w:r w:rsidR="00A53599" w:rsidRPr="739ECC65">
        <w:rPr>
          <w:rFonts w:ascii="Arial" w:hAnsi="Arial" w:cs="Arial"/>
        </w:rPr>
        <w:t xml:space="preserve">at least one </w:t>
      </w:r>
      <w:r w:rsidRPr="739ECC65">
        <w:rPr>
          <w:rFonts w:ascii="Arial" w:hAnsi="Arial" w:cs="Arial"/>
        </w:rPr>
        <w:t xml:space="preserve">AD-PRS </w:t>
      </w:r>
      <w:r w:rsidR="00A53599" w:rsidRPr="739ECC65">
        <w:rPr>
          <w:rFonts w:ascii="Arial" w:hAnsi="Arial" w:cs="Arial"/>
        </w:rPr>
        <w:t>group</w:t>
      </w:r>
      <w:r w:rsidRPr="739ECC65">
        <w:rPr>
          <w:rFonts w:ascii="Arial" w:hAnsi="Arial" w:cs="Arial"/>
        </w:rPr>
        <w:t>. Unlabeled til</w:t>
      </w:r>
      <w:r w:rsidR="00053FED" w:rsidRPr="739ECC65">
        <w:rPr>
          <w:rFonts w:ascii="Arial" w:hAnsi="Arial" w:cs="Arial"/>
        </w:rPr>
        <w:t>e column</w:t>
      </w:r>
      <w:r w:rsidRPr="739ECC65">
        <w:rPr>
          <w:rFonts w:ascii="Arial" w:hAnsi="Arial" w:cs="Arial"/>
        </w:rPr>
        <w:t xml:space="preserve">s indicate proteins that did not reach adjusted significance in </w:t>
      </w:r>
      <w:r w:rsidR="00A53599" w:rsidRPr="739ECC65">
        <w:rPr>
          <w:rFonts w:ascii="Arial" w:hAnsi="Arial" w:cs="Arial"/>
        </w:rPr>
        <w:t xml:space="preserve">any </w:t>
      </w:r>
      <w:r w:rsidRPr="739ECC65">
        <w:rPr>
          <w:rFonts w:ascii="Arial" w:hAnsi="Arial" w:cs="Arial"/>
        </w:rPr>
        <w:t xml:space="preserve">group. </w:t>
      </w:r>
    </w:p>
    <w:p w14:paraId="78A2427F" w14:textId="77777777" w:rsidR="00DF36B0" w:rsidRDefault="00DF36B0">
      <w:pPr>
        <w:rPr>
          <w:rFonts w:ascii="Arial" w:hAnsi="Arial" w:cs="Arial"/>
        </w:rPr>
      </w:pPr>
      <w:r>
        <w:rPr>
          <w:rFonts w:ascii="Arial" w:hAnsi="Arial" w:cs="Arial"/>
        </w:rPr>
        <w:br w:type="page"/>
      </w:r>
    </w:p>
    <w:p w14:paraId="34144166" w14:textId="77777777" w:rsidR="001D0FEC" w:rsidRDefault="001D0FEC" w:rsidP="001D0FEC">
      <w:pPr>
        <w:ind w:left="360"/>
        <w:rPr>
          <w:rFonts w:ascii="Arial" w:hAnsi="Arial" w:cs="Arial"/>
        </w:rPr>
      </w:pPr>
    </w:p>
    <w:p w14:paraId="55DC4563" w14:textId="7980D9F4" w:rsidR="00BA6BFB" w:rsidRDefault="00265DAA" w:rsidP="001D0FEC">
      <w:pPr>
        <w:ind w:left="360"/>
        <w:rPr>
          <w:rFonts w:ascii="Arial" w:hAnsi="Arial" w:cs="Arial"/>
        </w:rPr>
      </w:pPr>
      <w:r w:rsidRPr="00265DAA">
        <w:rPr>
          <w:rFonts w:ascii="Arial" w:hAnsi="Arial" w:cs="Arial"/>
        </w:rPr>
        <w:drawing>
          <wp:inline distT="0" distB="0" distL="0" distR="0" wp14:anchorId="5F365150" wp14:editId="0F82F8DA">
            <wp:extent cx="8229600" cy="2498090"/>
            <wp:effectExtent l="0" t="0" r="0" b="3810"/>
            <wp:docPr id="2057634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34934" name=""/>
                    <pic:cNvPicPr/>
                  </pic:nvPicPr>
                  <pic:blipFill>
                    <a:blip r:embed="rId8"/>
                    <a:stretch>
                      <a:fillRect/>
                    </a:stretch>
                  </pic:blipFill>
                  <pic:spPr>
                    <a:xfrm>
                      <a:off x="0" y="0"/>
                      <a:ext cx="8229600" cy="2498090"/>
                    </a:xfrm>
                    <a:prstGeom prst="rect">
                      <a:avLst/>
                    </a:prstGeom>
                  </pic:spPr>
                </pic:pic>
              </a:graphicData>
            </a:graphic>
          </wp:inline>
        </w:drawing>
      </w:r>
    </w:p>
    <w:p w14:paraId="1521FD78" w14:textId="2E917CD1" w:rsidR="00C24FD6" w:rsidRDefault="00CB6C20" w:rsidP="00DF36B0">
      <w:pPr>
        <w:ind w:left="360"/>
        <w:rPr>
          <w:rFonts w:ascii="Arial" w:hAnsi="Arial" w:cs="Arial"/>
        </w:rPr>
      </w:pPr>
      <w:r w:rsidRPr="739ECC65">
        <w:rPr>
          <w:rFonts w:ascii="Arial" w:hAnsi="Arial" w:cs="Arial"/>
          <w:b/>
          <w:bCs/>
        </w:rPr>
        <w:t xml:space="preserve">Supplemental Figure 4 </w:t>
      </w:r>
      <w:r w:rsidR="001D0FEC" w:rsidRPr="739ECC65">
        <w:rPr>
          <w:rFonts w:ascii="Arial" w:hAnsi="Arial" w:cs="Arial"/>
        </w:rPr>
        <w:t xml:space="preserve">Forest plot of </w:t>
      </w:r>
      <w:r w:rsidR="00053FED" w:rsidRPr="739ECC65">
        <w:rPr>
          <w:rFonts w:ascii="Arial" w:hAnsi="Arial" w:cs="Arial"/>
        </w:rPr>
        <w:t>Hazard Ratios (</w:t>
      </w:r>
      <w:r w:rsidR="001D0FEC" w:rsidRPr="739ECC65">
        <w:rPr>
          <w:rFonts w:ascii="Arial" w:hAnsi="Arial" w:cs="Arial"/>
        </w:rPr>
        <w:t>HRs</w:t>
      </w:r>
      <w:r w:rsidR="00053FED" w:rsidRPr="739ECC65">
        <w:rPr>
          <w:rFonts w:ascii="Arial" w:hAnsi="Arial" w:cs="Arial"/>
        </w:rPr>
        <w:t>)</w:t>
      </w:r>
      <w:r w:rsidR="001D0FEC" w:rsidRPr="739ECC65">
        <w:rPr>
          <w:rFonts w:ascii="Arial" w:hAnsi="Arial" w:cs="Arial"/>
        </w:rPr>
        <w:t xml:space="preserve"> and 95% </w:t>
      </w:r>
      <w:r w:rsidR="00053FED" w:rsidRPr="739ECC65">
        <w:rPr>
          <w:rFonts w:ascii="Arial" w:hAnsi="Arial" w:cs="Arial"/>
        </w:rPr>
        <w:t>confidence intervals (</w:t>
      </w:r>
      <w:r w:rsidR="001D0FEC" w:rsidRPr="739ECC65">
        <w:rPr>
          <w:rFonts w:ascii="Arial" w:hAnsi="Arial" w:cs="Arial"/>
        </w:rPr>
        <w:t>C</w:t>
      </w:r>
      <w:r w:rsidR="00053FED" w:rsidRPr="739ECC65">
        <w:rPr>
          <w:rFonts w:ascii="Arial" w:hAnsi="Arial" w:cs="Arial"/>
        </w:rPr>
        <w:t>i</w:t>
      </w:r>
      <w:r w:rsidR="001D0FEC" w:rsidRPr="739ECC65">
        <w:rPr>
          <w:rFonts w:ascii="Arial" w:hAnsi="Arial" w:cs="Arial"/>
        </w:rPr>
        <w:t>s</w:t>
      </w:r>
      <w:r w:rsidR="00053FED" w:rsidRPr="739ECC65">
        <w:rPr>
          <w:rFonts w:ascii="Arial" w:hAnsi="Arial" w:cs="Arial"/>
        </w:rPr>
        <w:t>)</w:t>
      </w:r>
      <w:r w:rsidR="001D0FEC" w:rsidRPr="739ECC65">
        <w:rPr>
          <w:rFonts w:ascii="Arial" w:hAnsi="Arial" w:cs="Arial"/>
        </w:rPr>
        <w:t xml:space="preserve"> for newly identified proteins </w:t>
      </w:r>
      <w:r w:rsidR="00A9136E" w:rsidRPr="739ECC65">
        <w:rPr>
          <w:rFonts w:ascii="Arial" w:hAnsi="Arial" w:cs="Arial"/>
        </w:rPr>
        <w:t xml:space="preserve">across </w:t>
      </w:r>
      <w:r w:rsidR="000778C6">
        <w:rPr>
          <w:rFonts w:ascii="Arial" w:hAnsi="Arial" w:cs="Arial"/>
        </w:rPr>
        <w:t xml:space="preserve">low, intermediate, and high </w:t>
      </w:r>
      <w:r w:rsidR="000778C6" w:rsidRPr="739ECC65">
        <w:rPr>
          <w:rFonts w:ascii="Arial" w:hAnsi="Arial" w:cs="Arial"/>
        </w:rPr>
        <w:t>AD-PRS groups</w:t>
      </w:r>
      <w:r w:rsidR="00DF36B0" w:rsidRPr="739ECC65">
        <w:rPr>
          <w:rFonts w:ascii="Arial" w:hAnsi="Arial" w:cs="Arial"/>
        </w:rPr>
        <w:t>.</w:t>
      </w:r>
      <w:r w:rsidR="000778C6">
        <w:rPr>
          <w:rFonts w:ascii="Arial" w:hAnsi="Arial" w:cs="Arial"/>
        </w:rPr>
        <w:t xml:space="preserve"> </w:t>
      </w:r>
    </w:p>
    <w:p w14:paraId="159755E8" w14:textId="6CFD133F" w:rsidR="00DF36B0" w:rsidRDefault="00C24FD6" w:rsidP="00C1138A">
      <w:pPr>
        <w:rPr>
          <w:rFonts w:ascii="Arial" w:hAnsi="Arial" w:cs="Arial"/>
        </w:rPr>
      </w:pPr>
      <w:r>
        <w:rPr>
          <w:rFonts w:ascii="Arial" w:hAnsi="Arial" w:cs="Arial"/>
        </w:rPr>
        <w:br w:type="page"/>
      </w:r>
    </w:p>
    <w:p w14:paraId="782C086B" w14:textId="77777777" w:rsidR="001D0FEC" w:rsidRDefault="001D0FEC" w:rsidP="001D0FEC">
      <w:pPr>
        <w:ind w:left="360"/>
        <w:rPr>
          <w:rFonts w:ascii="Arial" w:hAnsi="Arial" w:cs="Arial"/>
        </w:rPr>
      </w:pPr>
    </w:p>
    <w:p w14:paraId="2F2DF980" w14:textId="2A2137FD" w:rsidR="00DF36B0" w:rsidRPr="00DF36B0" w:rsidRDefault="00DF36B0" w:rsidP="00DF36B0">
      <w:pPr>
        <w:pStyle w:val="ListParagraph"/>
        <w:numPr>
          <w:ilvl w:val="0"/>
          <w:numId w:val="3"/>
        </w:numPr>
        <w:rPr>
          <w:rFonts w:ascii="Arial" w:hAnsi="Arial" w:cs="Arial"/>
        </w:rPr>
      </w:pPr>
      <w:r>
        <w:rPr>
          <w:rFonts w:ascii="Arial" w:hAnsi="Arial" w:cs="Arial"/>
        </w:rPr>
        <w:t xml:space="preserve">                                                                                b.</w:t>
      </w:r>
    </w:p>
    <w:p w14:paraId="73313799" w14:textId="17A55D3D" w:rsidR="00DF36B0" w:rsidRDefault="003D2B64" w:rsidP="00DF36B0">
      <w:pPr>
        <w:ind w:left="360"/>
        <w:rPr>
          <w:noProof/>
        </w:rPr>
      </w:pPr>
      <w:r w:rsidRPr="003D2B64">
        <w:rPr>
          <w:noProof/>
        </w:rPr>
        <w:drawing>
          <wp:inline distT="0" distB="0" distL="0" distR="0" wp14:anchorId="3DF6A821" wp14:editId="4A97FF08">
            <wp:extent cx="3816850" cy="2596593"/>
            <wp:effectExtent l="0" t="0" r="6350" b="0"/>
            <wp:docPr id="1738300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00700" name=""/>
                    <pic:cNvPicPr/>
                  </pic:nvPicPr>
                  <pic:blipFill>
                    <a:blip r:embed="rId9"/>
                    <a:stretch>
                      <a:fillRect/>
                    </a:stretch>
                  </pic:blipFill>
                  <pic:spPr>
                    <a:xfrm>
                      <a:off x="0" y="0"/>
                      <a:ext cx="3841900" cy="2613635"/>
                    </a:xfrm>
                    <a:prstGeom prst="rect">
                      <a:avLst/>
                    </a:prstGeom>
                  </pic:spPr>
                </pic:pic>
              </a:graphicData>
            </a:graphic>
          </wp:inline>
        </w:drawing>
      </w:r>
      <w:r w:rsidR="00DF36B0" w:rsidRPr="00DF36B0">
        <w:rPr>
          <w:noProof/>
        </w:rPr>
        <w:t xml:space="preserve"> </w:t>
      </w:r>
      <w:r w:rsidR="00DF36B0" w:rsidRPr="00BA6BFB">
        <w:rPr>
          <w:noProof/>
        </w:rPr>
        <w:drawing>
          <wp:inline distT="0" distB="0" distL="0" distR="0" wp14:anchorId="432F31C7" wp14:editId="2BEA4B4F">
            <wp:extent cx="4028100" cy="2589000"/>
            <wp:effectExtent l="0" t="0" r="0" b="1905"/>
            <wp:docPr id="395623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623240" name=""/>
                    <pic:cNvPicPr/>
                  </pic:nvPicPr>
                  <pic:blipFill>
                    <a:blip r:embed="rId10"/>
                    <a:stretch>
                      <a:fillRect/>
                    </a:stretch>
                  </pic:blipFill>
                  <pic:spPr>
                    <a:xfrm>
                      <a:off x="0" y="0"/>
                      <a:ext cx="4118969" cy="2647404"/>
                    </a:xfrm>
                    <a:prstGeom prst="rect">
                      <a:avLst/>
                    </a:prstGeom>
                  </pic:spPr>
                </pic:pic>
              </a:graphicData>
            </a:graphic>
          </wp:inline>
        </w:drawing>
      </w:r>
    </w:p>
    <w:p w14:paraId="6F79B127" w14:textId="7B50D87B" w:rsidR="00DF36B0" w:rsidRPr="00DF36B0" w:rsidRDefault="00DF36B0" w:rsidP="00DF36B0">
      <w:pPr>
        <w:pStyle w:val="ListParagraph"/>
        <w:rPr>
          <w:rFonts w:ascii="Arial" w:hAnsi="Arial" w:cs="Arial"/>
        </w:rPr>
      </w:pPr>
      <w:r w:rsidRPr="001D0FEC">
        <w:rPr>
          <w:rFonts w:ascii="Arial" w:hAnsi="Arial" w:cs="Arial"/>
          <w:b/>
          <w:bCs/>
        </w:rPr>
        <w:t xml:space="preserve">Supplemental Figure </w:t>
      </w:r>
      <w:r w:rsidR="005A16BE">
        <w:rPr>
          <w:rFonts w:ascii="Arial" w:hAnsi="Arial" w:cs="Arial"/>
          <w:b/>
          <w:bCs/>
        </w:rPr>
        <w:t>5</w:t>
      </w:r>
      <w:r>
        <w:rPr>
          <w:rFonts w:ascii="Arial" w:hAnsi="Arial" w:cs="Arial"/>
          <w:b/>
          <w:bCs/>
        </w:rPr>
        <w:t xml:space="preserve"> </w:t>
      </w:r>
      <w:r>
        <w:rPr>
          <w:rFonts w:ascii="Arial" w:hAnsi="Arial" w:cs="Arial"/>
          <w:b/>
          <w:bCs/>
        </w:rPr>
        <w:tab/>
      </w:r>
      <w:r w:rsidRPr="00DF4B2A">
        <w:rPr>
          <w:rFonts w:ascii="Arial" w:hAnsi="Arial" w:cs="Arial"/>
        </w:rPr>
        <w:t xml:space="preserve">Enrichment analysis of AD-associated proteins by </w:t>
      </w:r>
      <w:r>
        <w:rPr>
          <w:rFonts w:ascii="Arial" w:hAnsi="Arial" w:cs="Arial"/>
        </w:rPr>
        <w:t>AD-PRS groups</w:t>
      </w:r>
    </w:p>
    <w:p w14:paraId="796D8ACE" w14:textId="0FFB3CFA" w:rsidR="00DF36B0" w:rsidRPr="00DF36B0" w:rsidRDefault="00DF36B0" w:rsidP="00DF36B0">
      <w:pPr>
        <w:pStyle w:val="ListParagraph"/>
        <w:numPr>
          <w:ilvl w:val="0"/>
          <w:numId w:val="2"/>
        </w:numPr>
        <w:rPr>
          <w:rFonts w:ascii="Arial" w:hAnsi="Arial" w:cs="Arial"/>
        </w:rPr>
      </w:pPr>
      <w:r w:rsidRPr="00DF36B0">
        <w:rPr>
          <w:rFonts w:ascii="Arial" w:hAnsi="Arial" w:cs="Arial"/>
        </w:rPr>
        <w:t>Ne</w:t>
      </w:r>
      <w:r w:rsidR="000778C6">
        <w:rPr>
          <w:rFonts w:ascii="Arial" w:hAnsi="Arial" w:cs="Arial"/>
        </w:rPr>
        <w:t>twork of ne</w:t>
      </w:r>
      <w:r w:rsidRPr="00DF36B0">
        <w:rPr>
          <w:rFonts w:ascii="Arial" w:hAnsi="Arial" w:cs="Arial"/>
        </w:rPr>
        <w:t xml:space="preserve">wly </w:t>
      </w:r>
      <w:r w:rsidR="00F015F6" w:rsidRPr="00DF36B0">
        <w:rPr>
          <w:rFonts w:ascii="Arial" w:hAnsi="Arial" w:cs="Arial"/>
        </w:rPr>
        <w:t xml:space="preserve">identified </w:t>
      </w:r>
      <w:r w:rsidR="00F015F6">
        <w:rPr>
          <w:rFonts w:ascii="Arial" w:hAnsi="Arial" w:cs="Arial" w:hint="eastAsia"/>
        </w:rPr>
        <w:t xml:space="preserve">proteins </w:t>
      </w:r>
      <w:r w:rsidRPr="00DF36B0">
        <w:rPr>
          <w:rFonts w:ascii="Arial" w:hAnsi="Arial" w:cs="Arial"/>
        </w:rPr>
        <w:t xml:space="preserve">enriched </w:t>
      </w:r>
      <w:r w:rsidR="00F015F6">
        <w:rPr>
          <w:rFonts w:ascii="Arial" w:hAnsi="Arial" w:cs="Arial"/>
        </w:rPr>
        <w:t xml:space="preserve">in </w:t>
      </w:r>
      <w:r w:rsidRPr="00DF36B0">
        <w:rPr>
          <w:rFonts w:ascii="Arial" w:hAnsi="Arial" w:cs="Arial"/>
        </w:rPr>
        <w:t>GO processes</w:t>
      </w:r>
      <w:r w:rsidR="00381150">
        <w:rPr>
          <w:rFonts w:ascii="Arial" w:hAnsi="Arial" w:cs="Arial" w:hint="eastAsia"/>
        </w:rPr>
        <w:t>.</w:t>
      </w:r>
      <w:r w:rsidRPr="00DF36B0">
        <w:rPr>
          <w:rFonts w:ascii="Arial" w:hAnsi="Arial" w:cs="Arial"/>
        </w:rPr>
        <w:t xml:space="preserve"> </w:t>
      </w:r>
      <w:r w:rsidR="00381150">
        <w:rPr>
          <w:rFonts w:ascii="Arial" w:hAnsi="Arial" w:cs="Arial" w:hint="eastAsia"/>
        </w:rPr>
        <w:t>N</w:t>
      </w:r>
      <w:r w:rsidRPr="00DF36B0">
        <w:rPr>
          <w:rFonts w:ascii="Arial" w:hAnsi="Arial" w:cs="Arial"/>
        </w:rPr>
        <w:t>ode size reflects the number of mapped proteins contributing to each process, and colors indicate the stratum in which the signal was prioritized (full sample, low AD-PRS, intermediate AD-PRS, or high AD-PRS group)</w:t>
      </w:r>
    </w:p>
    <w:p w14:paraId="6A5C359E" w14:textId="43B90F63" w:rsidR="00DF36B0" w:rsidRDefault="00DF36B0" w:rsidP="0060066C">
      <w:pPr>
        <w:pStyle w:val="ListParagraph"/>
        <w:numPr>
          <w:ilvl w:val="0"/>
          <w:numId w:val="2"/>
        </w:numPr>
      </w:pPr>
      <w:r w:rsidRPr="0060066C">
        <w:rPr>
          <w:rFonts w:ascii="Arial" w:hAnsi="Arial" w:cs="Arial"/>
        </w:rPr>
        <w:t>Pathway enrichment across the full sample and AD-PRS groups. This bubble plot summarizes enriched biological pathways identified in the full sample, low AD-PRS, intermediate AD-PRS, or high AD-PRS group, after grouping similar enriched terms into GO-style functional categories. Bubble size represents the number of enriched proteins within each</w:t>
      </w:r>
      <w:r w:rsidRPr="00907172">
        <w:t xml:space="preserve"> </w:t>
      </w:r>
      <w:r w:rsidRPr="0060066C">
        <w:rPr>
          <w:rFonts w:ascii="Arial" w:hAnsi="Arial" w:cs="Arial"/>
        </w:rPr>
        <w:t xml:space="preserve">functional category and subgroup, and bubble color represents the FDR-adjusted </w:t>
      </w:r>
      <w:r w:rsidRPr="0060066C">
        <w:rPr>
          <w:rFonts w:ascii="Arial" w:hAnsi="Arial" w:cs="Arial"/>
          <w:i/>
          <w:iCs/>
        </w:rPr>
        <w:t>P</w:t>
      </w:r>
      <w:r w:rsidRPr="0060066C">
        <w:rPr>
          <w:rFonts w:ascii="Arial" w:hAnsi="Arial" w:cs="Arial"/>
        </w:rPr>
        <w:t xml:space="preserve"> value</w:t>
      </w:r>
      <w:r w:rsidR="00517E48" w:rsidRPr="0060066C">
        <w:rPr>
          <w:rFonts w:ascii="Arial" w:hAnsi="Arial" w:cs="Arial"/>
        </w:rPr>
        <w:t>.</w:t>
      </w:r>
    </w:p>
    <w:sectPr w:rsidR="00DF36B0" w:rsidSect="0060066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28D414F"/>
    <w:multiLevelType w:val="hybridMultilevel"/>
    <w:tmpl w:val="BDA62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233B13"/>
    <w:multiLevelType w:val="hybridMultilevel"/>
    <w:tmpl w:val="25D484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967C37"/>
    <w:multiLevelType w:val="hybridMultilevel"/>
    <w:tmpl w:val="3C70E846"/>
    <w:lvl w:ilvl="0" w:tplc="8BA01F9E">
      <w:start w:val="1"/>
      <w:numFmt w:val="lowerLetter"/>
      <w:lvlText w:val="%1."/>
      <w:lvlJc w:val="left"/>
      <w:pPr>
        <w:tabs>
          <w:tab w:val="num" w:pos="720"/>
        </w:tabs>
        <w:ind w:left="720" w:hanging="360"/>
      </w:pPr>
    </w:lvl>
    <w:lvl w:ilvl="1" w:tplc="492C72DC" w:tentative="1">
      <w:start w:val="1"/>
      <w:numFmt w:val="lowerLetter"/>
      <w:lvlText w:val="%2."/>
      <w:lvlJc w:val="left"/>
      <w:pPr>
        <w:tabs>
          <w:tab w:val="num" w:pos="1440"/>
        </w:tabs>
        <w:ind w:left="1440" w:hanging="360"/>
      </w:pPr>
    </w:lvl>
    <w:lvl w:ilvl="2" w:tplc="FC329F1E" w:tentative="1">
      <w:start w:val="1"/>
      <w:numFmt w:val="lowerLetter"/>
      <w:lvlText w:val="%3."/>
      <w:lvlJc w:val="left"/>
      <w:pPr>
        <w:tabs>
          <w:tab w:val="num" w:pos="2160"/>
        </w:tabs>
        <w:ind w:left="2160" w:hanging="360"/>
      </w:pPr>
    </w:lvl>
    <w:lvl w:ilvl="3" w:tplc="BC70989C" w:tentative="1">
      <w:start w:val="1"/>
      <w:numFmt w:val="lowerLetter"/>
      <w:lvlText w:val="%4."/>
      <w:lvlJc w:val="left"/>
      <w:pPr>
        <w:tabs>
          <w:tab w:val="num" w:pos="2880"/>
        </w:tabs>
        <w:ind w:left="2880" w:hanging="360"/>
      </w:pPr>
    </w:lvl>
    <w:lvl w:ilvl="4" w:tplc="134CBE9E" w:tentative="1">
      <w:start w:val="1"/>
      <w:numFmt w:val="lowerLetter"/>
      <w:lvlText w:val="%5."/>
      <w:lvlJc w:val="left"/>
      <w:pPr>
        <w:tabs>
          <w:tab w:val="num" w:pos="3600"/>
        </w:tabs>
        <w:ind w:left="3600" w:hanging="360"/>
      </w:pPr>
    </w:lvl>
    <w:lvl w:ilvl="5" w:tplc="37623CAE" w:tentative="1">
      <w:start w:val="1"/>
      <w:numFmt w:val="lowerLetter"/>
      <w:lvlText w:val="%6."/>
      <w:lvlJc w:val="left"/>
      <w:pPr>
        <w:tabs>
          <w:tab w:val="num" w:pos="4320"/>
        </w:tabs>
        <w:ind w:left="4320" w:hanging="360"/>
      </w:pPr>
    </w:lvl>
    <w:lvl w:ilvl="6" w:tplc="2FE4AD3C" w:tentative="1">
      <w:start w:val="1"/>
      <w:numFmt w:val="lowerLetter"/>
      <w:lvlText w:val="%7."/>
      <w:lvlJc w:val="left"/>
      <w:pPr>
        <w:tabs>
          <w:tab w:val="num" w:pos="5040"/>
        </w:tabs>
        <w:ind w:left="5040" w:hanging="360"/>
      </w:pPr>
    </w:lvl>
    <w:lvl w:ilvl="7" w:tplc="7F04653E" w:tentative="1">
      <w:start w:val="1"/>
      <w:numFmt w:val="lowerLetter"/>
      <w:lvlText w:val="%8."/>
      <w:lvlJc w:val="left"/>
      <w:pPr>
        <w:tabs>
          <w:tab w:val="num" w:pos="5760"/>
        </w:tabs>
        <w:ind w:left="5760" w:hanging="360"/>
      </w:pPr>
    </w:lvl>
    <w:lvl w:ilvl="8" w:tplc="8B526722" w:tentative="1">
      <w:start w:val="1"/>
      <w:numFmt w:val="lowerLetter"/>
      <w:lvlText w:val="%9."/>
      <w:lvlJc w:val="left"/>
      <w:pPr>
        <w:tabs>
          <w:tab w:val="num" w:pos="6480"/>
        </w:tabs>
        <w:ind w:left="6480" w:hanging="360"/>
      </w:pPr>
    </w:lvl>
  </w:abstractNum>
  <w:num w:numId="1" w16cid:durableId="1951818821">
    <w:abstractNumId w:val="2"/>
  </w:num>
  <w:num w:numId="2" w16cid:durableId="2030255812">
    <w:abstractNumId w:val="1"/>
  </w:num>
  <w:num w:numId="3" w16cid:durableId="6319048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e0NLAwt7QwMLIwMDBQ0lEKTi0uzszPAykwrAUAzEPXWiwAAAA="/>
  </w:docVars>
  <w:rsids>
    <w:rsidRoot w:val="00145EC3"/>
    <w:rsid w:val="00005272"/>
    <w:rsid w:val="00010B92"/>
    <w:rsid w:val="00015204"/>
    <w:rsid w:val="0004236C"/>
    <w:rsid w:val="0004581C"/>
    <w:rsid w:val="00053FED"/>
    <w:rsid w:val="000607FA"/>
    <w:rsid w:val="000778C6"/>
    <w:rsid w:val="00097C2A"/>
    <w:rsid w:val="000A3610"/>
    <w:rsid w:val="000B5F2A"/>
    <w:rsid w:val="000E0B9F"/>
    <w:rsid w:val="001038A2"/>
    <w:rsid w:val="001054BB"/>
    <w:rsid w:val="00110699"/>
    <w:rsid w:val="00110821"/>
    <w:rsid w:val="00144988"/>
    <w:rsid w:val="00145EC3"/>
    <w:rsid w:val="00163CA8"/>
    <w:rsid w:val="0017357E"/>
    <w:rsid w:val="00181124"/>
    <w:rsid w:val="00185837"/>
    <w:rsid w:val="001876D7"/>
    <w:rsid w:val="00196F23"/>
    <w:rsid w:val="001A3534"/>
    <w:rsid w:val="001A7733"/>
    <w:rsid w:val="001A7FD2"/>
    <w:rsid w:val="001D0FEC"/>
    <w:rsid w:val="001E12E4"/>
    <w:rsid w:val="0020124A"/>
    <w:rsid w:val="0020192A"/>
    <w:rsid w:val="00205E37"/>
    <w:rsid w:val="00227FD4"/>
    <w:rsid w:val="002412E8"/>
    <w:rsid w:val="00265DAA"/>
    <w:rsid w:val="0029487A"/>
    <w:rsid w:val="002A175E"/>
    <w:rsid w:val="002A69D5"/>
    <w:rsid w:val="002B04B8"/>
    <w:rsid w:val="002C096B"/>
    <w:rsid w:val="003105EF"/>
    <w:rsid w:val="003370CF"/>
    <w:rsid w:val="0035215E"/>
    <w:rsid w:val="00365FF1"/>
    <w:rsid w:val="003678BF"/>
    <w:rsid w:val="00381150"/>
    <w:rsid w:val="003821DB"/>
    <w:rsid w:val="003A68EA"/>
    <w:rsid w:val="003A7C25"/>
    <w:rsid w:val="003B6B3F"/>
    <w:rsid w:val="003D2B64"/>
    <w:rsid w:val="003D2F5C"/>
    <w:rsid w:val="003D5D6B"/>
    <w:rsid w:val="00440162"/>
    <w:rsid w:val="0044184B"/>
    <w:rsid w:val="004456B5"/>
    <w:rsid w:val="00461934"/>
    <w:rsid w:val="00485DA0"/>
    <w:rsid w:val="004910A6"/>
    <w:rsid w:val="00492D02"/>
    <w:rsid w:val="004D57CC"/>
    <w:rsid w:val="004F1E5D"/>
    <w:rsid w:val="00501C1F"/>
    <w:rsid w:val="0050285F"/>
    <w:rsid w:val="005111E9"/>
    <w:rsid w:val="00517AA8"/>
    <w:rsid w:val="00517E48"/>
    <w:rsid w:val="0054724B"/>
    <w:rsid w:val="0057134D"/>
    <w:rsid w:val="005A0473"/>
    <w:rsid w:val="005A16BE"/>
    <w:rsid w:val="005A5CA3"/>
    <w:rsid w:val="0060066C"/>
    <w:rsid w:val="006313DF"/>
    <w:rsid w:val="0063333D"/>
    <w:rsid w:val="006457A3"/>
    <w:rsid w:val="00685BEC"/>
    <w:rsid w:val="006945D4"/>
    <w:rsid w:val="006C2A52"/>
    <w:rsid w:val="006F3DB6"/>
    <w:rsid w:val="006F666F"/>
    <w:rsid w:val="006F70BE"/>
    <w:rsid w:val="00724937"/>
    <w:rsid w:val="007249CF"/>
    <w:rsid w:val="00741096"/>
    <w:rsid w:val="00766F76"/>
    <w:rsid w:val="00767F03"/>
    <w:rsid w:val="00771DBF"/>
    <w:rsid w:val="00791DFF"/>
    <w:rsid w:val="007941B2"/>
    <w:rsid w:val="00797E2E"/>
    <w:rsid w:val="007A05B3"/>
    <w:rsid w:val="007D1BCF"/>
    <w:rsid w:val="007E3FF2"/>
    <w:rsid w:val="0080597D"/>
    <w:rsid w:val="00814D62"/>
    <w:rsid w:val="008205DD"/>
    <w:rsid w:val="00831774"/>
    <w:rsid w:val="0083583C"/>
    <w:rsid w:val="00837C94"/>
    <w:rsid w:val="00841EF2"/>
    <w:rsid w:val="00845E1C"/>
    <w:rsid w:val="00862621"/>
    <w:rsid w:val="00865529"/>
    <w:rsid w:val="008763E8"/>
    <w:rsid w:val="008B4D2F"/>
    <w:rsid w:val="008C33F9"/>
    <w:rsid w:val="008F2767"/>
    <w:rsid w:val="009034C8"/>
    <w:rsid w:val="009046F6"/>
    <w:rsid w:val="009140D1"/>
    <w:rsid w:val="009448C2"/>
    <w:rsid w:val="00946E9A"/>
    <w:rsid w:val="009546EF"/>
    <w:rsid w:val="00974299"/>
    <w:rsid w:val="009779CF"/>
    <w:rsid w:val="009B615F"/>
    <w:rsid w:val="009B643D"/>
    <w:rsid w:val="009C71EA"/>
    <w:rsid w:val="009D07ED"/>
    <w:rsid w:val="009D4AD1"/>
    <w:rsid w:val="009E2C8F"/>
    <w:rsid w:val="00A1057D"/>
    <w:rsid w:val="00A2685B"/>
    <w:rsid w:val="00A46579"/>
    <w:rsid w:val="00A53599"/>
    <w:rsid w:val="00A5606A"/>
    <w:rsid w:val="00A61E13"/>
    <w:rsid w:val="00A62EF7"/>
    <w:rsid w:val="00A717C1"/>
    <w:rsid w:val="00A71BCB"/>
    <w:rsid w:val="00A9136E"/>
    <w:rsid w:val="00A9345C"/>
    <w:rsid w:val="00A96301"/>
    <w:rsid w:val="00AA5725"/>
    <w:rsid w:val="00AB2034"/>
    <w:rsid w:val="00AC2E00"/>
    <w:rsid w:val="00AD1008"/>
    <w:rsid w:val="00AD7131"/>
    <w:rsid w:val="00AE0224"/>
    <w:rsid w:val="00B04635"/>
    <w:rsid w:val="00B1039A"/>
    <w:rsid w:val="00B134BE"/>
    <w:rsid w:val="00B13F9C"/>
    <w:rsid w:val="00B15F61"/>
    <w:rsid w:val="00B202E5"/>
    <w:rsid w:val="00B26235"/>
    <w:rsid w:val="00B51938"/>
    <w:rsid w:val="00B6248E"/>
    <w:rsid w:val="00B75510"/>
    <w:rsid w:val="00B8756C"/>
    <w:rsid w:val="00BA6BFB"/>
    <w:rsid w:val="00BB3FF4"/>
    <w:rsid w:val="00BC3F45"/>
    <w:rsid w:val="00BC4151"/>
    <w:rsid w:val="00BC4E38"/>
    <w:rsid w:val="00BC566C"/>
    <w:rsid w:val="00C1138A"/>
    <w:rsid w:val="00C23AA2"/>
    <w:rsid w:val="00C24FD6"/>
    <w:rsid w:val="00C7487F"/>
    <w:rsid w:val="00CB1655"/>
    <w:rsid w:val="00CB6C20"/>
    <w:rsid w:val="00CE0A45"/>
    <w:rsid w:val="00CE4491"/>
    <w:rsid w:val="00CF165D"/>
    <w:rsid w:val="00D24682"/>
    <w:rsid w:val="00D27B3D"/>
    <w:rsid w:val="00D42707"/>
    <w:rsid w:val="00D56C5C"/>
    <w:rsid w:val="00D575AE"/>
    <w:rsid w:val="00D74A2A"/>
    <w:rsid w:val="00D778DA"/>
    <w:rsid w:val="00D81C11"/>
    <w:rsid w:val="00DA07CB"/>
    <w:rsid w:val="00DA330C"/>
    <w:rsid w:val="00DF36B0"/>
    <w:rsid w:val="00E117B4"/>
    <w:rsid w:val="00E164D0"/>
    <w:rsid w:val="00E42C3B"/>
    <w:rsid w:val="00E479CC"/>
    <w:rsid w:val="00E527B2"/>
    <w:rsid w:val="00E8350C"/>
    <w:rsid w:val="00E841BD"/>
    <w:rsid w:val="00E90767"/>
    <w:rsid w:val="00EA59B2"/>
    <w:rsid w:val="00ED2A2A"/>
    <w:rsid w:val="00F015F6"/>
    <w:rsid w:val="00F03357"/>
    <w:rsid w:val="00F11F4C"/>
    <w:rsid w:val="00F36DA3"/>
    <w:rsid w:val="00F420DA"/>
    <w:rsid w:val="00F44428"/>
    <w:rsid w:val="00F60E82"/>
    <w:rsid w:val="00F70BE9"/>
    <w:rsid w:val="00FB5CE6"/>
    <w:rsid w:val="00FB6A0A"/>
    <w:rsid w:val="00FB7E44"/>
    <w:rsid w:val="00FD5306"/>
    <w:rsid w:val="00FE2F74"/>
    <w:rsid w:val="00FF2C5F"/>
    <w:rsid w:val="0CC03FEE"/>
    <w:rsid w:val="62390025"/>
    <w:rsid w:val="739ECC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48ACF"/>
  <w15:chartTrackingRefBased/>
  <w15:docId w15:val="{8B221DE1-16B5-FB4D-9AD9-8BDDC1B7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5E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5E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5E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5E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5E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5E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5E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5E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5E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E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5E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5E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5E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5E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5E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5E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5E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5EC3"/>
    <w:rPr>
      <w:rFonts w:eastAsiaTheme="majorEastAsia" w:cstheme="majorBidi"/>
      <w:color w:val="272727" w:themeColor="text1" w:themeTint="D8"/>
    </w:rPr>
  </w:style>
  <w:style w:type="paragraph" w:styleId="Title">
    <w:name w:val="Title"/>
    <w:basedOn w:val="Normal"/>
    <w:next w:val="Normal"/>
    <w:link w:val="TitleChar"/>
    <w:uiPriority w:val="10"/>
    <w:qFormat/>
    <w:rsid w:val="00145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E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5E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5E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5EC3"/>
    <w:pPr>
      <w:spacing w:before="160"/>
      <w:jc w:val="center"/>
    </w:pPr>
    <w:rPr>
      <w:i/>
      <w:iCs/>
      <w:color w:val="404040" w:themeColor="text1" w:themeTint="BF"/>
    </w:rPr>
  </w:style>
  <w:style w:type="character" w:customStyle="1" w:styleId="QuoteChar">
    <w:name w:val="Quote Char"/>
    <w:basedOn w:val="DefaultParagraphFont"/>
    <w:link w:val="Quote"/>
    <w:uiPriority w:val="29"/>
    <w:rsid w:val="00145EC3"/>
    <w:rPr>
      <w:i/>
      <w:iCs/>
      <w:color w:val="404040" w:themeColor="text1" w:themeTint="BF"/>
    </w:rPr>
  </w:style>
  <w:style w:type="paragraph" w:styleId="ListParagraph">
    <w:name w:val="List Paragraph"/>
    <w:basedOn w:val="Normal"/>
    <w:uiPriority w:val="34"/>
    <w:qFormat/>
    <w:rsid w:val="00145EC3"/>
    <w:pPr>
      <w:ind w:left="720"/>
      <w:contextualSpacing/>
    </w:pPr>
  </w:style>
  <w:style w:type="character" w:styleId="IntenseEmphasis">
    <w:name w:val="Intense Emphasis"/>
    <w:basedOn w:val="DefaultParagraphFont"/>
    <w:uiPriority w:val="21"/>
    <w:qFormat/>
    <w:rsid w:val="00145EC3"/>
    <w:rPr>
      <w:i/>
      <w:iCs/>
      <w:color w:val="0F4761" w:themeColor="accent1" w:themeShade="BF"/>
    </w:rPr>
  </w:style>
  <w:style w:type="paragraph" w:styleId="IntenseQuote">
    <w:name w:val="Intense Quote"/>
    <w:basedOn w:val="Normal"/>
    <w:next w:val="Normal"/>
    <w:link w:val="IntenseQuoteChar"/>
    <w:uiPriority w:val="30"/>
    <w:qFormat/>
    <w:rsid w:val="00145E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5EC3"/>
    <w:rPr>
      <w:i/>
      <w:iCs/>
      <w:color w:val="0F4761" w:themeColor="accent1" w:themeShade="BF"/>
    </w:rPr>
  </w:style>
  <w:style w:type="character" w:styleId="IntenseReference">
    <w:name w:val="Intense Reference"/>
    <w:basedOn w:val="DefaultParagraphFont"/>
    <w:uiPriority w:val="32"/>
    <w:qFormat/>
    <w:rsid w:val="00145EC3"/>
    <w:rPr>
      <w:b/>
      <w:bCs/>
      <w:smallCaps/>
      <w:color w:val="0F4761" w:themeColor="accent1" w:themeShade="BF"/>
      <w:spacing w:val="5"/>
    </w:rPr>
  </w:style>
  <w:style w:type="paragraph" w:styleId="Revision">
    <w:name w:val="Revision"/>
    <w:hidden/>
    <w:uiPriority w:val="99"/>
    <w:semiHidden/>
    <w:rsid w:val="00F70BE9"/>
    <w:pPr>
      <w:spacing w:after="0" w:line="240" w:lineRule="auto"/>
    </w:pPr>
  </w:style>
  <w:style w:type="character" w:styleId="CommentReference">
    <w:name w:val="annotation reference"/>
    <w:basedOn w:val="DefaultParagraphFont"/>
    <w:uiPriority w:val="99"/>
    <w:semiHidden/>
    <w:unhideWhenUsed/>
    <w:rsid w:val="00053FED"/>
    <w:rPr>
      <w:sz w:val="16"/>
      <w:szCs w:val="16"/>
    </w:rPr>
  </w:style>
  <w:style w:type="paragraph" w:styleId="CommentText">
    <w:name w:val="annotation text"/>
    <w:basedOn w:val="Normal"/>
    <w:link w:val="CommentTextChar"/>
    <w:uiPriority w:val="99"/>
    <w:unhideWhenUsed/>
    <w:rsid w:val="00053FED"/>
    <w:pPr>
      <w:spacing w:line="240" w:lineRule="auto"/>
    </w:pPr>
    <w:rPr>
      <w:sz w:val="20"/>
      <w:szCs w:val="20"/>
    </w:rPr>
  </w:style>
  <w:style w:type="character" w:customStyle="1" w:styleId="CommentTextChar">
    <w:name w:val="Comment Text Char"/>
    <w:basedOn w:val="DefaultParagraphFont"/>
    <w:link w:val="CommentText"/>
    <w:uiPriority w:val="99"/>
    <w:rsid w:val="00053FED"/>
    <w:rPr>
      <w:sz w:val="20"/>
      <w:szCs w:val="20"/>
    </w:rPr>
  </w:style>
  <w:style w:type="paragraph" w:styleId="CommentSubject">
    <w:name w:val="annotation subject"/>
    <w:basedOn w:val="CommentText"/>
    <w:next w:val="CommentText"/>
    <w:link w:val="CommentSubjectChar"/>
    <w:uiPriority w:val="99"/>
    <w:semiHidden/>
    <w:unhideWhenUsed/>
    <w:rsid w:val="00053FED"/>
    <w:rPr>
      <w:b/>
      <w:bCs/>
    </w:rPr>
  </w:style>
  <w:style w:type="character" w:customStyle="1" w:styleId="CommentSubjectChar">
    <w:name w:val="Comment Subject Char"/>
    <w:basedOn w:val="CommentTextChar"/>
    <w:link w:val="CommentSubject"/>
    <w:uiPriority w:val="99"/>
    <w:semiHidden/>
    <w:rsid w:val="00053F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 Yuanming</dc:creator>
  <cp:keywords/>
  <dc:description/>
  <cp:lastModifiedBy>Leng, Yuanming</cp:lastModifiedBy>
  <cp:revision>6</cp:revision>
  <dcterms:created xsi:type="dcterms:W3CDTF">2026-07-10T11:25:00Z</dcterms:created>
  <dcterms:modified xsi:type="dcterms:W3CDTF">2026-07-10T21:28:00Z</dcterms:modified>
</cp:coreProperties>
</file>