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3F378">
      <w:pPr>
        <w:pStyle w:val="2"/>
        <w:adjustRightInd w:val="0"/>
        <w:snapToGrid w:val="0"/>
        <w:spacing w:after="0"/>
        <w:ind w:left="214" w:hanging="214"/>
        <w:jc w:val="left"/>
        <w:rPr>
          <w:rFonts w:eastAsiaTheme="minorEastAsia"/>
          <w:iCs/>
          <w:color w:val="000000" w:themeColor="text1"/>
          <w:kern w:val="24"/>
          <w:sz w:val="28"/>
          <w14:textFill>
            <w14:solidFill>
              <w14:schemeClr w14:val="tx1"/>
            </w14:solidFill>
          </w14:textFill>
        </w:rPr>
      </w:pPr>
      <w:bookmarkStart w:id="0" w:name="_Hlk145185846"/>
      <w:r>
        <w:rPr>
          <w:rFonts w:hint="eastAsia"/>
          <w:iCs/>
          <w:color w:val="000000" w:themeColor="text1"/>
          <w:kern w:val="24"/>
          <w:sz w:val="28"/>
          <w14:textFill>
            <w14:solidFill>
              <w14:schemeClr w14:val="tx1"/>
            </w14:solidFill>
          </w14:textFill>
        </w:rPr>
        <w:t>Supplementary</w:t>
      </w:r>
      <w:r>
        <w:rPr>
          <w:iCs/>
          <w:color w:val="000000" w:themeColor="text1"/>
          <w:kern w:val="24"/>
          <w:sz w:val="28"/>
          <w14:textFill>
            <w14:solidFill>
              <w14:schemeClr w14:val="tx1"/>
            </w14:solidFill>
          </w14:textFill>
        </w:rPr>
        <w:t xml:space="preserve"> Information </w:t>
      </w:r>
      <w:r>
        <w:rPr>
          <w:rFonts w:hint="eastAsia" w:eastAsiaTheme="minorEastAsia"/>
          <w:iCs/>
          <w:color w:val="000000" w:themeColor="text1"/>
          <w:kern w:val="24"/>
          <w:sz w:val="28"/>
          <w14:textFill>
            <w14:solidFill>
              <w14:schemeClr w14:val="tx1"/>
            </w14:solidFill>
          </w14:textFill>
        </w:rPr>
        <w:t>(SI)</w:t>
      </w:r>
    </w:p>
    <w:p w14:paraId="4613C996"/>
    <w:p w14:paraId="32FC419E">
      <w:pPr>
        <w:pStyle w:val="19"/>
        <w:wordWrap w:val="0"/>
        <w:spacing w:line="360" w:lineRule="auto"/>
        <w:ind w:left="0" w:firstLine="0"/>
        <w:jc w:val="both"/>
        <w:rPr>
          <w:rFonts w:ascii="Times New Roman" w:hAnsi="Times New Roman" w:eastAsia="宋体"/>
          <w:b/>
          <w:bCs/>
          <w:kern w:val="2"/>
          <w:sz w:val="36"/>
          <w:szCs w:val="20"/>
          <w:lang w:eastAsia="zh-CN"/>
        </w:rPr>
      </w:pPr>
      <w:bookmarkStart w:id="1" w:name="_Hlk141463836"/>
      <w:r>
        <w:rPr>
          <w:rFonts w:ascii="Times New Roman" w:hAnsi="Times New Roman" w:eastAsia="宋体"/>
          <w:b/>
          <w:bCs/>
          <w:kern w:val="2"/>
          <w:sz w:val="36"/>
          <w:szCs w:val="20"/>
          <w:lang w:eastAsia="zh-CN"/>
        </w:rPr>
        <w:t>Study on Early Retinal Pathological Changes and Biological Mechanisms in</w:t>
      </w:r>
      <w:bookmarkStart w:id="2" w:name="_GoBack"/>
      <w:r>
        <w:rPr>
          <w:rFonts w:ascii="Times New Roman" w:hAnsi="Times New Roman" w:eastAsia="宋体"/>
          <w:b/>
          <w:bCs/>
          <w:kern w:val="2"/>
          <w:sz w:val="36"/>
          <w:szCs w:val="20"/>
          <w:lang w:eastAsia="zh-CN"/>
        </w:rPr>
        <w:t xml:space="preserve"> Sporadic Alzheimer’s Disease Mice </w:t>
      </w:r>
      <w:bookmarkEnd w:id="2"/>
      <w:r>
        <w:rPr>
          <w:rFonts w:ascii="Times New Roman" w:hAnsi="Times New Roman" w:eastAsia="宋体"/>
          <w:b/>
          <w:bCs/>
          <w:kern w:val="2"/>
          <w:sz w:val="36"/>
          <w:szCs w:val="20"/>
          <w:lang w:eastAsia="zh-CN"/>
        </w:rPr>
        <w:t>Based on TMT Proteomics</w:t>
      </w:r>
    </w:p>
    <w:p w14:paraId="10D08F41">
      <w:pPr>
        <w:rPr>
          <w:rFonts w:ascii="Times New Roman" w:hAnsi="Times New Roman" w:eastAsia="宋体"/>
          <w:sz w:val="24"/>
          <w:szCs w:val="24"/>
        </w:rPr>
      </w:pPr>
    </w:p>
    <w:p w14:paraId="147662B6">
      <w:pPr>
        <w:pStyle w:val="6"/>
        <w:adjustRightInd w:val="0"/>
        <w:snapToGri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iCs/>
          <w:color w:val="000000" w:themeColor="text1"/>
          <w:kern w:val="24"/>
          <w14:textFill>
            <w14:solidFill>
              <w14:schemeClr w14:val="tx1"/>
            </w14:solidFill>
          </w14:textFill>
        </w:rPr>
        <w:t xml:space="preserve">This file includes: </w:t>
      </w:r>
    </w:p>
    <w:p w14:paraId="1CB59FE2">
      <w:pPr>
        <w:pStyle w:val="6"/>
        <w:adjustRightInd w:val="0"/>
        <w:snapToGrid w:val="0"/>
        <w:spacing w:before="0" w:beforeAutospacing="0" w:after="0" w:afterAutospacing="0" w:line="480" w:lineRule="auto"/>
        <w:rPr>
          <w:rFonts w:ascii="Times New Roman" w:hAnsi="Times New Roman" w:cs="Times New Roman"/>
          <w:iCs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</w:p>
    <w:p w14:paraId="7E0CCFA2">
      <w:pPr>
        <w:pStyle w:val="6"/>
        <w:numPr>
          <w:ilvl w:val="0"/>
          <w:numId w:val="1"/>
        </w:numPr>
        <w:adjustRightInd w:val="0"/>
        <w:snapToGri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iCs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iCs/>
          <w:color w:val="000000" w:themeColor="text1"/>
          <w:kern w:val="24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iCs/>
          <w:color w:val="000000" w:themeColor="text1"/>
          <w:kern w:val="24"/>
          <w14:textFill>
            <w14:solidFill>
              <w14:schemeClr w14:val="tx1"/>
            </w14:solidFill>
          </w14:textFill>
        </w:rPr>
        <w:t>tables</w:t>
      </w:r>
    </w:p>
    <w:p w14:paraId="402DA23C">
      <w:pPr>
        <w:pStyle w:val="6"/>
        <w:adjustRightInd w:val="0"/>
        <w:snapToGrid w:val="0"/>
        <w:spacing w:before="0" w:beforeAutospacing="0" w:after="0" w:afterAutospacing="0" w:line="480" w:lineRule="auto"/>
        <w:rPr>
          <w:rFonts w:hint="eastAsia" w:ascii="Times New Roman" w:hAnsi="Times New Roman" w:cs="Times New Roman"/>
          <w:iCs/>
          <w:color w:val="0070C0"/>
          <w:kern w:val="24"/>
        </w:rPr>
      </w:pPr>
      <w:r>
        <w:rPr>
          <w:rFonts w:hint="eastAsia" w:ascii="Times New Roman" w:hAnsi="Times New Roman" w:cs="Times New Roman"/>
          <w:kern w:val="2"/>
        </w:rPr>
        <w:t>Tables</w:t>
      </w:r>
      <w:r>
        <w:rPr>
          <w:rFonts w:ascii="Times New Roman" w:hAnsi="Times New Roman" w:cs="Times New Roman"/>
          <w:kern w:val="2"/>
        </w:rPr>
        <w:t xml:space="preserve"> </w:t>
      </w:r>
      <w:r>
        <w:rPr>
          <w:rFonts w:ascii="Times New Roman" w:hAnsi="Times New Roman" w:cs="Times New Roman"/>
          <w:iCs/>
          <w:color w:val="0070C0"/>
          <w:kern w:val="24"/>
        </w:rPr>
        <w:t>S1</w:t>
      </w:r>
    </w:p>
    <w:p w14:paraId="224FCD2F">
      <w:pPr>
        <w:pStyle w:val="6"/>
        <w:adjustRightInd w:val="0"/>
        <w:snapToGrid w:val="0"/>
        <w:spacing w:before="0" w:beforeAutospacing="0" w:after="0" w:afterAutospacing="0" w:line="480" w:lineRule="auto"/>
        <w:rPr>
          <w:rFonts w:hint="eastAsia" w:ascii="Times New Roman" w:hAnsi="Times New Roman" w:cs="Times New Roman"/>
          <w:iCs/>
          <w:color w:val="0070C0"/>
          <w:kern w:val="24"/>
        </w:rPr>
      </w:pPr>
      <w:r>
        <w:rPr>
          <w:rFonts w:hint="eastAsia" w:ascii="Times New Roman" w:hAnsi="Times New Roman" w:cs="Times New Roman"/>
          <w:kern w:val="2"/>
        </w:rPr>
        <w:t>Tables</w:t>
      </w:r>
      <w:r>
        <w:rPr>
          <w:rFonts w:ascii="Times New Roman" w:hAnsi="Times New Roman" w:cs="Times New Roman"/>
          <w:kern w:val="2"/>
        </w:rPr>
        <w:t xml:space="preserve"> </w:t>
      </w:r>
      <w:r>
        <w:rPr>
          <w:rFonts w:ascii="Times New Roman" w:hAnsi="Times New Roman" w:cs="Times New Roman"/>
          <w:iCs/>
          <w:color w:val="0070C0"/>
          <w:kern w:val="24"/>
        </w:rPr>
        <w:t>S</w:t>
      </w:r>
      <w:r>
        <w:rPr>
          <w:rFonts w:hint="eastAsia" w:ascii="Times New Roman" w:hAnsi="Times New Roman" w:cs="Times New Roman"/>
          <w:iCs/>
          <w:color w:val="0070C0"/>
          <w:kern w:val="24"/>
        </w:rPr>
        <w:t>2</w:t>
      </w:r>
    </w:p>
    <w:p w14:paraId="3B1D0D47">
      <w:pPr>
        <w:pStyle w:val="6"/>
        <w:adjustRightInd w:val="0"/>
        <w:snapToGrid w:val="0"/>
        <w:spacing w:before="0" w:beforeAutospacing="0" w:after="0" w:afterAutospacing="0" w:line="480" w:lineRule="auto"/>
        <w:rPr>
          <w:rFonts w:hint="eastAsia" w:ascii="Times New Roman" w:hAnsi="Times New Roman" w:cs="Times New Roman"/>
          <w:iCs/>
          <w:color w:val="0070C0"/>
          <w:kern w:val="24"/>
        </w:rPr>
        <w:sectPr>
          <w:footerReference r:id="rId5" w:type="default"/>
          <w:type w:val="continuous"/>
          <w:pgSz w:w="12240" w:h="15840"/>
          <w:pgMar w:top="1440" w:right="1800" w:bottom="1440" w:left="1800" w:header="720" w:footer="720" w:gutter="0"/>
          <w:cols w:space="720" w:num="1"/>
          <w:docGrid w:linePitch="360" w:charSpace="0"/>
        </w:sectPr>
      </w:pPr>
    </w:p>
    <w:bookmarkEnd w:id="0"/>
    <w:bookmarkEnd w:id="1"/>
    <w:p w14:paraId="71C4B0CB">
      <w:pPr>
        <w:pStyle w:val="6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 w:line="360" w:lineRule="auto"/>
        <w:outlineLvl w:val="1"/>
        <w:rPr>
          <w:rFonts w:ascii="Times New Roman" w:hAnsi="Times New Roman" w:cs="Times New Roman"/>
          <w:b/>
          <w:color w:val="0070C0"/>
          <w:kern w:val="2"/>
        </w:rPr>
      </w:pPr>
      <w:r>
        <w:rPr>
          <w:rFonts w:ascii="Times New Roman" w:hAnsi="Times New Roman" w:cs="Times New Roman"/>
          <w:b/>
          <w:iCs/>
          <w:color w:val="000000" w:themeColor="text1"/>
          <w:kern w:val="24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iCs/>
          <w:color w:val="000000" w:themeColor="text1"/>
          <w:kern w:val="24"/>
          <w14:textFill>
            <w14:solidFill>
              <w14:schemeClr w14:val="tx1"/>
            </w14:solidFill>
          </w14:textFill>
        </w:rPr>
        <w:t>tables</w:t>
      </w:r>
    </w:p>
    <w:p w14:paraId="152B8D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kern w:val="2"/>
          <w:sz w:val="24"/>
        </w:rPr>
        <w:t>Table S1</w:t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Down-regulation of protein expression of differential proteins </w:t>
      </w:r>
    </w:p>
    <w:tbl>
      <w:tblPr>
        <w:tblStyle w:val="8"/>
        <w:tblW w:w="5085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2676"/>
        <w:gridCol w:w="5628"/>
        <w:gridCol w:w="990"/>
        <w:gridCol w:w="756"/>
      </w:tblGrid>
      <w:tr w14:paraId="5CEC236B">
        <w:trPr>
          <w:trHeight w:val="225" w:hRule="atLeast"/>
          <w:jc w:val="center"/>
        </w:trPr>
        <w:tc>
          <w:tcPr>
            <w:tcW w:w="57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B65914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color w:val="333333"/>
                <w:sz w:val="24"/>
                <w:szCs w:val="24"/>
              </w:rPr>
              <w:t>Number</w:t>
            </w:r>
          </w:p>
        </w:tc>
        <w:tc>
          <w:tcPr>
            <w:tcW w:w="117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2840C3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color w:val="333333"/>
                <w:sz w:val="24"/>
                <w:szCs w:val="24"/>
              </w:rPr>
              <w:t>Down-regulated protein</w:t>
            </w:r>
          </w:p>
        </w:tc>
        <w:tc>
          <w:tcPr>
            <w:tcW w:w="243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ED5053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color w:val="333333"/>
                <w:sz w:val="24"/>
                <w:szCs w:val="24"/>
              </w:rPr>
              <w:t>Description</w:t>
            </w:r>
          </w:p>
        </w:tc>
        <w:tc>
          <w:tcPr>
            <w:tcW w:w="4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D364FD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i/>
                <w:iCs/>
                <w:color w:val="333333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/>
                <w:color w:val="333333"/>
                <w:sz w:val="24"/>
                <w:szCs w:val="24"/>
              </w:rPr>
              <w:t>-value</w:t>
            </w:r>
          </w:p>
        </w:tc>
        <w:tc>
          <w:tcPr>
            <w:tcW w:w="3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7A2002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color w:val="333333"/>
                <w:sz w:val="24"/>
                <w:szCs w:val="24"/>
              </w:rPr>
              <w:t>FC</w:t>
            </w:r>
          </w:p>
        </w:tc>
      </w:tr>
      <w:tr w14:paraId="335BA483">
        <w:trPr>
          <w:trHeight w:val="225" w:hRule="atLeast"/>
          <w:jc w:val="center"/>
        </w:trPr>
        <w:tc>
          <w:tcPr>
            <w:tcW w:w="57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79E8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7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8A48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Slc25a5</w:t>
            </w:r>
          </w:p>
        </w:tc>
        <w:tc>
          <w:tcPr>
            <w:tcW w:w="243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C13C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ADP/ATP translocase 2</w:t>
            </w:r>
          </w:p>
        </w:tc>
        <w:tc>
          <w:tcPr>
            <w:tcW w:w="4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F792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0.0269</w:t>
            </w:r>
          </w:p>
        </w:tc>
        <w:tc>
          <w:tcPr>
            <w:tcW w:w="3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6DDE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0.746</w:t>
            </w:r>
          </w:p>
        </w:tc>
      </w:tr>
      <w:tr w14:paraId="37A180F6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C2F4E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A2E6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Cnga1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1372F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cGMP-gated cation channel alpha-1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2D90F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0.0396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1F58E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0.807</w:t>
            </w:r>
          </w:p>
        </w:tc>
      </w:tr>
      <w:tr w14:paraId="79F36602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DD334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0644A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Col1a2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84842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Collagen alpha-2(I) chain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CF6D1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0.0100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8F4C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0.804</w:t>
            </w:r>
          </w:p>
        </w:tc>
      </w:tr>
      <w:tr w14:paraId="6306A8AA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9D544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B659A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Cpeb4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9D77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Cytoplasmic polyadenylation element-binding protein 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EC103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0.0319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366D2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0.680</w:t>
            </w:r>
          </w:p>
        </w:tc>
      </w:tr>
      <w:tr w14:paraId="7FBE3C82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17BB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74F6C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Zfp2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2BE01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Zinc finger protein ZFP2 OS=Mus musculus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40F49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0.0074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F38EE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0.779</w:t>
            </w:r>
          </w:p>
        </w:tc>
      </w:tr>
      <w:tr w14:paraId="50EE6092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244C7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95AFF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Mboat7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8C8EE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Lysophospholipid acyltransferase 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38E5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0.0203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883F3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0.822</w:t>
            </w:r>
          </w:p>
        </w:tc>
      </w:tr>
      <w:tr w14:paraId="7E087881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FBAC5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0F3D4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Fam204a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AEA50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Protein FAM204A OS=Mus musculus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F093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0.0031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124C5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0.679</w:t>
            </w:r>
          </w:p>
        </w:tc>
      </w:tr>
      <w:tr w14:paraId="41C41BCB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03DC3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23B3F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Arxes2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BB2AD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Adipocyte-related X-chromosome expressed sequence 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66A74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0.0142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2D668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0.814</w:t>
            </w:r>
          </w:p>
        </w:tc>
      </w:tr>
      <w:tr w14:paraId="06E8916D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6B1C2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23E31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Bpgm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CC3B9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Bisphosphoglycerate mutase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7770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0.0210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3D6F6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0.724</w:t>
            </w:r>
          </w:p>
        </w:tc>
      </w:tr>
      <w:tr w14:paraId="6EEBC3F1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1FBA7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4260F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Map6d1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8DF05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MAP6 domain-containing protein 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A1DF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0.0129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B3C0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0.825</w:t>
            </w:r>
          </w:p>
        </w:tc>
      </w:tr>
      <w:tr w14:paraId="56295F1B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C8F31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324B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Slc8a2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3FBB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Sodium/calcium exchanger 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1B50C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0.0043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F7955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0.617</w:t>
            </w:r>
          </w:p>
        </w:tc>
      </w:tr>
      <w:tr w14:paraId="50BF5245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327E9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2FB41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Mt2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C772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Metallothionein-2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14C24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0.0101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6D075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0.705</w:t>
            </w:r>
          </w:p>
        </w:tc>
      </w:tr>
      <w:tr w14:paraId="53677A35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C40DC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1C75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Pcare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5A117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Photoreceptor cilium actin regulator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5D553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0.0496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B7F1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0.723</w:t>
            </w:r>
          </w:p>
        </w:tc>
      </w:tr>
      <w:tr w14:paraId="137044BA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82FD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DF930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Pwp1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9856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Periodic tryptophan protein 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1EDFD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0.0176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7DE96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0.820</w:t>
            </w:r>
          </w:p>
        </w:tc>
      </w:tr>
      <w:tr w14:paraId="372DFECF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9566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44AE8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Znf8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7FCE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Zinc finger protein 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DD386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0.0348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99A3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0.662</w:t>
            </w:r>
          </w:p>
        </w:tc>
      </w:tr>
      <w:tr w14:paraId="126AD388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518F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EBF72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Thnsl2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746B6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Threonine synthase-like 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49340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0.0240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5D895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0.542</w:t>
            </w:r>
          </w:p>
        </w:tc>
      </w:tr>
      <w:tr w14:paraId="6FEFB443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41C4B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24CF8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Col9a1</w:t>
            </w:r>
          </w:p>
        </w:tc>
        <w:tc>
          <w:tcPr>
            <w:tcW w:w="2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39BA6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Collagen alpha-1(IX) chain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16EF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0.0104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F9E5B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0.697</w:t>
            </w:r>
          </w:p>
        </w:tc>
      </w:tr>
      <w:tr w14:paraId="6988739C">
        <w:trPr>
          <w:trHeight w:val="225" w:hRule="atLeast"/>
          <w:jc w:val="center"/>
        </w:trPr>
        <w:tc>
          <w:tcPr>
            <w:tcW w:w="5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9E3736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17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5CF73C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Fam118a</w:t>
            </w:r>
          </w:p>
        </w:tc>
        <w:tc>
          <w:tcPr>
            <w:tcW w:w="243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298D9E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Protein FAM118A PE=1 SV=1</w:t>
            </w:r>
          </w:p>
        </w:tc>
        <w:tc>
          <w:tcPr>
            <w:tcW w:w="4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CEC597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0.0321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2322A2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0.768</w:t>
            </w:r>
          </w:p>
        </w:tc>
      </w:tr>
    </w:tbl>
    <w:p w14:paraId="0A3B09F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70C0"/>
          <w:kern w:val="2"/>
          <w:sz w:val="24"/>
        </w:rPr>
      </w:pPr>
    </w:p>
    <w:p w14:paraId="05C54F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kern w:val="2"/>
          <w:sz w:val="24"/>
        </w:rPr>
        <w:t>Table S</w:t>
      </w:r>
      <w:r>
        <w:rPr>
          <w:rFonts w:hint="eastAsia" w:ascii="Times New Roman" w:hAnsi="Times New Roman" w:cs="Times New Roman"/>
          <w:b/>
          <w:color w:val="0070C0"/>
          <w:kern w:val="2"/>
          <w:sz w:val="24"/>
        </w:rPr>
        <w:t>2</w:t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</w:rPr>
        <w:t>U</w:t>
      </w:r>
      <w:r>
        <w:rPr>
          <w:rFonts w:hint="eastAsia" w:ascii="Times New Roman" w:hAnsi="Times New Roman" w:cs="Times New Roman"/>
          <w:color w:val="222222"/>
          <w:sz w:val="24"/>
          <w:szCs w:val="24"/>
        </w:rPr>
        <w:t>p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-regulation of protein expression of differential proteins </w:t>
      </w:r>
    </w:p>
    <w:tbl>
      <w:tblPr>
        <w:tblStyle w:val="36"/>
        <w:tblW w:w="6656" w:type="pct"/>
        <w:tblInd w:w="-1276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2476"/>
        <w:gridCol w:w="5527"/>
        <w:gridCol w:w="1019"/>
        <w:gridCol w:w="1161"/>
      </w:tblGrid>
      <w:tr w14:paraId="7A8F31E9">
        <w:trPr>
          <w:trHeight w:val="225" w:hRule="atLeast"/>
        </w:trPr>
        <w:tc>
          <w:tcPr>
            <w:tcW w:w="512" w:type="pct"/>
            <w:tcBorders>
              <w:top w:val="single" w:color="7E7E7E" w:themeColor="text1" w:themeTint="80" w:sz="4" w:space="0"/>
              <w:bottom w:val="single" w:color="auto" w:sz="4" w:space="0"/>
            </w:tcBorders>
            <w:noWrap/>
          </w:tcPr>
          <w:p w14:paraId="1B46380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 w:val="0"/>
                <w:color w:val="333333"/>
                <w:sz w:val="24"/>
                <w:szCs w:val="24"/>
              </w:rPr>
              <w:t>Number</w:t>
            </w:r>
          </w:p>
        </w:tc>
        <w:tc>
          <w:tcPr>
            <w:tcW w:w="1091" w:type="pct"/>
            <w:tcBorders>
              <w:top w:val="single" w:color="7E7E7E" w:themeColor="text1" w:themeTint="80" w:sz="4" w:space="0"/>
              <w:bottom w:val="single" w:color="auto" w:sz="4" w:space="0"/>
            </w:tcBorders>
            <w:noWrap/>
          </w:tcPr>
          <w:p w14:paraId="6FDFB0E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 w:val="0"/>
                <w:color w:val="333333"/>
                <w:sz w:val="24"/>
                <w:szCs w:val="24"/>
              </w:rPr>
              <w:t>Up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333333"/>
                <w:sz w:val="24"/>
                <w:szCs w:val="24"/>
              </w:rPr>
              <w:t>-</w:t>
            </w:r>
            <w:r>
              <w:rPr>
                <w:rFonts w:ascii="Times New Roman" w:hAnsi="Times New Roman" w:eastAsia="宋体" w:cs="Times New Roman"/>
                <w:b/>
                <w:bCs w:val="0"/>
                <w:color w:val="333333"/>
                <w:sz w:val="24"/>
                <w:szCs w:val="24"/>
              </w:rPr>
              <w:t>regulated protein</w:t>
            </w:r>
          </w:p>
        </w:tc>
        <w:tc>
          <w:tcPr>
            <w:tcW w:w="2436" w:type="pct"/>
            <w:tcBorders>
              <w:top w:val="single" w:color="7E7E7E" w:themeColor="text1" w:themeTint="80" w:sz="4" w:space="0"/>
              <w:bottom w:val="single" w:color="auto" w:sz="4" w:space="0"/>
            </w:tcBorders>
            <w:noWrap/>
          </w:tcPr>
          <w:p w14:paraId="7392FB7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 w:val="0"/>
                <w:color w:val="333333"/>
                <w:sz w:val="24"/>
                <w:szCs w:val="24"/>
              </w:rPr>
              <w:t>Description</w:t>
            </w:r>
          </w:p>
        </w:tc>
        <w:tc>
          <w:tcPr>
            <w:tcW w:w="449" w:type="pct"/>
            <w:tcBorders>
              <w:top w:val="single" w:color="7E7E7E" w:themeColor="text1" w:themeTint="80" w:sz="4" w:space="0"/>
              <w:bottom w:val="single" w:color="auto" w:sz="4" w:space="0"/>
            </w:tcBorders>
            <w:noWrap/>
          </w:tcPr>
          <w:p w14:paraId="68C4F03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 w:val="0"/>
                <w:color w:val="333333"/>
                <w:sz w:val="24"/>
                <w:szCs w:val="24"/>
              </w:rPr>
              <w:t>P-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333333"/>
                <w:sz w:val="24"/>
                <w:szCs w:val="24"/>
              </w:rPr>
              <w:t>value</w:t>
            </w:r>
          </w:p>
        </w:tc>
        <w:tc>
          <w:tcPr>
            <w:tcW w:w="513" w:type="pct"/>
            <w:tcBorders>
              <w:top w:val="single" w:color="7E7E7E" w:themeColor="text1" w:themeTint="80" w:sz="4" w:space="0"/>
              <w:bottom w:val="single" w:color="auto" w:sz="4" w:space="0"/>
            </w:tcBorders>
            <w:noWrap/>
          </w:tcPr>
          <w:p w14:paraId="664184C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 w:val="0"/>
                <w:color w:val="333333"/>
                <w:sz w:val="24"/>
                <w:szCs w:val="24"/>
              </w:rPr>
              <w:t>FC</w:t>
            </w:r>
          </w:p>
        </w:tc>
      </w:tr>
      <w:tr w14:paraId="6A03FFBA">
        <w:trPr>
          <w:trHeight w:val="225" w:hRule="atLeast"/>
        </w:trPr>
        <w:tc>
          <w:tcPr>
            <w:tcW w:w="512" w:type="pct"/>
            <w:tcBorders>
              <w:top w:val="single" w:color="auto" w:sz="4" w:space="0"/>
              <w:bottom w:val="nil"/>
            </w:tcBorders>
            <w:noWrap/>
          </w:tcPr>
          <w:p w14:paraId="627AA84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color="auto" w:sz="4" w:space="0"/>
              <w:bottom w:val="nil"/>
            </w:tcBorders>
            <w:noWrap/>
          </w:tcPr>
          <w:p w14:paraId="1695EC7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Oat</w:t>
            </w:r>
          </w:p>
        </w:tc>
        <w:tc>
          <w:tcPr>
            <w:tcW w:w="2436" w:type="pct"/>
            <w:tcBorders>
              <w:top w:val="single" w:color="auto" w:sz="4" w:space="0"/>
              <w:bottom w:val="nil"/>
            </w:tcBorders>
            <w:noWrap/>
          </w:tcPr>
          <w:p w14:paraId="109DF1D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Ornithine aminotransferase, mitochondrial</w:t>
            </w:r>
          </w:p>
        </w:tc>
        <w:tc>
          <w:tcPr>
            <w:tcW w:w="449" w:type="pct"/>
            <w:tcBorders>
              <w:top w:val="single" w:color="auto" w:sz="4" w:space="0"/>
              <w:bottom w:val="nil"/>
            </w:tcBorders>
            <w:noWrap/>
          </w:tcPr>
          <w:p w14:paraId="16549A8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0.0214</w:t>
            </w:r>
          </w:p>
        </w:tc>
        <w:tc>
          <w:tcPr>
            <w:tcW w:w="513" w:type="pct"/>
            <w:tcBorders>
              <w:top w:val="single" w:color="auto" w:sz="4" w:space="0"/>
              <w:bottom w:val="nil"/>
            </w:tcBorders>
            <w:noWrap/>
          </w:tcPr>
          <w:p w14:paraId="46BA094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1.295</w:t>
            </w:r>
          </w:p>
        </w:tc>
      </w:tr>
      <w:tr w14:paraId="296E37BB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36766F3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7895795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Apip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195D72E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Methylthioribulose-1-phosphate dehydratase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310CB48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0.0105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4F77290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1.223</w:t>
            </w:r>
          </w:p>
        </w:tc>
      </w:tr>
      <w:tr w14:paraId="65EAE429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045CC54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7608B4B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Rps6ka3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4709C9B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Ribosomal protein S6 kinase alpha-3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5D8C474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0.0221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6997217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1.239</w:t>
            </w:r>
          </w:p>
        </w:tc>
      </w:tr>
      <w:tr w14:paraId="20092A1E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7F3FD94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4F7E5CB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Rhob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3DB7CB0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Rho-related GTP-binding protein RhoB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4EF55AC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0.0117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35A8992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1.404</w:t>
            </w:r>
          </w:p>
        </w:tc>
      </w:tr>
      <w:tr w14:paraId="450CAB9A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1AA1816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40EE820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Mydgf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18FFC53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Myeloid-derived growth factor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273E04C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0.0323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1149534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1.296</w:t>
            </w:r>
          </w:p>
        </w:tc>
      </w:tr>
      <w:tr w14:paraId="74CCF451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1220008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70BFE1E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Ppif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0C4A25A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Peptidyl-prolyl cis-trans isomerase F, mitochondrial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1392225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0.0044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683C852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1.279</w:t>
            </w:r>
          </w:p>
        </w:tc>
      </w:tr>
      <w:tr w14:paraId="15BD2573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75C5CEB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409950E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Ppil3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54C072F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Peptidyl-prolyl cis-trans isomerase-like 3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76078CE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0.0135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1AB4661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1.251</w:t>
            </w:r>
          </w:p>
        </w:tc>
      </w:tr>
      <w:tr w14:paraId="5F830A64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14525CE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36C2151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Plcb3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4EB07FD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1-phosphatidylinositol 4,5-bisphosphate phosphodiesterase beta-3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6424CBB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0.0423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72A92F2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1.221</w:t>
            </w:r>
          </w:p>
        </w:tc>
      </w:tr>
      <w:tr w14:paraId="2F293760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413277B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48279C1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Dap3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329B2A4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28S ribosomal protein S29, mitochondrial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05B24B3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0.0305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23FCAA9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1.260</w:t>
            </w:r>
          </w:p>
        </w:tc>
      </w:tr>
      <w:tr w14:paraId="742C946C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5B3E338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7C4B406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Snrpc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6DF23CA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U1 small nuclear ribonucleoprotein C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010EBEE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0.0205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2DBE2F6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1.208</w:t>
            </w:r>
          </w:p>
        </w:tc>
      </w:tr>
      <w:tr w14:paraId="0D9FD16A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6D46E60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53F4C86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Cdh13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70B91A7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Cadherin-13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08393B8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0.0106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16AD339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1.472</w:t>
            </w:r>
          </w:p>
        </w:tc>
      </w:tr>
      <w:tr w14:paraId="133A9F62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4731888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12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524F85A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P4ha1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4FC70CA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Prolyl 4-hydroxylase subunit alpha-1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223CD98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0.0363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1371E3B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1.261</w:t>
            </w:r>
          </w:p>
        </w:tc>
      </w:tr>
      <w:tr w14:paraId="316FB740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4B011E4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04F3AC6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Pdpk1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132931F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3-phosphoinositide-dependent protein kinase 1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2E6E04E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0.0271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4DBEF2A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1.206</w:t>
            </w:r>
          </w:p>
        </w:tc>
      </w:tr>
      <w:tr w14:paraId="11FC8740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25D5F02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14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1B6A390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Mrps23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551B3C0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28S ribosomal protein S23, mitochondrial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10DABB0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0.0428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3244BC6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1.223</w:t>
            </w:r>
          </w:p>
        </w:tc>
      </w:tr>
      <w:tr w14:paraId="61E4DECE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1FDD4ED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15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08261E2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Dagla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395F1FF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Diacylglycerol lipase-alpha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115A659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0.0425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53F7BB9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1.208</w:t>
            </w:r>
          </w:p>
        </w:tc>
      </w:tr>
      <w:tr w14:paraId="787395EF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2444793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16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71EA76B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Smpd1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4ADA090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Sphingomyelin phosphodiesterase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299824D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0.0186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4CC9E56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1.353</w:t>
            </w:r>
          </w:p>
        </w:tc>
      </w:tr>
      <w:tr w14:paraId="4F826177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054BDE0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17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4A914AB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Rabl2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42ED4E9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Rab-like protein 2A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24EBC79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0.0032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045517E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1.288</w:t>
            </w:r>
          </w:p>
        </w:tc>
      </w:tr>
      <w:tr w14:paraId="5F153399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57E1F1B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18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1201D68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Diras1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6B8F36C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GTP-binding protein Di-Ras1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7036672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0.0428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7220602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1.207</w:t>
            </w:r>
          </w:p>
        </w:tc>
      </w:tr>
      <w:tr w14:paraId="6CDE6ABB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4B694B6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19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217F5C1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Kcnc1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2DFC500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Potassium voltage-gated channel subfamily C member 1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43979B9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0.0357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2A39221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1.225</w:t>
            </w:r>
          </w:p>
        </w:tc>
      </w:tr>
      <w:tr w14:paraId="34B88FA4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2BB16A9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20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5053EB6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Epb41l4a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3E7B2E4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Band 4.1-like protein 4A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16AC364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0.0013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67AB611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1.250</w:t>
            </w:r>
          </w:p>
        </w:tc>
      </w:tr>
      <w:tr w14:paraId="39439B6A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276B49B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21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59F7C1B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Plbd2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10CFEB0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Putative phospholipase B-like 2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1377C84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0.0270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754A2A3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1.208</w:t>
            </w:r>
          </w:p>
        </w:tc>
      </w:tr>
      <w:tr w14:paraId="7EAE4796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71ADF3F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22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39754F5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Surf2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64721CD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Surfeit locus protein 2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08CA3D1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0.0468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5195E63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1.217</w:t>
            </w:r>
          </w:p>
        </w:tc>
      </w:tr>
      <w:tr w14:paraId="2D8A8ECD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7EFD43B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23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551CD2C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C8b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4DCECE6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Complement component C8 beta chain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11D1CC9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0.0217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38A1AD8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1.294</w:t>
            </w:r>
          </w:p>
        </w:tc>
      </w:tr>
      <w:tr w14:paraId="7E7FC932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37950CE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24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6C1C461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Sst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13B8DFB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Somatostatin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366ADB0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0.0021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3C615ED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1.319</w:t>
            </w:r>
          </w:p>
        </w:tc>
      </w:tr>
      <w:tr w14:paraId="02B9BA98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07568FB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25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1ED4C97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Cc2d1b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644257A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Coiled-coil and C2 domain-containing protein 1B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6028EDE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0.0194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1D3B305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1.403</w:t>
            </w:r>
          </w:p>
        </w:tc>
      </w:tr>
      <w:tr w14:paraId="2D34C189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2A3815E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26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44AD6A6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Borcs8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4BD8E63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BLOC-1-related complex subunit 8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5B038C5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0.0374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322AC0D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1.287</w:t>
            </w:r>
          </w:p>
        </w:tc>
      </w:tr>
      <w:tr w14:paraId="2089C70E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5BF17EE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27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5A9E77D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Arhgap33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0C67C8E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 xml:space="preserve">Rho GTPase-activating protein 33 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0493D57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0.0153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3670CD8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1.548</w:t>
            </w:r>
          </w:p>
        </w:tc>
      </w:tr>
      <w:tr w14:paraId="41CC392B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60A6261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28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611067E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Acad10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4D6E9BB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Acyl-CoA dehydrogenase family member 10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2758F8C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0.0331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1B4BB0D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1.277</w:t>
            </w:r>
          </w:p>
        </w:tc>
      </w:tr>
      <w:tr w14:paraId="0BCB0AB7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52B9F34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29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42B6974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Pard3b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71D73AC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Partitioning defective 3 homolog B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68F64A3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0.0239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4B8A181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1.481</w:t>
            </w:r>
          </w:p>
        </w:tc>
      </w:tr>
      <w:tr w14:paraId="20165EA5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0766D89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30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0F8FBE9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Asb13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1890A23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Ankyrin repeat and SOCS box protein 13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7FAC0A9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0.0492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06204C2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1.764</w:t>
            </w:r>
          </w:p>
        </w:tc>
      </w:tr>
      <w:tr w14:paraId="486AE8BB">
        <w:trPr>
          <w:trHeight w:val="225" w:hRule="atLeast"/>
        </w:trPr>
        <w:tc>
          <w:tcPr>
            <w:tcW w:w="512" w:type="pct"/>
            <w:tcBorders>
              <w:top w:val="nil"/>
              <w:bottom w:val="nil"/>
            </w:tcBorders>
            <w:noWrap/>
          </w:tcPr>
          <w:p w14:paraId="153997B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31</w:t>
            </w:r>
          </w:p>
        </w:tc>
        <w:tc>
          <w:tcPr>
            <w:tcW w:w="1091" w:type="pct"/>
            <w:tcBorders>
              <w:top w:val="nil"/>
              <w:bottom w:val="nil"/>
            </w:tcBorders>
            <w:noWrap/>
          </w:tcPr>
          <w:p w14:paraId="5D7D1A2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Smad1</w:t>
            </w:r>
          </w:p>
        </w:tc>
        <w:tc>
          <w:tcPr>
            <w:tcW w:w="2436" w:type="pct"/>
            <w:tcBorders>
              <w:top w:val="nil"/>
              <w:bottom w:val="nil"/>
            </w:tcBorders>
            <w:noWrap/>
          </w:tcPr>
          <w:p w14:paraId="2361DEA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Mothers against decapentaplegic homolog 1</w:t>
            </w:r>
          </w:p>
        </w:tc>
        <w:tc>
          <w:tcPr>
            <w:tcW w:w="449" w:type="pct"/>
            <w:tcBorders>
              <w:top w:val="nil"/>
              <w:bottom w:val="nil"/>
            </w:tcBorders>
            <w:noWrap/>
          </w:tcPr>
          <w:p w14:paraId="7CA7903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0.0014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/>
          </w:tcPr>
          <w:p w14:paraId="4355AA1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1.828</w:t>
            </w:r>
          </w:p>
        </w:tc>
      </w:tr>
      <w:tr w14:paraId="0D459DD9">
        <w:trPr>
          <w:trHeight w:val="225" w:hRule="atLeast"/>
        </w:trPr>
        <w:tc>
          <w:tcPr>
            <w:tcW w:w="512" w:type="pct"/>
            <w:tcBorders>
              <w:top w:val="nil"/>
              <w:bottom w:val="single" w:color="auto" w:sz="4" w:space="0"/>
            </w:tcBorders>
            <w:noWrap/>
          </w:tcPr>
          <w:p w14:paraId="486F268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333333"/>
                <w:sz w:val="24"/>
                <w:szCs w:val="24"/>
              </w:rPr>
              <w:t>32</w:t>
            </w:r>
          </w:p>
        </w:tc>
        <w:tc>
          <w:tcPr>
            <w:tcW w:w="1091" w:type="pct"/>
            <w:tcBorders>
              <w:top w:val="nil"/>
              <w:bottom w:val="single" w:color="auto" w:sz="4" w:space="0"/>
            </w:tcBorders>
            <w:noWrap/>
          </w:tcPr>
          <w:p w14:paraId="6B24CAC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L</w:t>
            </w:r>
            <w:r>
              <w:rPr>
                <w:rFonts w:hint="eastAsia" w:ascii="Times New Roman" w:hAnsi="Times New Roman" w:eastAsia="宋体" w:cs="Times New Roman"/>
                <w:color w:val="333333"/>
                <w:sz w:val="24"/>
                <w:szCs w:val="24"/>
              </w:rPr>
              <w:t>oc</w:t>
            </w: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100652743</w:t>
            </w:r>
          </w:p>
        </w:tc>
        <w:tc>
          <w:tcPr>
            <w:tcW w:w="2436" w:type="pct"/>
            <w:tcBorders>
              <w:top w:val="nil"/>
              <w:bottom w:val="single" w:color="auto" w:sz="4" w:space="0"/>
            </w:tcBorders>
            <w:noWrap/>
          </w:tcPr>
          <w:p w14:paraId="7D84ED3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Ig kappa chain V-III region</w:t>
            </w:r>
          </w:p>
        </w:tc>
        <w:tc>
          <w:tcPr>
            <w:tcW w:w="449" w:type="pct"/>
            <w:tcBorders>
              <w:top w:val="nil"/>
              <w:bottom w:val="single" w:color="auto" w:sz="4" w:space="0"/>
            </w:tcBorders>
            <w:noWrap/>
          </w:tcPr>
          <w:p w14:paraId="6F8C5F0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0.0383</w:t>
            </w:r>
          </w:p>
        </w:tc>
        <w:tc>
          <w:tcPr>
            <w:tcW w:w="513" w:type="pct"/>
            <w:tcBorders>
              <w:top w:val="nil"/>
              <w:bottom w:val="single" w:color="auto" w:sz="4" w:space="0"/>
            </w:tcBorders>
            <w:noWrap/>
          </w:tcPr>
          <w:p w14:paraId="7726242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  <w:t>1.370</w:t>
            </w:r>
          </w:p>
        </w:tc>
      </w:tr>
    </w:tbl>
    <w:p w14:paraId="5CB1EF76">
      <w:pPr>
        <w:spacing w:line="400" w:lineRule="exact"/>
        <w:jc w:val="center"/>
        <w:rPr>
          <w:rFonts w:ascii="Times New Roman" w:hAnsi="Times New Roman" w:eastAsia="宋体" w:cs="Times New Roman"/>
          <w:color w:val="333333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0000019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52014314"/>
      <w:docPartObj>
        <w:docPartGallery w:val="AutoText"/>
      </w:docPartObj>
    </w:sdtPr>
    <w:sdtContent>
      <w:p w14:paraId="0B14813D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5A3008C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783CEC"/>
    <w:multiLevelType w:val="multilevel"/>
    <w:tmpl w:val="51783CEC"/>
    <w:lvl w:ilvl="0" w:tentative="0">
      <w:start w:val="1"/>
      <w:numFmt w:val="upperLetter"/>
      <w:suff w:val="space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D06694A"/>
    <w:multiLevelType w:val="multilevel"/>
    <w:tmpl w:val="5D06694A"/>
    <w:lvl w:ilvl="0" w:tentative="0">
      <w:start w:val="1"/>
      <w:numFmt w:val="upperLetter"/>
      <w:suff w:val="space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0NDWwNDMxMTYysTBQ0lEKTi0uzszPAykwNKkFAPtMKaQtAAAA"/>
    <w:docVar w:name="commondata" w:val="eyJoZGlkIjoiOWRiMGVlM2U3MDhlMDdlYmNkYjIzMjI4M2ZlNzcxNW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rztxsx2soxsvanefxd2xz5x4x29f9pxfp590&quot;&gt;我的EndNote数据库&lt;record-ids&gt;&lt;item&gt;58&lt;/item&gt;&lt;item&gt;1814&lt;/item&gt;&lt;item&gt;1893&lt;/item&gt;&lt;item&gt;1903&lt;/item&gt;&lt;item&gt;1904&lt;/item&gt;&lt;item&gt;1905&lt;/item&gt;&lt;item&gt;1906&lt;/item&gt;&lt;/record-ids&gt;&lt;/item&gt;&lt;/Libraries&gt;"/>
  </w:docVars>
  <w:rsids>
    <w:rsidRoot w:val="00983E88"/>
    <w:rsid w:val="00002AA2"/>
    <w:rsid w:val="00004BE1"/>
    <w:rsid w:val="000128EA"/>
    <w:rsid w:val="00020D54"/>
    <w:rsid w:val="00024FE8"/>
    <w:rsid w:val="00027384"/>
    <w:rsid w:val="00027578"/>
    <w:rsid w:val="00034340"/>
    <w:rsid w:val="00035278"/>
    <w:rsid w:val="00035CE3"/>
    <w:rsid w:val="00035EBD"/>
    <w:rsid w:val="00036775"/>
    <w:rsid w:val="00044BC9"/>
    <w:rsid w:val="00050BDB"/>
    <w:rsid w:val="00050C0B"/>
    <w:rsid w:val="00050E36"/>
    <w:rsid w:val="00051F6C"/>
    <w:rsid w:val="00063ECB"/>
    <w:rsid w:val="0006535D"/>
    <w:rsid w:val="00066720"/>
    <w:rsid w:val="00072578"/>
    <w:rsid w:val="00073113"/>
    <w:rsid w:val="000731BD"/>
    <w:rsid w:val="0008002B"/>
    <w:rsid w:val="000803BA"/>
    <w:rsid w:val="00081D52"/>
    <w:rsid w:val="00083C29"/>
    <w:rsid w:val="00090498"/>
    <w:rsid w:val="000B1675"/>
    <w:rsid w:val="000B4E14"/>
    <w:rsid w:val="000B501A"/>
    <w:rsid w:val="000B7562"/>
    <w:rsid w:val="000B779D"/>
    <w:rsid w:val="000B7FE8"/>
    <w:rsid w:val="000C5C17"/>
    <w:rsid w:val="000C68C9"/>
    <w:rsid w:val="000C6A89"/>
    <w:rsid w:val="000D51BF"/>
    <w:rsid w:val="000E1D5E"/>
    <w:rsid w:val="000E2211"/>
    <w:rsid w:val="000E33C5"/>
    <w:rsid w:val="000E7F51"/>
    <w:rsid w:val="000F2591"/>
    <w:rsid w:val="000F63FE"/>
    <w:rsid w:val="000F654D"/>
    <w:rsid w:val="000F7342"/>
    <w:rsid w:val="000F755B"/>
    <w:rsid w:val="001005CD"/>
    <w:rsid w:val="00102CA8"/>
    <w:rsid w:val="00103638"/>
    <w:rsid w:val="001045F4"/>
    <w:rsid w:val="00112B8B"/>
    <w:rsid w:val="00113982"/>
    <w:rsid w:val="00115AC5"/>
    <w:rsid w:val="001215C7"/>
    <w:rsid w:val="00124B35"/>
    <w:rsid w:val="00126EB3"/>
    <w:rsid w:val="00134D12"/>
    <w:rsid w:val="001435C7"/>
    <w:rsid w:val="00144C7B"/>
    <w:rsid w:val="00152B33"/>
    <w:rsid w:val="00164D75"/>
    <w:rsid w:val="00165190"/>
    <w:rsid w:val="001875BB"/>
    <w:rsid w:val="00197403"/>
    <w:rsid w:val="001A0263"/>
    <w:rsid w:val="001A1D7E"/>
    <w:rsid w:val="001C16FA"/>
    <w:rsid w:val="001D00CD"/>
    <w:rsid w:val="001D3732"/>
    <w:rsid w:val="001D5088"/>
    <w:rsid w:val="001E3595"/>
    <w:rsid w:val="001E47DD"/>
    <w:rsid w:val="001F15D0"/>
    <w:rsid w:val="001F25DB"/>
    <w:rsid w:val="00207DD7"/>
    <w:rsid w:val="00214487"/>
    <w:rsid w:val="00214AE7"/>
    <w:rsid w:val="00221780"/>
    <w:rsid w:val="00221D7C"/>
    <w:rsid w:val="00224AA2"/>
    <w:rsid w:val="00232E2C"/>
    <w:rsid w:val="00236D0B"/>
    <w:rsid w:val="00240254"/>
    <w:rsid w:val="002558D6"/>
    <w:rsid w:val="00256B38"/>
    <w:rsid w:val="00262348"/>
    <w:rsid w:val="002708AA"/>
    <w:rsid w:val="00272B8C"/>
    <w:rsid w:val="00273149"/>
    <w:rsid w:val="00287A93"/>
    <w:rsid w:val="00290A6B"/>
    <w:rsid w:val="002913E6"/>
    <w:rsid w:val="002A03F1"/>
    <w:rsid w:val="002A2E66"/>
    <w:rsid w:val="002A4ABC"/>
    <w:rsid w:val="002A5CE0"/>
    <w:rsid w:val="002B7673"/>
    <w:rsid w:val="002C10C4"/>
    <w:rsid w:val="002C7569"/>
    <w:rsid w:val="002D019E"/>
    <w:rsid w:val="002D32D7"/>
    <w:rsid w:val="002D5143"/>
    <w:rsid w:val="002E57E2"/>
    <w:rsid w:val="002F1D7E"/>
    <w:rsid w:val="002F2507"/>
    <w:rsid w:val="002F2988"/>
    <w:rsid w:val="003004DA"/>
    <w:rsid w:val="00304A68"/>
    <w:rsid w:val="003177EC"/>
    <w:rsid w:val="00320E03"/>
    <w:rsid w:val="0032404E"/>
    <w:rsid w:val="00333CCE"/>
    <w:rsid w:val="00343778"/>
    <w:rsid w:val="0036212A"/>
    <w:rsid w:val="00363570"/>
    <w:rsid w:val="00370F09"/>
    <w:rsid w:val="00371293"/>
    <w:rsid w:val="00381318"/>
    <w:rsid w:val="00397750"/>
    <w:rsid w:val="003B1E99"/>
    <w:rsid w:val="003B4E4C"/>
    <w:rsid w:val="003C0441"/>
    <w:rsid w:val="003C1388"/>
    <w:rsid w:val="003C21E2"/>
    <w:rsid w:val="003E21E4"/>
    <w:rsid w:val="00401C9F"/>
    <w:rsid w:val="004061DF"/>
    <w:rsid w:val="004115C4"/>
    <w:rsid w:val="00414EB9"/>
    <w:rsid w:val="00416E8C"/>
    <w:rsid w:val="00416F7B"/>
    <w:rsid w:val="004172E9"/>
    <w:rsid w:val="0042594E"/>
    <w:rsid w:val="00427853"/>
    <w:rsid w:val="00442F09"/>
    <w:rsid w:val="004465E3"/>
    <w:rsid w:val="00450B82"/>
    <w:rsid w:val="004531A5"/>
    <w:rsid w:val="0045704D"/>
    <w:rsid w:val="004579A0"/>
    <w:rsid w:val="00462535"/>
    <w:rsid w:val="004636FF"/>
    <w:rsid w:val="004651D9"/>
    <w:rsid w:val="00467E83"/>
    <w:rsid w:val="00477260"/>
    <w:rsid w:val="00477F1F"/>
    <w:rsid w:val="00481391"/>
    <w:rsid w:val="00481854"/>
    <w:rsid w:val="004924E0"/>
    <w:rsid w:val="004A0F76"/>
    <w:rsid w:val="004A2BE1"/>
    <w:rsid w:val="004A2BF0"/>
    <w:rsid w:val="004A3EF5"/>
    <w:rsid w:val="004B5369"/>
    <w:rsid w:val="004B62A4"/>
    <w:rsid w:val="004B779F"/>
    <w:rsid w:val="004C14F7"/>
    <w:rsid w:val="004C32C0"/>
    <w:rsid w:val="004D4A53"/>
    <w:rsid w:val="00503ADF"/>
    <w:rsid w:val="0051166A"/>
    <w:rsid w:val="00511CD9"/>
    <w:rsid w:val="00512695"/>
    <w:rsid w:val="00523D7D"/>
    <w:rsid w:val="0053258D"/>
    <w:rsid w:val="00543D25"/>
    <w:rsid w:val="0055116F"/>
    <w:rsid w:val="00554093"/>
    <w:rsid w:val="005628C2"/>
    <w:rsid w:val="0058320C"/>
    <w:rsid w:val="00583883"/>
    <w:rsid w:val="005846EA"/>
    <w:rsid w:val="00594934"/>
    <w:rsid w:val="005A51BE"/>
    <w:rsid w:val="005A5204"/>
    <w:rsid w:val="005B02DE"/>
    <w:rsid w:val="005C2D0D"/>
    <w:rsid w:val="005C41FF"/>
    <w:rsid w:val="005C443D"/>
    <w:rsid w:val="005D4DE4"/>
    <w:rsid w:val="005D52DB"/>
    <w:rsid w:val="005D5342"/>
    <w:rsid w:val="005E3ED2"/>
    <w:rsid w:val="005F0487"/>
    <w:rsid w:val="006003FB"/>
    <w:rsid w:val="0060691C"/>
    <w:rsid w:val="006171D0"/>
    <w:rsid w:val="00621BDB"/>
    <w:rsid w:val="00621F2A"/>
    <w:rsid w:val="00624577"/>
    <w:rsid w:val="00624E4B"/>
    <w:rsid w:val="00627369"/>
    <w:rsid w:val="00630D73"/>
    <w:rsid w:val="00640D1E"/>
    <w:rsid w:val="0065040B"/>
    <w:rsid w:val="00657F29"/>
    <w:rsid w:val="00663498"/>
    <w:rsid w:val="00671525"/>
    <w:rsid w:val="00674890"/>
    <w:rsid w:val="00675FD6"/>
    <w:rsid w:val="00692A60"/>
    <w:rsid w:val="0069714C"/>
    <w:rsid w:val="00697C24"/>
    <w:rsid w:val="006B170F"/>
    <w:rsid w:val="006C0A43"/>
    <w:rsid w:val="006C3D56"/>
    <w:rsid w:val="006D1D22"/>
    <w:rsid w:val="006D2ACD"/>
    <w:rsid w:val="006D3FE8"/>
    <w:rsid w:val="006F1283"/>
    <w:rsid w:val="006F60D0"/>
    <w:rsid w:val="007001CA"/>
    <w:rsid w:val="00706C21"/>
    <w:rsid w:val="00706ECD"/>
    <w:rsid w:val="00720C8C"/>
    <w:rsid w:val="007233D0"/>
    <w:rsid w:val="00727820"/>
    <w:rsid w:val="00727FB0"/>
    <w:rsid w:val="00732D3F"/>
    <w:rsid w:val="00734841"/>
    <w:rsid w:val="00745A46"/>
    <w:rsid w:val="00756941"/>
    <w:rsid w:val="0076497C"/>
    <w:rsid w:val="00771A4D"/>
    <w:rsid w:val="00774B14"/>
    <w:rsid w:val="00777140"/>
    <w:rsid w:val="00783567"/>
    <w:rsid w:val="00792E15"/>
    <w:rsid w:val="00793BD5"/>
    <w:rsid w:val="007B1209"/>
    <w:rsid w:val="007B1A9C"/>
    <w:rsid w:val="007B30B4"/>
    <w:rsid w:val="007B7048"/>
    <w:rsid w:val="007D30F0"/>
    <w:rsid w:val="007D3F76"/>
    <w:rsid w:val="007D67E4"/>
    <w:rsid w:val="007E2061"/>
    <w:rsid w:val="007E67ED"/>
    <w:rsid w:val="007F4A4C"/>
    <w:rsid w:val="007F4F47"/>
    <w:rsid w:val="00804947"/>
    <w:rsid w:val="00805509"/>
    <w:rsid w:val="00805AA8"/>
    <w:rsid w:val="00817927"/>
    <w:rsid w:val="00830287"/>
    <w:rsid w:val="00830342"/>
    <w:rsid w:val="00831891"/>
    <w:rsid w:val="00831F3B"/>
    <w:rsid w:val="00833B29"/>
    <w:rsid w:val="00836987"/>
    <w:rsid w:val="00836AAF"/>
    <w:rsid w:val="00836D3D"/>
    <w:rsid w:val="008403A4"/>
    <w:rsid w:val="008403D7"/>
    <w:rsid w:val="00841B09"/>
    <w:rsid w:val="008617E3"/>
    <w:rsid w:val="00862126"/>
    <w:rsid w:val="00864C57"/>
    <w:rsid w:val="008671CC"/>
    <w:rsid w:val="00870918"/>
    <w:rsid w:val="008727CB"/>
    <w:rsid w:val="00894A40"/>
    <w:rsid w:val="00894CF0"/>
    <w:rsid w:val="008B1BBD"/>
    <w:rsid w:val="008C4D6C"/>
    <w:rsid w:val="008D2F5F"/>
    <w:rsid w:val="008D32CA"/>
    <w:rsid w:val="008D369E"/>
    <w:rsid w:val="008E009F"/>
    <w:rsid w:val="008E060D"/>
    <w:rsid w:val="008E32EA"/>
    <w:rsid w:val="008F089D"/>
    <w:rsid w:val="00902025"/>
    <w:rsid w:val="00906794"/>
    <w:rsid w:val="009078CF"/>
    <w:rsid w:val="0091220A"/>
    <w:rsid w:val="00912644"/>
    <w:rsid w:val="00912CCB"/>
    <w:rsid w:val="009157E5"/>
    <w:rsid w:val="00923ADA"/>
    <w:rsid w:val="00931B8B"/>
    <w:rsid w:val="00933755"/>
    <w:rsid w:val="00933C40"/>
    <w:rsid w:val="00937611"/>
    <w:rsid w:val="009377E8"/>
    <w:rsid w:val="0094343A"/>
    <w:rsid w:val="00945FD5"/>
    <w:rsid w:val="0095068C"/>
    <w:rsid w:val="0095085F"/>
    <w:rsid w:val="00951E23"/>
    <w:rsid w:val="00952E10"/>
    <w:rsid w:val="009569C1"/>
    <w:rsid w:val="00965FAC"/>
    <w:rsid w:val="00966218"/>
    <w:rsid w:val="00975CBD"/>
    <w:rsid w:val="00975DB1"/>
    <w:rsid w:val="00980DBB"/>
    <w:rsid w:val="00981B8E"/>
    <w:rsid w:val="00983E88"/>
    <w:rsid w:val="00985D0B"/>
    <w:rsid w:val="00992497"/>
    <w:rsid w:val="009970AF"/>
    <w:rsid w:val="009B1850"/>
    <w:rsid w:val="009C290D"/>
    <w:rsid w:val="009C4DCC"/>
    <w:rsid w:val="009E003E"/>
    <w:rsid w:val="009E729E"/>
    <w:rsid w:val="009E7C4F"/>
    <w:rsid w:val="009F6D42"/>
    <w:rsid w:val="00A01E58"/>
    <w:rsid w:val="00A040B1"/>
    <w:rsid w:val="00A049ED"/>
    <w:rsid w:val="00A1285C"/>
    <w:rsid w:val="00A22946"/>
    <w:rsid w:val="00A31F82"/>
    <w:rsid w:val="00A36B2D"/>
    <w:rsid w:val="00A371E1"/>
    <w:rsid w:val="00A42F19"/>
    <w:rsid w:val="00A45E21"/>
    <w:rsid w:val="00A51CBF"/>
    <w:rsid w:val="00A52489"/>
    <w:rsid w:val="00A60502"/>
    <w:rsid w:val="00A63F72"/>
    <w:rsid w:val="00A7110B"/>
    <w:rsid w:val="00A807A5"/>
    <w:rsid w:val="00A80A14"/>
    <w:rsid w:val="00A83CCC"/>
    <w:rsid w:val="00A91D6A"/>
    <w:rsid w:val="00A96320"/>
    <w:rsid w:val="00AA12AE"/>
    <w:rsid w:val="00AA5A10"/>
    <w:rsid w:val="00AB075B"/>
    <w:rsid w:val="00AB4D22"/>
    <w:rsid w:val="00AC23BD"/>
    <w:rsid w:val="00AC54D6"/>
    <w:rsid w:val="00AC7ACF"/>
    <w:rsid w:val="00AD34B7"/>
    <w:rsid w:val="00AD48D9"/>
    <w:rsid w:val="00AE0C1A"/>
    <w:rsid w:val="00AE1B54"/>
    <w:rsid w:val="00AE5DC2"/>
    <w:rsid w:val="00AE7783"/>
    <w:rsid w:val="00AF404B"/>
    <w:rsid w:val="00B0462B"/>
    <w:rsid w:val="00B047D8"/>
    <w:rsid w:val="00B05A1A"/>
    <w:rsid w:val="00B05FCB"/>
    <w:rsid w:val="00B07BBD"/>
    <w:rsid w:val="00B13A92"/>
    <w:rsid w:val="00B14BF5"/>
    <w:rsid w:val="00B22DFD"/>
    <w:rsid w:val="00B25760"/>
    <w:rsid w:val="00B26A2E"/>
    <w:rsid w:val="00B42B04"/>
    <w:rsid w:val="00B463DC"/>
    <w:rsid w:val="00B52149"/>
    <w:rsid w:val="00B5357B"/>
    <w:rsid w:val="00B575B6"/>
    <w:rsid w:val="00B57BF9"/>
    <w:rsid w:val="00B61B05"/>
    <w:rsid w:val="00B61D5D"/>
    <w:rsid w:val="00B63EB2"/>
    <w:rsid w:val="00B65ADE"/>
    <w:rsid w:val="00B771B2"/>
    <w:rsid w:val="00B8526C"/>
    <w:rsid w:val="00B855AD"/>
    <w:rsid w:val="00B907C2"/>
    <w:rsid w:val="00B911E9"/>
    <w:rsid w:val="00B97064"/>
    <w:rsid w:val="00BA1210"/>
    <w:rsid w:val="00BA5830"/>
    <w:rsid w:val="00BB7279"/>
    <w:rsid w:val="00BC417F"/>
    <w:rsid w:val="00BC670F"/>
    <w:rsid w:val="00BD0942"/>
    <w:rsid w:val="00BD2169"/>
    <w:rsid w:val="00BD7E78"/>
    <w:rsid w:val="00BE7B9E"/>
    <w:rsid w:val="00BF3CD7"/>
    <w:rsid w:val="00C07656"/>
    <w:rsid w:val="00C120BB"/>
    <w:rsid w:val="00C13ECF"/>
    <w:rsid w:val="00C27B0F"/>
    <w:rsid w:val="00C313D3"/>
    <w:rsid w:val="00C31EB7"/>
    <w:rsid w:val="00C33E14"/>
    <w:rsid w:val="00C35920"/>
    <w:rsid w:val="00C41943"/>
    <w:rsid w:val="00C42166"/>
    <w:rsid w:val="00C45A18"/>
    <w:rsid w:val="00C512F7"/>
    <w:rsid w:val="00C5315E"/>
    <w:rsid w:val="00C552ED"/>
    <w:rsid w:val="00C556B2"/>
    <w:rsid w:val="00C55C57"/>
    <w:rsid w:val="00C66975"/>
    <w:rsid w:val="00C70D76"/>
    <w:rsid w:val="00C72728"/>
    <w:rsid w:val="00C85CA2"/>
    <w:rsid w:val="00C9040E"/>
    <w:rsid w:val="00C93D5E"/>
    <w:rsid w:val="00C95FC3"/>
    <w:rsid w:val="00CA1FCD"/>
    <w:rsid w:val="00CA2A14"/>
    <w:rsid w:val="00CA7F63"/>
    <w:rsid w:val="00CB028E"/>
    <w:rsid w:val="00CB07E3"/>
    <w:rsid w:val="00CB2189"/>
    <w:rsid w:val="00CB444E"/>
    <w:rsid w:val="00CB4C30"/>
    <w:rsid w:val="00CC7B11"/>
    <w:rsid w:val="00CD1BD2"/>
    <w:rsid w:val="00CD3B0B"/>
    <w:rsid w:val="00CD46DC"/>
    <w:rsid w:val="00CE1DBA"/>
    <w:rsid w:val="00CF31A6"/>
    <w:rsid w:val="00CF4BF9"/>
    <w:rsid w:val="00D003DA"/>
    <w:rsid w:val="00D023FD"/>
    <w:rsid w:val="00D10B55"/>
    <w:rsid w:val="00D2191D"/>
    <w:rsid w:val="00D47B37"/>
    <w:rsid w:val="00D5520A"/>
    <w:rsid w:val="00D5654E"/>
    <w:rsid w:val="00D565DE"/>
    <w:rsid w:val="00D7491A"/>
    <w:rsid w:val="00D77FCD"/>
    <w:rsid w:val="00D8774B"/>
    <w:rsid w:val="00D87CF3"/>
    <w:rsid w:val="00D929B2"/>
    <w:rsid w:val="00D9767B"/>
    <w:rsid w:val="00DA60B7"/>
    <w:rsid w:val="00DA679F"/>
    <w:rsid w:val="00DA7109"/>
    <w:rsid w:val="00DB16F7"/>
    <w:rsid w:val="00DC0712"/>
    <w:rsid w:val="00DD1D70"/>
    <w:rsid w:val="00DD608E"/>
    <w:rsid w:val="00DE1226"/>
    <w:rsid w:val="00DE3F99"/>
    <w:rsid w:val="00DF195A"/>
    <w:rsid w:val="00DF4C2D"/>
    <w:rsid w:val="00DF552B"/>
    <w:rsid w:val="00DF5685"/>
    <w:rsid w:val="00DF75D3"/>
    <w:rsid w:val="00E04CB4"/>
    <w:rsid w:val="00E05B69"/>
    <w:rsid w:val="00E108F7"/>
    <w:rsid w:val="00E1664C"/>
    <w:rsid w:val="00E16A55"/>
    <w:rsid w:val="00E17544"/>
    <w:rsid w:val="00E32B1C"/>
    <w:rsid w:val="00E4769B"/>
    <w:rsid w:val="00E7024E"/>
    <w:rsid w:val="00E72ABD"/>
    <w:rsid w:val="00E74615"/>
    <w:rsid w:val="00E75152"/>
    <w:rsid w:val="00E90922"/>
    <w:rsid w:val="00EA6EF9"/>
    <w:rsid w:val="00EB1716"/>
    <w:rsid w:val="00EB184C"/>
    <w:rsid w:val="00EC6106"/>
    <w:rsid w:val="00ED2D4F"/>
    <w:rsid w:val="00EE2EF9"/>
    <w:rsid w:val="00EE672C"/>
    <w:rsid w:val="00EE72F9"/>
    <w:rsid w:val="00EE7DB6"/>
    <w:rsid w:val="00EF387B"/>
    <w:rsid w:val="00EF415B"/>
    <w:rsid w:val="00EF557D"/>
    <w:rsid w:val="00F0358D"/>
    <w:rsid w:val="00F069A5"/>
    <w:rsid w:val="00F11933"/>
    <w:rsid w:val="00F16F27"/>
    <w:rsid w:val="00F2048F"/>
    <w:rsid w:val="00F20A7F"/>
    <w:rsid w:val="00F24449"/>
    <w:rsid w:val="00F24A45"/>
    <w:rsid w:val="00F26AD0"/>
    <w:rsid w:val="00F326D5"/>
    <w:rsid w:val="00F46F53"/>
    <w:rsid w:val="00F51198"/>
    <w:rsid w:val="00F9088A"/>
    <w:rsid w:val="00F95EF9"/>
    <w:rsid w:val="00FA02E1"/>
    <w:rsid w:val="00FA0378"/>
    <w:rsid w:val="00FA7438"/>
    <w:rsid w:val="00FC28F4"/>
    <w:rsid w:val="00FC3E0B"/>
    <w:rsid w:val="00FC7321"/>
    <w:rsid w:val="00FD5F32"/>
    <w:rsid w:val="00FD771B"/>
    <w:rsid w:val="00FE35C5"/>
    <w:rsid w:val="00FE3D15"/>
    <w:rsid w:val="00FE6455"/>
    <w:rsid w:val="00FE74D0"/>
    <w:rsid w:val="00FF216B"/>
    <w:rsid w:val="00FF3161"/>
    <w:rsid w:val="00FF3192"/>
    <w:rsid w:val="00FF4AFC"/>
    <w:rsid w:val="00FF4C65"/>
    <w:rsid w:val="00FF6C24"/>
    <w:rsid w:val="04376843"/>
    <w:rsid w:val="10FC6D8B"/>
    <w:rsid w:val="1E114C23"/>
    <w:rsid w:val="2AF21647"/>
    <w:rsid w:val="335A484E"/>
    <w:rsid w:val="34232E92"/>
    <w:rsid w:val="3D17266E"/>
    <w:rsid w:val="4ACF76FC"/>
    <w:rsid w:val="5023004A"/>
    <w:rsid w:val="511413E7"/>
    <w:rsid w:val="5D9165DC"/>
    <w:rsid w:val="672A3F31"/>
    <w:rsid w:val="69195068"/>
    <w:rsid w:val="79D13C55"/>
    <w:rsid w:val="7C8D3BF7"/>
    <w:rsid w:val="7D65340F"/>
    <w:rsid w:val="FB79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widowControl w:val="0"/>
      <w:spacing w:before="240" w:after="120" w:line="480" w:lineRule="auto"/>
      <w:ind w:left="75" w:hanging="75" w:hangingChars="75"/>
      <w:jc w:val="both"/>
      <w:outlineLvl w:val="0"/>
    </w:pPr>
    <w:rPr>
      <w:rFonts w:ascii="Times New Roman" w:hAnsi="Times New Roman" w:eastAsia="Times New Roman" w:cs="Times New Roman"/>
      <w:b/>
      <w:bCs/>
      <w:kern w:val="44"/>
      <w:sz w:val="24"/>
      <w:szCs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semiHidden/>
    <w:unhideWhenUsed/>
    <w:qFormat/>
    <w:uiPriority w:val="99"/>
  </w:style>
  <w:style w:type="paragraph" w:styleId="4">
    <w:name w:val="footer"/>
    <w:basedOn w:val="1"/>
    <w:link w:val="32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31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宋体" w:hAnsi="宋体" w:eastAsia="宋体" w:cs="宋体"/>
      <w:sz w:val="24"/>
      <w:szCs w:val="24"/>
    </w:rPr>
  </w:style>
  <w:style w:type="paragraph" w:styleId="7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line number"/>
    <w:basedOn w:val="10"/>
    <w:semiHidden/>
    <w:unhideWhenUsed/>
    <w:qFormat/>
    <w:uiPriority w:val="99"/>
  </w:style>
  <w:style w:type="character" w:styleId="13">
    <w:name w:val="Hyperlink"/>
    <w:basedOn w:val="10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5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styleId="17">
    <w:name w:val="Placeholder Text"/>
    <w:basedOn w:val="10"/>
    <w:semiHidden/>
    <w:qFormat/>
    <w:uiPriority w:val="99"/>
    <w:rPr>
      <w:color w:val="808080"/>
    </w:rPr>
  </w:style>
  <w:style w:type="paragraph" w:customStyle="1" w:styleId="18">
    <w:name w:val="MDPI_1.2_title"/>
    <w:next w:val="1"/>
    <w:qFormat/>
    <w:uiPriority w:val="0"/>
    <w:pPr>
      <w:adjustRightInd w:val="0"/>
      <w:snapToGrid w:val="0"/>
      <w:spacing w:after="240" w:line="400" w:lineRule="exac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paragraph" w:customStyle="1" w:styleId="19">
    <w:name w:val="MDPI_1.6_affiliation"/>
    <w:basedOn w:val="1"/>
    <w:qFormat/>
    <w:uiPriority w:val="0"/>
    <w:pPr>
      <w:adjustRightInd w:val="0"/>
      <w:snapToGrid w:val="0"/>
      <w:spacing w:after="0" w:line="200" w:lineRule="atLeast"/>
      <w:ind w:left="311" w:hanging="198"/>
    </w:pPr>
    <w:rPr>
      <w:rFonts w:ascii="Palatino Linotype" w:hAnsi="Palatino Linotype" w:eastAsia="Times New Roman" w:cs="Times New Roman"/>
      <w:color w:val="000000"/>
      <w:sz w:val="18"/>
      <w:szCs w:val="18"/>
      <w:lang w:eastAsia="de-DE" w:bidi="en-US"/>
    </w:rPr>
  </w:style>
  <w:style w:type="character" w:customStyle="1" w:styleId="20">
    <w:name w:val="批注文字 字符"/>
    <w:basedOn w:val="10"/>
    <w:link w:val="3"/>
    <w:semiHidden/>
    <w:qFormat/>
    <w:uiPriority w:val="99"/>
    <w:rPr>
      <w:kern w:val="0"/>
      <w:sz w:val="22"/>
    </w:rPr>
  </w:style>
  <w:style w:type="character" w:customStyle="1" w:styleId="21">
    <w:name w:val="批注主题 字符"/>
    <w:basedOn w:val="20"/>
    <w:link w:val="7"/>
    <w:semiHidden/>
    <w:qFormat/>
    <w:uiPriority w:val="99"/>
    <w:rPr>
      <w:b/>
      <w:bCs/>
      <w:kern w:val="0"/>
      <w:sz w:val="22"/>
    </w:rPr>
  </w:style>
  <w:style w:type="paragraph" w:customStyle="1" w:styleId="22">
    <w:name w:val="MDPI_2.1_heading1"/>
    <w:basedOn w:val="1"/>
    <w:link w:val="23"/>
    <w:qFormat/>
    <w:uiPriority w:val="0"/>
    <w:pPr>
      <w:adjustRightInd w:val="0"/>
      <w:snapToGrid w:val="0"/>
      <w:spacing w:before="240" w:after="120" w:line="260" w:lineRule="atLeast"/>
      <w:outlineLvl w:val="0"/>
    </w:pPr>
    <w:rPr>
      <w:rFonts w:ascii="Palatino Linotype" w:hAnsi="Palatino Linotype" w:eastAsia="Times New Roman" w:cs="Times New Roman"/>
      <w:b/>
      <w:snapToGrid w:val="0"/>
      <w:color w:val="000000"/>
      <w:sz w:val="20"/>
      <w:lang w:eastAsia="de-DE" w:bidi="en-US"/>
      <w14:ligatures w14:val="standardContextual"/>
    </w:rPr>
  </w:style>
  <w:style w:type="character" w:customStyle="1" w:styleId="23">
    <w:name w:val="MDPI_2.1_heading1 字符"/>
    <w:basedOn w:val="10"/>
    <w:link w:val="22"/>
    <w:qFormat/>
    <w:uiPriority w:val="0"/>
    <w:rPr>
      <w:rFonts w:ascii="Palatino Linotype" w:hAnsi="Palatino Linotype" w:eastAsia="Times New Roman" w:cs="Times New Roman"/>
      <w:b/>
      <w:snapToGrid w:val="0"/>
      <w:color w:val="000000"/>
      <w:kern w:val="0"/>
      <w:sz w:val="20"/>
      <w:lang w:eastAsia="de-DE" w:bidi="en-US"/>
      <w14:ligatures w14:val="standardContextual"/>
    </w:rPr>
  </w:style>
  <w:style w:type="paragraph" w:customStyle="1" w:styleId="24">
    <w:name w:val="MDPI_2.2_heading2"/>
    <w:basedOn w:val="1"/>
    <w:link w:val="26"/>
    <w:qFormat/>
    <w:uiPriority w:val="0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hAnsi="Palatino Linotype" w:eastAsia="Times New Roman" w:cs="Times New Roman"/>
      <w:i/>
      <w:snapToGrid w:val="0"/>
      <w:color w:val="000000"/>
      <w:sz w:val="20"/>
      <w:lang w:eastAsia="de-DE" w:bidi="en-US"/>
      <w14:ligatures w14:val="standardContextual"/>
    </w:rPr>
  </w:style>
  <w:style w:type="paragraph" w:customStyle="1" w:styleId="25">
    <w:name w:val="EndNote Bibliography Title"/>
    <w:basedOn w:val="1"/>
    <w:link w:val="27"/>
    <w:uiPriority w:val="0"/>
    <w:pPr>
      <w:spacing w:after="0"/>
      <w:jc w:val="center"/>
    </w:pPr>
    <w:rPr>
      <w:rFonts w:ascii="DengXian" w:hAnsi="DengXian" w:eastAsia="DengXian"/>
    </w:rPr>
  </w:style>
  <w:style w:type="character" w:customStyle="1" w:styleId="26">
    <w:name w:val="MDPI_2.2_heading2 字符"/>
    <w:basedOn w:val="10"/>
    <w:link w:val="24"/>
    <w:qFormat/>
    <w:uiPriority w:val="0"/>
    <w:rPr>
      <w:rFonts w:ascii="Palatino Linotype" w:hAnsi="Palatino Linotype" w:eastAsia="Times New Roman" w:cs="Times New Roman"/>
      <w:i/>
      <w:snapToGrid w:val="0"/>
      <w:color w:val="000000"/>
      <w:kern w:val="0"/>
      <w:sz w:val="20"/>
      <w:lang w:eastAsia="de-DE" w:bidi="en-US"/>
      <w14:ligatures w14:val="standardContextual"/>
    </w:rPr>
  </w:style>
  <w:style w:type="character" w:customStyle="1" w:styleId="27">
    <w:name w:val="EndNote Bibliography Title 字符"/>
    <w:basedOn w:val="26"/>
    <w:link w:val="25"/>
    <w:qFormat/>
    <w:uiPriority w:val="0"/>
    <w:rPr>
      <w:rFonts w:ascii="DengXian" w:hAnsi="DengXian" w:eastAsia="DengXian" w:cs="Times New Roman"/>
      <w:i w:val="0"/>
      <w:snapToGrid/>
      <w:color w:val="000000"/>
      <w:kern w:val="0"/>
      <w:sz w:val="22"/>
      <w:lang w:eastAsia="de-DE" w:bidi="en-US"/>
      <w14:ligatures w14:val="standardContextual"/>
    </w:rPr>
  </w:style>
  <w:style w:type="paragraph" w:customStyle="1" w:styleId="28">
    <w:name w:val="EndNote Bibliography"/>
    <w:basedOn w:val="1"/>
    <w:link w:val="29"/>
    <w:qFormat/>
    <w:uiPriority w:val="0"/>
    <w:pPr>
      <w:spacing w:line="240" w:lineRule="auto"/>
    </w:pPr>
    <w:rPr>
      <w:rFonts w:ascii="DengXian" w:hAnsi="DengXian" w:eastAsia="DengXian"/>
    </w:rPr>
  </w:style>
  <w:style w:type="character" w:customStyle="1" w:styleId="29">
    <w:name w:val="EndNote Bibliography 字符"/>
    <w:basedOn w:val="26"/>
    <w:link w:val="28"/>
    <w:qFormat/>
    <w:uiPriority w:val="0"/>
    <w:rPr>
      <w:rFonts w:ascii="DengXian" w:hAnsi="DengXian" w:eastAsia="DengXian" w:cs="Times New Roman"/>
      <w:i w:val="0"/>
      <w:snapToGrid/>
      <w:color w:val="000000"/>
      <w:kern w:val="0"/>
      <w:sz w:val="22"/>
      <w:lang w:eastAsia="de-DE" w:bidi="en-US"/>
      <w14:ligatures w14:val="standardContextual"/>
    </w:rPr>
  </w:style>
  <w:style w:type="paragraph" w:customStyle="1" w:styleId="30">
    <w:name w:val="修订2"/>
    <w:hidden/>
    <w:unhideWhenUsed/>
    <w:uiPriority w:val="99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1">
    <w:name w:val="页眉 字符"/>
    <w:basedOn w:val="10"/>
    <w:link w:val="5"/>
    <w:uiPriority w:val="99"/>
    <w:rPr>
      <w:sz w:val="18"/>
      <w:szCs w:val="18"/>
    </w:rPr>
  </w:style>
  <w:style w:type="character" w:customStyle="1" w:styleId="32">
    <w:name w:val="页脚 字符"/>
    <w:basedOn w:val="10"/>
    <w:link w:val="4"/>
    <w:qFormat/>
    <w:uiPriority w:val="99"/>
    <w:rPr>
      <w:sz w:val="18"/>
      <w:szCs w:val="18"/>
    </w:rPr>
  </w:style>
  <w:style w:type="paragraph" w:customStyle="1" w:styleId="33">
    <w:name w:val="Revision"/>
    <w:hidden/>
    <w:unhideWhenUsed/>
    <w:uiPriority w:val="99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4">
    <w:name w:val="标题 1 字符"/>
    <w:basedOn w:val="10"/>
    <w:link w:val="2"/>
    <w:uiPriority w:val="9"/>
    <w:rPr>
      <w:rFonts w:ascii="Times New Roman" w:hAnsi="Times New Roman" w:eastAsia="Times New Roman" w:cs="Times New Roman"/>
      <w:b/>
      <w:bCs/>
      <w:kern w:val="44"/>
      <w:sz w:val="24"/>
      <w:szCs w:val="24"/>
    </w:rPr>
  </w:style>
  <w:style w:type="paragraph" w:styleId="35">
    <w:name w:val="List Paragraph"/>
    <w:basedOn w:val="1"/>
    <w:unhideWhenUsed/>
    <w:uiPriority w:val="99"/>
    <w:pPr>
      <w:ind w:firstLine="420" w:firstLineChars="200"/>
    </w:pPr>
  </w:style>
  <w:style w:type="table" w:customStyle="1" w:styleId="36">
    <w:name w:val="Plain Table 2"/>
    <w:basedOn w:val="8"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37">
    <w:name w:val="Grid Table Light"/>
    <w:basedOn w:val="8"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38">
    <w:name w:val="Plain Table 4"/>
    <w:basedOn w:val="8"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39">
    <w:name w:val="Plain Table 5"/>
    <w:basedOn w:val="8"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0">
    <w:name w:val="Grid Table 1 Light Accent 3"/>
    <w:basedOn w:val="8"/>
    <w:uiPriority w:val="46"/>
    <w:tblPr>
      <w:tblBorders>
        <w:top w:val="single" w:color="DADADA" w:themeColor="accent3" w:themeTint="66" w:sz="4" w:space="0"/>
        <w:left w:val="single" w:color="DADADA" w:themeColor="accent3" w:themeTint="66" w:sz="4" w:space="0"/>
        <w:bottom w:val="single" w:color="DADADA" w:themeColor="accent3" w:themeTint="66" w:sz="4" w:space="0"/>
        <w:right w:val="single" w:color="DADADA" w:themeColor="accent3" w:themeTint="66" w:sz="4" w:space="0"/>
        <w:insideH w:val="single" w:color="DADADA" w:themeColor="accent3" w:themeTint="66" w:sz="4" w:space="0"/>
        <w:insideV w:val="single" w:color="DADADA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1">
    <w:name w:val="Plain Table 1"/>
    <w:basedOn w:val="8"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42">
    <w:name w:val="Plain Table 3"/>
    <w:basedOn w:val="8"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1671596F-0F11-4454-9630-3212EF8837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504</Words>
  <Characters>2879</Characters>
  <Lines>23</Lines>
  <Paragraphs>6</Paragraphs>
  <TotalTime>47</TotalTime>
  <ScaleCrop>false</ScaleCrop>
  <LinksUpToDate>false</LinksUpToDate>
  <CharactersWithSpaces>3377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2024-08-20T12:38:00Z</dcterms:created>
  <dc:creator>Bin Chen</dc:creator>
  <cp:lastModifiedBy>李丹阳</cp:lastModifiedBy>
  <cp:lastPrinted>2025-07-11T10:34:00Z</cp:lastPrinted>
  <dcterms:modified xsi:type="dcterms:W3CDTF">2026-07-09T12:38:08Z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F677D22C23434E61A1B79B4354A75E40_12</vt:lpwstr>
  </property>
</Properties>
</file>