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87AA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0" w:after="40" w:line="240" w:lineRule="auto"/>
        <w:jc w:val="center"/>
        <w:rPr>
          <w:rFonts w:eastAsia="Times New Roman" w:cs="Times New Roman" w:asciiTheme="minorHAnsi" w:hAnsiTheme="minorHAnsi"/>
          <w:b/>
          <w:sz w:val="28"/>
        </w:rPr>
      </w:pPr>
      <w:r>
        <w:rPr>
          <w:rFonts w:eastAsia="Times New Roman" w:cs="Times New Roman" w:asciiTheme="minorHAnsi" w:hAnsiTheme="minorHAnsi"/>
          <w:b/>
          <w:sz w:val="28"/>
        </w:rPr>
        <w:t>Checklist for Artificial Intelligence in Medical Imaging (CLAIM):  2024 Update</w:t>
      </w:r>
    </w:p>
    <w:p w14:paraId="388692B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Arial" w:hAnsi="Arial" w:eastAsia="Arial" w:cs="Arial"/>
        </w:rPr>
      </w:pPr>
    </w:p>
    <w:tbl>
      <w:tblPr>
        <w:tblStyle w:val="18"/>
        <w:tblW w:w="9445" w:type="dxa"/>
        <w:tblInd w:w="0" w:type="dxa"/>
        <w:tblBorders>
          <w:top w:val="single" w:color="8EAADB" w:sz="4" w:space="0"/>
          <w:left w:val="single" w:color="8EAADB" w:sz="4" w:space="0"/>
          <w:bottom w:val="single" w:color="8EAADB" w:sz="4" w:space="0"/>
          <w:right w:val="single" w:color="8EAADB" w:sz="4" w:space="0"/>
          <w:insideH w:val="single" w:color="8EAADB" w:sz="4" w:space="0"/>
          <w:insideV w:val="single" w:color="8EAADB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540"/>
        <w:gridCol w:w="4770"/>
        <w:gridCol w:w="1350"/>
        <w:gridCol w:w="450"/>
        <w:gridCol w:w="450"/>
      </w:tblGrid>
      <w:tr w14:paraId="1281900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85" w:type="dxa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/>
            <w:vAlign w:val="center"/>
          </w:tcPr>
          <w:p w14:paraId="1DB6A15D">
            <w:pPr>
              <w:spacing w:before="0" w:after="6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Section / Topic</w:t>
            </w:r>
          </w:p>
        </w:tc>
        <w:tc>
          <w:tcPr>
            <w:tcW w:w="54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/>
            <w:vAlign w:val="center"/>
          </w:tcPr>
          <w:p w14:paraId="02593971">
            <w:pPr>
              <w:spacing w:before="0" w:after="6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477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/>
            <w:vAlign w:val="center"/>
          </w:tcPr>
          <w:p w14:paraId="33FD508F">
            <w:pPr>
              <w:spacing w:before="0" w:after="6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135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/>
          </w:tcPr>
          <w:p w14:paraId="4BFE5C96">
            <w:pPr>
              <w:spacing w:before="100" w:after="60" w:line="240" w:lineRule="auto"/>
              <w:ind w:left="-105" w:right="-105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Page / Line</w:t>
            </w:r>
          </w:p>
        </w:tc>
        <w:tc>
          <w:tcPr>
            <w:tcW w:w="45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/>
          </w:tcPr>
          <w:p w14:paraId="1B54EE1E">
            <w:pPr>
              <w:spacing w:before="100" w:after="60" w:line="240" w:lineRule="auto"/>
              <w:ind w:left="-105" w:right="-105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color="4472C4" w:sz="4" w:space="0"/>
              <w:bottom w:val="single" w:color="4472C4" w:sz="4" w:space="0"/>
              <w:right w:val="single" w:color="4472C4" w:sz="4" w:space="0"/>
              <w:insideH w:val="single" w:sz="4" w:space="0"/>
              <w:insideV w:val="nil"/>
            </w:tcBorders>
            <w:shd w:val="clear" w:color="auto" w:fill="4472C4"/>
            <w:vAlign w:val="center"/>
          </w:tcPr>
          <w:p w14:paraId="180853BF">
            <w:pPr>
              <w:spacing w:before="0" w:after="60" w:line="240" w:lineRule="auto"/>
              <w:ind w:left="-105" w:right="-104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NA</w:t>
            </w:r>
          </w:p>
        </w:tc>
      </w:tr>
      <w:tr w14:paraId="451AC00A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  <w:vAlign w:val="center"/>
          </w:tcPr>
          <w:p w14:paraId="274691A3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 xml:space="preserve">TITLE </w:t>
            </w:r>
            <w:r>
              <w:rPr>
                <w:b w:val="0"/>
                <w:color w:val="2E75B5"/>
                <w:sz w:val="20"/>
                <w:szCs w:val="20"/>
              </w:rPr>
              <w:t>/</w:t>
            </w:r>
            <w:r>
              <w:rPr>
                <w:b/>
                <w:color w:val="2E75B5"/>
                <w:sz w:val="20"/>
                <w:szCs w:val="20"/>
              </w:rPr>
              <w:t xml:space="preserve"> ABSTRACT</w:t>
            </w:r>
          </w:p>
        </w:tc>
        <w:tc>
          <w:tcPr>
            <w:tcW w:w="540" w:type="dxa"/>
            <w:shd w:val="clear" w:color="auto" w:fill="DEEAF6" w:themeFill="accent1" w:themeFillTint="33"/>
            <w:vAlign w:val="center"/>
          </w:tcPr>
          <w:p w14:paraId="594DE84A">
            <w:pPr>
              <w:spacing w:before="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  <w:vAlign w:val="center"/>
          </w:tcPr>
          <w:p w14:paraId="1CD54310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4FAA1BCC">
            <w:pPr>
              <w:spacing w:before="10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3DA628F2">
            <w:pPr>
              <w:spacing w:before="10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  <w:vAlign w:val="center"/>
          </w:tcPr>
          <w:p w14:paraId="3C7A9108">
            <w:pPr>
              <w:spacing w:before="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14:paraId="77E222F8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</w:tcPr>
          <w:p w14:paraId="2E461B32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bookmarkStart w:id="1" w:name="_GoBack" w:colFirst="3" w:colLast="3"/>
          </w:p>
        </w:tc>
        <w:tc>
          <w:tcPr>
            <w:tcW w:w="540" w:type="dxa"/>
          </w:tcPr>
          <w:p w14:paraId="528E25A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4770" w:type="dxa"/>
          </w:tcPr>
          <w:p w14:paraId="3247655D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Identification as a study of AI methodology, specifying the category of technology used (e.g., deep learning)</w:t>
            </w:r>
          </w:p>
        </w:tc>
        <w:tc>
          <w:tcPr>
            <w:tcW w:w="1350" w:type="dxa"/>
          </w:tcPr>
          <w:p w14:paraId="35B8B288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>Title; Abstract  — Cascade Deep Learning (nnU-Net + ResNet-18)</w:t>
            </w:r>
          </w:p>
        </w:tc>
        <w:tc>
          <w:tcPr>
            <w:tcW w:w="450" w:type="dxa"/>
          </w:tcPr>
          <w:p w14:paraId="3207866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80877A0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C2B6EFC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  <w:vAlign w:val="center"/>
          </w:tcPr>
          <w:p w14:paraId="0F7FBEAE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ABSTRACT</w:t>
            </w:r>
          </w:p>
        </w:tc>
        <w:tc>
          <w:tcPr>
            <w:tcW w:w="540" w:type="dxa"/>
            <w:shd w:val="clear" w:color="auto" w:fill="DEEAF6" w:themeFill="accent1" w:themeFillTint="33"/>
            <w:vAlign w:val="center"/>
          </w:tcPr>
          <w:p w14:paraId="32C2D408">
            <w:pPr>
              <w:spacing w:before="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  <w:vAlign w:val="center"/>
          </w:tcPr>
          <w:p w14:paraId="774D00EF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3D94A555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54939D8C">
            <w:pPr>
              <w:spacing w:before="10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  <w:vAlign w:val="center"/>
          </w:tcPr>
          <w:p w14:paraId="6029BC58">
            <w:pPr>
              <w:spacing w:before="0" w:after="6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14:paraId="196B7A8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</w:tcPr>
          <w:p w14:paraId="558DCD82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3C11CE4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4770" w:type="dxa"/>
          </w:tcPr>
          <w:p w14:paraId="1223D376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Summary of study design, methods, results, and conclusions</w:t>
            </w:r>
          </w:p>
        </w:tc>
        <w:tc>
          <w:tcPr>
            <w:tcW w:w="1350" w:type="dxa"/>
          </w:tcPr>
          <w:p w14:paraId="733B6422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>Abstract (structured: Background/Methods/Results/Conclusion)</w:t>
            </w:r>
          </w:p>
        </w:tc>
        <w:tc>
          <w:tcPr>
            <w:tcW w:w="450" w:type="dxa"/>
          </w:tcPr>
          <w:p w14:paraId="058D219A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37422E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End w:id="1"/>
      <w:tr w14:paraId="371B668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</w:tcPr>
          <w:p w14:paraId="4B48E7AF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INTRODUCTION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46ECFF7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</w:tcPr>
          <w:p w14:paraId="0D11385F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0C0E341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74E03D3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68AC5A9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1DAEC64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31387067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5D3CFDD3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4770" w:type="dxa"/>
          </w:tcPr>
          <w:p w14:paraId="07E282C3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Scientific and/or clinical background, including the intended use and role of the AI approach</w:t>
            </w:r>
          </w:p>
        </w:tc>
        <w:tc>
          <w:tcPr>
            <w:tcW w:w="1350" w:type="dxa"/>
          </w:tcPr>
          <w:p w14:paraId="3BCD2402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>Background  paragraphs 1–3 (MRI role; gap; intended assistive use)</w:t>
            </w:r>
          </w:p>
        </w:tc>
        <w:tc>
          <w:tcPr>
            <w:tcW w:w="450" w:type="dxa"/>
          </w:tcPr>
          <w:p w14:paraId="0BBCC6D2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7BF370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7C7F899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4F8AD17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6315206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4770" w:type="dxa"/>
          </w:tcPr>
          <w:p w14:paraId="3C88C91D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Study aims, objectives, and hypotheses </w:t>
            </w:r>
          </w:p>
        </w:tc>
        <w:tc>
          <w:tcPr>
            <w:tcW w:w="1350" w:type="dxa"/>
          </w:tcPr>
          <w:p w14:paraId="2344601B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 xml:space="preserve">Background, final paragraph (aim of the cascade framework) </w:t>
            </w:r>
          </w:p>
        </w:tc>
        <w:tc>
          <w:tcPr>
            <w:tcW w:w="450" w:type="dxa"/>
          </w:tcPr>
          <w:p w14:paraId="5708F0D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698322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E33F5D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</w:tcPr>
          <w:p w14:paraId="4D98F2E7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METHODS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7FAB625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</w:tcPr>
          <w:p w14:paraId="6CE9201D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383BE38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53383B3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4681D77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55D0816F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2A6A9AB0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Study Design</w:t>
            </w:r>
          </w:p>
        </w:tc>
        <w:tc>
          <w:tcPr>
            <w:tcW w:w="540" w:type="dxa"/>
          </w:tcPr>
          <w:p w14:paraId="56BD0F4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4770" w:type="dxa"/>
          </w:tcPr>
          <w:p w14:paraId="2E00F41C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Prospective or retrospective study</w:t>
            </w:r>
          </w:p>
        </w:tc>
        <w:tc>
          <w:tcPr>
            <w:tcW w:w="1350" w:type="dxa"/>
          </w:tcPr>
          <w:p w14:paraId="006F72AB">
            <w:pPr>
              <w:spacing w:before="100" w:after="60" w:line="240" w:lineRule="auto"/>
              <w:jc w:val="center"/>
              <w:rPr>
                <w:rFonts w:hint="eastAsia"/>
                <w:b w:val="0"/>
                <w:color w:val="000000"/>
                <w:sz w:val="17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>Methods – Study Population</w:t>
            </w:r>
            <w:r>
              <w:rPr>
                <w:rFonts w:hint="eastAsia"/>
                <w:b w:val="0"/>
                <w:color w:val="000000"/>
                <w:sz w:val="17"/>
                <w:szCs w:val="20"/>
                <w:lang w:val="en-US" w:eastAsia="zh-CN"/>
              </w:rPr>
              <w:t>(</w:t>
            </w:r>
            <w:r>
              <w:rPr>
                <w:rFonts w:hint="eastAsia"/>
                <w:b w:val="0"/>
                <w:color w:val="000000"/>
                <w:sz w:val="17"/>
                <w:szCs w:val="20"/>
              </w:rPr>
              <w:t>retrospective study</w:t>
            </w:r>
            <w:r>
              <w:rPr>
                <w:rFonts w:hint="eastAsia"/>
                <w:b w:val="0"/>
                <w:color w:val="000000"/>
                <w:sz w:val="17"/>
                <w:szCs w:val="20"/>
                <w:lang w:val="en-US" w:eastAsia="zh-CN"/>
              </w:rPr>
              <w:t>)</w:t>
            </w:r>
          </w:p>
        </w:tc>
        <w:tc>
          <w:tcPr>
            <w:tcW w:w="450" w:type="dxa"/>
          </w:tcPr>
          <w:p w14:paraId="52F7886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5A1A8A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F3D1967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3B026CF2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671A4FC9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4770" w:type="dxa"/>
          </w:tcPr>
          <w:p w14:paraId="7773C3FB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Study goal</w:t>
            </w:r>
          </w:p>
        </w:tc>
        <w:tc>
          <w:tcPr>
            <w:tcW w:w="1350" w:type="dxa"/>
          </w:tcPr>
          <w:p w14:paraId="51D64D3E">
            <w:pPr>
              <w:spacing w:before="100" w:after="60" w:line="240" w:lineRule="auto"/>
              <w:jc w:val="center"/>
              <w:rPr>
                <w:b w:val="0"/>
                <w:color w:val="000000"/>
                <w:sz w:val="17"/>
                <w:szCs w:val="20"/>
              </w:rPr>
            </w:pPr>
            <w:r>
              <w:rPr>
                <w:rFonts w:hint="eastAsia"/>
                <w:b w:val="0"/>
                <w:color w:val="000000"/>
                <w:sz w:val="17"/>
                <w:szCs w:val="20"/>
              </w:rPr>
              <w:t>Background final paragraph; Methods – Study Population</w:t>
            </w:r>
          </w:p>
        </w:tc>
        <w:tc>
          <w:tcPr>
            <w:tcW w:w="450" w:type="dxa"/>
          </w:tcPr>
          <w:p w14:paraId="0EA55C0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F327EF4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C2DABB1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26045831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Data</w:t>
            </w:r>
          </w:p>
        </w:tc>
        <w:tc>
          <w:tcPr>
            <w:tcW w:w="540" w:type="dxa"/>
          </w:tcPr>
          <w:p w14:paraId="0FB8062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4770" w:type="dxa"/>
          </w:tcPr>
          <w:p w14:paraId="21CFC78D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sources</w:t>
            </w:r>
          </w:p>
        </w:tc>
        <w:tc>
          <w:tcPr>
            <w:tcW w:w="1350" w:type="dxa"/>
          </w:tcPr>
          <w:p w14:paraId="26A7A9D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Study Population (single-centre; consecutive knee MRI, Jan 2018–Dec 2022)</w:t>
            </w:r>
          </w:p>
        </w:tc>
        <w:tc>
          <w:tcPr>
            <w:tcW w:w="450" w:type="dxa"/>
          </w:tcPr>
          <w:p w14:paraId="2D7F44D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B27427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14E2898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2F2084B0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0D8F1042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4770" w:type="dxa"/>
          </w:tcPr>
          <w:p w14:paraId="446F6FEB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Inclusion and exclusion criteria</w:t>
            </w:r>
          </w:p>
        </w:tc>
        <w:tc>
          <w:tcPr>
            <w:tcW w:w="1350" w:type="dxa"/>
          </w:tcPr>
          <w:p w14:paraId="3819076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Study Population (inclusion &amp; exclusion criteria)</w:t>
            </w:r>
          </w:p>
        </w:tc>
        <w:tc>
          <w:tcPr>
            <w:tcW w:w="450" w:type="dxa"/>
          </w:tcPr>
          <w:p w14:paraId="1508A8A8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2257034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C6FF87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E7847C7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4766981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4770" w:type="dxa"/>
          </w:tcPr>
          <w:p w14:paraId="45E5EC1F">
            <w:pPr>
              <w:tabs>
                <w:tab w:val="left" w:pos="527"/>
              </w:tabs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pre-processing</w:t>
            </w:r>
          </w:p>
        </w:tc>
        <w:tc>
          <w:tcPr>
            <w:tcW w:w="1350" w:type="dxa"/>
          </w:tcPr>
          <w:p w14:paraId="0F42BEA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Dataset Construction &amp; Preprocessing (3D Slicer; resize 224×224; normalisation); Figure 1A</w:t>
            </w:r>
          </w:p>
        </w:tc>
        <w:tc>
          <w:tcPr>
            <w:tcW w:w="450" w:type="dxa"/>
          </w:tcPr>
          <w:p w14:paraId="5B072615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0A0307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27D57DA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2E9C69D1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4194365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4770" w:type="dxa"/>
          </w:tcPr>
          <w:p w14:paraId="6DF48E86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Selection of data subsets</w:t>
            </w:r>
          </w:p>
        </w:tc>
        <w:tc>
          <w:tcPr>
            <w:tcW w:w="1350" w:type="dxa"/>
          </w:tcPr>
          <w:p w14:paraId="0086A9A8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Observer Study (100-case test subset: 40 normal/30 degenerative/30 tear)</w:t>
            </w:r>
          </w:p>
        </w:tc>
        <w:tc>
          <w:tcPr>
            <w:tcW w:w="450" w:type="dxa"/>
          </w:tcPr>
          <w:p w14:paraId="6A08BF8A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A0CA75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8821110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0DA02176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5330687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4770" w:type="dxa"/>
          </w:tcPr>
          <w:p w14:paraId="032534DE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De-identification methods</w:t>
            </w:r>
          </w:p>
        </w:tc>
        <w:tc>
          <w:tcPr>
            <w:tcW w:w="1350" w:type="dxa"/>
          </w:tcPr>
          <w:p w14:paraId="6B560A9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hint="eastAsia" w:ascii="Calibri" w:hAnsi="Calibri" w:eastAsia="Calibri" w:cs="Calibri"/>
                <w:b w:val="0"/>
                <w:color w:val="000000"/>
                <w:sz w:val="17"/>
                <w:szCs w:val="20"/>
              </w:rPr>
              <w:t>All images were anonymised before analysis</w:t>
            </w:r>
          </w:p>
        </w:tc>
        <w:tc>
          <w:tcPr>
            <w:tcW w:w="450" w:type="dxa"/>
          </w:tcPr>
          <w:p w14:paraId="299B497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4569D7A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E620088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00D54791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1127345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4770" w:type="dxa"/>
          </w:tcPr>
          <w:p w14:paraId="2810671F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How missing data were handled</w:t>
            </w:r>
          </w:p>
        </w:tc>
        <w:tc>
          <w:tcPr>
            <w:tcW w:w="1350" w:type="dxa"/>
          </w:tcPr>
          <w:p w14:paraId="4B22CBAB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exclusion criterion (3): incomplete imaging data were excluded</w:t>
            </w:r>
          </w:p>
        </w:tc>
        <w:tc>
          <w:tcPr>
            <w:tcW w:w="450" w:type="dxa"/>
          </w:tcPr>
          <w:p w14:paraId="6BAFE43B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850C9FF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22D9AA5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40BB4F24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6CD7DF55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4770" w:type="dxa"/>
          </w:tcPr>
          <w:p w14:paraId="309FB61E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Image acquisition protocol</w:t>
            </w:r>
          </w:p>
        </w:tc>
        <w:tc>
          <w:tcPr>
            <w:tcW w:w="1350" w:type="dxa"/>
          </w:tcPr>
          <w:p w14:paraId="4F27400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Table 1 (uMR 660, 1.5-T acquisition parameters)</w:t>
            </w:r>
          </w:p>
        </w:tc>
        <w:tc>
          <w:tcPr>
            <w:tcW w:w="450" w:type="dxa"/>
          </w:tcPr>
          <w:p w14:paraId="32D43054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A1A68A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F17C268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0A928CFA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Reference Standard</w:t>
            </w:r>
          </w:p>
        </w:tc>
        <w:tc>
          <w:tcPr>
            <w:tcW w:w="540" w:type="dxa"/>
          </w:tcPr>
          <w:p w14:paraId="33370EE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4770" w:type="dxa"/>
          </w:tcPr>
          <w:p w14:paraId="6243F468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Definition of method(s) used to obtain reference standard</w:t>
            </w:r>
          </w:p>
        </w:tc>
        <w:tc>
          <w:tcPr>
            <w:tcW w:w="1350" w:type="dxa"/>
          </w:tcPr>
          <w:p w14:paraId="3584114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Reference standard (two sports-medicine specialists, double-blind; senior adjudication; partial arthroscopic confirmation)</w:t>
            </w:r>
          </w:p>
        </w:tc>
        <w:tc>
          <w:tcPr>
            <w:tcW w:w="450" w:type="dxa"/>
          </w:tcPr>
          <w:p w14:paraId="16B1DAE2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4042BF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71D14F8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1D89C62E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4984A79B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4770" w:type="dxa"/>
          </w:tcPr>
          <w:p w14:paraId="011EB76F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Rationale for choosing the reference standard</w:t>
            </w:r>
          </w:p>
        </w:tc>
        <w:tc>
          <w:tcPr>
            <w:tcW w:w="1350" w:type="dxa"/>
          </w:tcPr>
          <w:p w14:paraId="19FCE7C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E0F499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126FD3C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1F3B4DB0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61BA6DF5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48193BE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4770" w:type="dxa"/>
          </w:tcPr>
          <w:p w14:paraId="0B1BD5FA">
            <w:pPr>
              <w:spacing w:before="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Source of reference standard annotations</w:t>
            </w:r>
          </w:p>
        </w:tc>
        <w:tc>
          <w:tcPr>
            <w:tcW w:w="1350" w:type="dxa"/>
          </w:tcPr>
          <w:p w14:paraId="6D13656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Reference standard / Dataset Construction (two specialists &gt;10 yr; 3D Slicer annotation)</w:t>
            </w:r>
          </w:p>
        </w:tc>
        <w:tc>
          <w:tcPr>
            <w:tcW w:w="450" w:type="dxa"/>
          </w:tcPr>
          <w:p w14:paraId="7B2763D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5EC8F1E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4B8AA8C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41201FF8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08774E6E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4770" w:type="dxa"/>
          </w:tcPr>
          <w:p w14:paraId="64088390">
            <w:pPr>
              <w:spacing w:before="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Annotation of test set 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1BA50D31">
            <w:pPr>
              <w:spacing w:before="100" w:after="60" w:line="240" w:lineRule="auto"/>
              <w:jc w:val="center"/>
              <w:rPr>
                <w:rFonts w:eastAsia="Calibri" w:asciiTheme="minorHAnsi" w:hAnsiTheme="minorHAnsi" w:cstheme="minorHAnsi"/>
                <w:b/>
                <w:sz w:val="20"/>
                <w:szCs w:val="20"/>
                <w:lang w:val="en-GB" w:eastAsia="en-US" w:bidi="ar-SA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Observer Study (test-set cases categorised by the expert reference standard)</w:t>
            </w:r>
          </w:p>
        </w:tc>
        <w:tc>
          <w:tcPr>
            <w:tcW w:w="450" w:type="dxa"/>
          </w:tcPr>
          <w:p w14:paraId="5E1465B4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5AC0E9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34BAC64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B7381B8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4446E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4770" w:type="dxa"/>
          </w:tcPr>
          <w:p w14:paraId="4B613508">
            <w:pPr>
              <w:spacing w:before="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Measures of inter- and intra-rater variability of features described by the annotators</w:t>
            </w:r>
          </w:p>
        </w:tc>
        <w:tc>
          <w:tcPr>
            <w:tcW w:w="1350" w:type="dxa"/>
          </w:tcPr>
          <w:p w14:paraId="2ED83675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C451CA5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6B3C4C65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454E6870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092128CF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Data Partitions</w:t>
            </w:r>
          </w:p>
        </w:tc>
        <w:tc>
          <w:tcPr>
            <w:tcW w:w="540" w:type="dxa"/>
          </w:tcPr>
          <w:p w14:paraId="582754AF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4770" w:type="dxa"/>
          </w:tcPr>
          <w:p w14:paraId="77E892FB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How data were assigned to partitions</w:t>
            </w:r>
          </w:p>
        </w:tc>
        <w:tc>
          <w:tcPr>
            <w:tcW w:w="1350" w:type="dxa"/>
          </w:tcPr>
          <w:p w14:paraId="24B296CC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Model Training (8:2 split, random); Figure 1A</w:t>
            </w:r>
          </w:p>
        </w:tc>
        <w:tc>
          <w:tcPr>
            <w:tcW w:w="450" w:type="dxa"/>
          </w:tcPr>
          <w:p w14:paraId="37B78BA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05B9AC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84463C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6C0972D7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4187A05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4770" w:type="dxa"/>
          </w:tcPr>
          <w:p w14:paraId="0B1FC5D0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Level at which partitions are disjoint</w:t>
            </w:r>
          </w:p>
        </w:tc>
        <w:tc>
          <w:tcPr>
            <w:tcW w:w="1350" w:type="dxa"/>
          </w:tcPr>
          <w:p w14:paraId="79DB39FB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Model Training ('partitioned at the patient level'); Figure 1A</w:t>
            </w:r>
          </w:p>
        </w:tc>
        <w:tc>
          <w:tcPr>
            <w:tcW w:w="450" w:type="dxa"/>
          </w:tcPr>
          <w:p w14:paraId="04C82D04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CF46E9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561D649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</w:tcPr>
          <w:p w14:paraId="62B40ACD">
            <w:pPr>
              <w:spacing w:before="0" w:after="60" w:line="240" w:lineRule="auto"/>
              <w:rPr>
                <w:b/>
                <w:i/>
                <w:iCs/>
                <w:color w:val="2E75B5"/>
                <w:sz w:val="20"/>
                <w:szCs w:val="20"/>
              </w:rPr>
            </w:pPr>
            <w:r>
              <w:rPr>
                <w:b/>
                <w:i/>
                <w:iCs/>
                <w:color w:val="2E75B5"/>
                <w:sz w:val="20"/>
                <w:szCs w:val="20"/>
              </w:rPr>
              <w:t>Testing Data</w:t>
            </w:r>
          </w:p>
        </w:tc>
        <w:tc>
          <w:tcPr>
            <w:tcW w:w="540" w:type="dxa"/>
          </w:tcPr>
          <w:p w14:paraId="300F47F2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4770" w:type="dxa"/>
          </w:tcPr>
          <w:p w14:paraId="5547D0DA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Intended</w:t>
            </w:r>
            <w:r>
              <w:rPr>
                <w:color w:val="000000"/>
                <w:sz w:val="20"/>
                <w:szCs w:val="20"/>
              </w:rPr>
              <w:t xml:space="preserve"> sample size</w:t>
            </w:r>
          </w:p>
        </w:tc>
        <w:tc>
          <w:tcPr>
            <w:tcW w:w="1350" w:type="dxa"/>
          </w:tcPr>
          <w:p w14:paraId="09585BE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79A172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3F240F0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E00891C">
      <w:r>
        <w:rPr>
          <w:b/>
        </w:rPr>
        <w:br w:type="page"/>
      </w:r>
    </w:p>
    <w:tbl>
      <w:tblPr>
        <w:tblStyle w:val="18"/>
        <w:tblW w:w="9445" w:type="dxa"/>
        <w:tblInd w:w="0" w:type="dxa"/>
        <w:tblBorders>
          <w:top w:val="single" w:color="8EAADB" w:sz="4" w:space="0"/>
          <w:left w:val="single" w:color="8EAADB" w:sz="4" w:space="0"/>
          <w:bottom w:val="single" w:color="8EAADB" w:sz="4" w:space="0"/>
          <w:right w:val="single" w:color="8EAADB" w:sz="4" w:space="0"/>
          <w:insideH w:val="single" w:color="8EAADB" w:sz="4" w:space="0"/>
          <w:insideV w:val="single" w:color="8EAADB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540"/>
        <w:gridCol w:w="4770"/>
        <w:gridCol w:w="1350"/>
        <w:gridCol w:w="450"/>
        <w:gridCol w:w="450"/>
      </w:tblGrid>
      <w:tr w14:paraId="08A7E2C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85" w:type="dxa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 w:themeFill="accent5"/>
            <w:vAlign w:val="center"/>
          </w:tcPr>
          <w:p w14:paraId="4DF07EEF">
            <w:pPr>
              <w:spacing w:before="0" w:after="60" w:line="240" w:lineRule="auto"/>
              <w:jc w:val="center"/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Section / Topic</w:t>
            </w:r>
          </w:p>
        </w:tc>
        <w:tc>
          <w:tcPr>
            <w:tcW w:w="54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 w:themeFill="accent5"/>
            <w:vAlign w:val="center"/>
          </w:tcPr>
          <w:p w14:paraId="1E427E14">
            <w:pPr>
              <w:spacing w:before="0" w:after="60" w:line="240" w:lineRule="auto"/>
              <w:jc w:val="center"/>
              <w:rPr>
                <w:b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No.</w:t>
            </w:r>
          </w:p>
        </w:tc>
        <w:tc>
          <w:tcPr>
            <w:tcW w:w="477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 w:themeFill="accent5"/>
            <w:vAlign w:val="center"/>
          </w:tcPr>
          <w:p w14:paraId="77EB8447">
            <w:pPr>
              <w:spacing w:before="0" w:after="60" w:line="240" w:lineRule="auto"/>
              <w:jc w:val="center"/>
              <w:rPr>
                <w:b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Item</w:t>
            </w:r>
          </w:p>
        </w:tc>
        <w:tc>
          <w:tcPr>
            <w:tcW w:w="135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 w:themeFill="accent5"/>
          </w:tcPr>
          <w:p w14:paraId="213E8EC8">
            <w:pPr>
              <w:spacing w:before="100" w:after="60" w:line="240" w:lineRule="auto"/>
              <w:ind w:left="-105" w:right="-105"/>
              <w:jc w:val="center"/>
              <w:rPr>
                <w:b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Page / Line</w:t>
            </w:r>
          </w:p>
        </w:tc>
        <w:tc>
          <w:tcPr>
            <w:tcW w:w="450" w:type="dxa"/>
            <w:tcBorders>
              <w:top w:val="single" w:color="4472C4" w:sz="4" w:space="0"/>
              <w:bottom w:val="single" w:color="4472C4" w:sz="4" w:space="0"/>
              <w:right w:val="nil"/>
              <w:insideH w:val="single" w:sz="4" w:space="0"/>
              <w:insideV w:val="nil"/>
            </w:tcBorders>
            <w:shd w:val="clear" w:color="auto" w:fill="4472C4" w:themeFill="accent5"/>
          </w:tcPr>
          <w:p w14:paraId="77F85336">
            <w:pPr>
              <w:spacing w:before="100" w:after="60" w:line="240" w:lineRule="auto"/>
              <w:ind w:left="-105" w:right="-105"/>
              <w:jc w:val="center"/>
              <w:rPr>
                <w:b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No</w:t>
            </w:r>
          </w:p>
        </w:tc>
        <w:tc>
          <w:tcPr>
            <w:tcW w:w="450" w:type="dxa"/>
            <w:tcBorders>
              <w:top w:val="single" w:color="4472C4" w:sz="4" w:space="0"/>
              <w:bottom w:val="single" w:color="4472C4" w:sz="4" w:space="0"/>
              <w:right w:val="single" w:color="4472C4" w:sz="4" w:space="0"/>
              <w:insideH w:val="single" w:sz="4" w:space="0"/>
              <w:insideV w:val="nil"/>
            </w:tcBorders>
            <w:shd w:val="clear" w:color="auto" w:fill="4472C4" w:themeFill="accent5"/>
            <w:vAlign w:val="center"/>
          </w:tcPr>
          <w:p w14:paraId="0C9D468A">
            <w:pPr>
              <w:spacing w:before="0" w:after="60" w:line="240" w:lineRule="auto"/>
              <w:ind w:left="-105" w:right="-104"/>
              <w:jc w:val="center"/>
              <w:rPr>
                <w:b w:val="0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NA</w:t>
            </w:r>
          </w:p>
        </w:tc>
      </w:tr>
      <w:tr w14:paraId="4AA439A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75669EAF">
            <w:pPr>
              <w:keepLines/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Model</w:t>
            </w:r>
          </w:p>
        </w:tc>
        <w:tc>
          <w:tcPr>
            <w:tcW w:w="540" w:type="dxa"/>
          </w:tcPr>
          <w:p w14:paraId="7CE29C8D">
            <w:pPr>
              <w:keepLines/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4770" w:type="dxa"/>
          </w:tcPr>
          <w:p w14:paraId="1C9CCC87">
            <w:pPr>
              <w:keepLines/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Detailed description of model</w:t>
            </w:r>
          </w:p>
        </w:tc>
        <w:tc>
          <w:tcPr>
            <w:tcW w:w="1350" w:type="dxa"/>
          </w:tcPr>
          <w:p w14:paraId="50B97752">
            <w:pPr>
              <w:keepLines/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Methods – Deep Learning Model Architecture (Module 1 nnU-Net; Module 2 ResNet-18)  </w:t>
            </w:r>
          </w:p>
        </w:tc>
        <w:tc>
          <w:tcPr>
            <w:tcW w:w="450" w:type="dxa"/>
          </w:tcPr>
          <w:p w14:paraId="13E8ABB9">
            <w:pPr>
              <w:keepLines/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65F21E5">
            <w:pPr>
              <w:keepLines/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80A4F9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19440E30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62E1177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4770" w:type="dxa"/>
          </w:tcPr>
          <w:p w14:paraId="704DE367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libraries, frameworks, and packages</w:t>
            </w:r>
          </w:p>
        </w:tc>
        <w:tc>
          <w:tcPr>
            <w:tcW w:w="1350" w:type="dxa"/>
          </w:tcPr>
          <w:p w14:paraId="4936928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Model Training: implemented in PyTorch 2.9.1 (Python 3.10.16); nnU-Net self-configuring ; R  in Statistical analysis</w:t>
            </w:r>
          </w:p>
        </w:tc>
        <w:tc>
          <w:tcPr>
            <w:tcW w:w="450" w:type="dxa"/>
          </w:tcPr>
          <w:p w14:paraId="75F3C86F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719E8F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8D43386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7E9B9523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31B55EA5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4770" w:type="dxa"/>
          </w:tcPr>
          <w:p w14:paraId="15FCAE65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Initialization of model parameters</w:t>
            </w:r>
          </w:p>
        </w:tc>
        <w:tc>
          <w:tcPr>
            <w:tcW w:w="1350" w:type="dxa"/>
          </w:tcPr>
          <w:p w14:paraId="1140E7A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Methods – Module 2 (pre-trained ResNet-18); nnU-Net self-configuring </w:t>
            </w:r>
          </w:p>
        </w:tc>
        <w:tc>
          <w:tcPr>
            <w:tcW w:w="450" w:type="dxa"/>
          </w:tcPr>
          <w:p w14:paraId="270A10EF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9BB12F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FB1767F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3FC97DB0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Training</w:t>
            </w:r>
          </w:p>
        </w:tc>
        <w:tc>
          <w:tcPr>
            <w:tcW w:w="540" w:type="dxa"/>
          </w:tcPr>
          <w:p w14:paraId="2FE792E5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4770" w:type="dxa"/>
          </w:tcPr>
          <w:p w14:paraId="61FB1961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Details of training approach</w:t>
            </w:r>
          </w:p>
        </w:tc>
        <w:tc>
          <w:tcPr>
            <w:tcW w:w="1350" w:type="dxa"/>
          </w:tcPr>
          <w:p w14:paraId="37912A0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Methods – Model Training: classification model (ResNet-18) trained with the AdamW optimiser, learning rate 1×10⁻³, batch size 16, 100 epochs; nnU-Net used its default self-configured training </w:t>
            </w:r>
          </w:p>
        </w:tc>
        <w:tc>
          <w:tcPr>
            <w:tcW w:w="450" w:type="dxa"/>
          </w:tcPr>
          <w:p w14:paraId="3711DC9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909954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69D0EA5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61BE9EF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07EA632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4770" w:type="dxa"/>
          </w:tcPr>
          <w:p w14:paraId="45EA5CCE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Method of selecting the final model</w:t>
            </w:r>
          </w:p>
        </w:tc>
        <w:tc>
          <w:tcPr>
            <w:tcW w:w="1350" w:type="dxa"/>
          </w:tcPr>
          <w:p w14:paraId="29C28A2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Model Training: the final model was selected on the basis of best validation-set performance</w:t>
            </w:r>
          </w:p>
        </w:tc>
        <w:tc>
          <w:tcPr>
            <w:tcW w:w="450" w:type="dxa"/>
          </w:tcPr>
          <w:p w14:paraId="5662F00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AF726E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211B1C7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2477A6D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1B30811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4770" w:type="dxa"/>
          </w:tcPr>
          <w:p w14:paraId="2ED41802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Ensembling techniques</w:t>
            </w:r>
          </w:p>
        </w:tc>
        <w:tc>
          <w:tcPr>
            <w:tcW w:w="1350" w:type="dxa"/>
          </w:tcPr>
          <w:p w14:paraId="0C9838F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5015FF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9A9CC5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666666"/>
                <w:sz w:val="17"/>
                <w:szCs w:val="20"/>
              </w:rPr>
              <w:t>X</w:t>
            </w:r>
          </w:p>
        </w:tc>
      </w:tr>
      <w:tr w14:paraId="0AE22EE0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1BDDD64B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Evaluation</w:t>
            </w:r>
          </w:p>
        </w:tc>
        <w:tc>
          <w:tcPr>
            <w:tcW w:w="540" w:type="dxa"/>
          </w:tcPr>
          <w:p w14:paraId="2872BB29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4770" w:type="dxa"/>
          </w:tcPr>
          <w:p w14:paraId="5482EB69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Metrics of model performance</w:t>
            </w:r>
          </w:p>
        </w:tc>
        <w:tc>
          <w:tcPr>
            <w:tcW w:w="1350" w:type="dxa"/>
          </w:tcPr>
          <w:p w14:paraId="153FA5B5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Statistical analysis; Results Tables 3–5 (DSC, accuracy, precision, recall, F1, AUC)</w:t>
            </w:r>
          </w:p>
        </w:tc>
        <w:tc>
          <w:tcPr>
            <w:tcW w:w="450" w:type="dxa"/>
          </w:tcPr>
          <w:p w14:paraId="19AAE8E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D8DFAF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1324C137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885" w:type="dxa"/>
            <w:vMerge w:val="continue"/>
          </w:tcPr>
          <w:p w14:paraId="222D09FD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34E4F4BF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4770" w:type="dxa"/>
          </w:tcPr>
          <w:p w14:paraId="4E8E01F4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Statistical measures of significance and uncertainty</w:t>
            </w:r>
          </w:p>
        </w:tc>
        <w:tc>
          <w:tcPr>
            <w:tcW w:w="1350" w:type="dxa"/>
          </w:tcPr>
          <w:p w14:paraId="279209A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Statistical analysis (AUC 95% CI by Hanley–McNeil; McNemar; Cohen's κ); Results 2.2–2.3</w:t>
            </w:r>
          </w:p>
        </w:tc>
        <w:tc>
          <w:tcPr>
            <w:tcW w:w="450" w:type="dxa"/>
          </w:tcPr>
          <w:p w14:paraId="576C8AFB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8EDBAD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53539927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041513EE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37AA46B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4770" w:type="dxa"/>
          </w:tcPr>
          <w:p w14:paraId="1A6879C2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Robustness or sensitivity analysis</w:t>
            </w:r>
          </w:p>
        </w:tc>
        <w:tc>
          <w:tcPr>
            <w:tcW w:w="1350" w:type="dxa"/>
          </w:tcPr>
          <w:p w14:paraId="2D09C51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5FF0EAA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3513CAB0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A702A82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4927577E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5544CF3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4770" w:type="dxa"/>
          </w:tcPr>
          <w:p w14:paraId="0E18C765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Methods for explainability or interpretability</w:t>
            </w:r>
          </w:p>
        </w:tc>
        <w:tc>
          <w:tcPr>
            <w:tcW w:w="1350" w:type="dxa"/>
          </w:tcPr>
          <w:p w14:paraId="60FB99B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Methods – Observer Study (Grad-CAM); Results – Figure 4</w:t>
            </w:r>
          </w:p>
        </w:tc>
        <w:tc>
          <w:tcPr>
            <w:tcW w:w="450" w:type="dxa"/>
          </w:tcPr>
          <w:p w14:paraId="4A0E85E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7A61B3F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8383301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6C1BA945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7C39B96B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32</w:t>
            </w:r>
          </w:p>
        </w:tc>
        <w:tc>
          <w:tcPr>
            <w:tcW w:w="4770" w:type="dxa"/>
          </w:tcPr>
          <w:p w14:paraId="4D8B39BA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Evaluation on internal data</w:t>
            </w:r>
          </w:p>
        </w:tc>
        <w:tc>
          <w:tcPr>
            <w:tcW w:w="1350" w:type="dxa"/>
          </w:tcPr>
          <w:p w14:paraId="6B34D59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Results – held-out internal test set (Tables 3–5; Figure 3)</w:t>
            </w:r>
          </w:p>
        </w:tc>
        <w:tc>
          <w:tcPr>
            <w:tcW w:w="450" w:type="dxa"/>
          </w:tcPr>
          <w:p w14:paraId="7CB25ED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1327826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1530889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23B602BC">
            <w:pPr>
              <w:spacing w:before="10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893A3D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33</w:t>
            </w:r>
          </w:p>
        </w:tc>
        <w:tc>
          <w:tcPr>
            <w:tcW w:w="4770" w:type="dxa"/>
          </w:tcPr>
          <w:p w14:paraId="73004145">
            <w:pPr>
              <w:spacing w:before="10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Testing on external data</w:t>
            </w:r>
          </w:p>
        </w:tc>
        <w:tc>
          <w:tcPr>
            <w:tcW w:w="1350" w:type="dxa"/>
          </w:tcPr>
          <w:p w14:paraId="6BD4E4A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155E7B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37A71EB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5709B8E6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6981A99F">
            <w:pPr>
              <w:spacing w:before="10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2E552FF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34</w:t>
            </w:r>
          </w:p>
        </w:tc>
        <w:tc>
          <w:tcPr>
            <w:tcW w:w="4770" w:type="dxa"/>
          </w:tcPr>
          <w:p w14:paraId="151E3CED">
            <w:pPr>
              <w:spacing w:before="10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Clinical trial registration</w:t>
            </w:r>
          </w:p>
        </w:tc>
        <w:tc>
          <w:tcPr>
            <w:tcW w:w="1350" w:type="dxa"/>
          </w:tcPr>
          <w:p w14:paraId="4413FEE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E27B818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4CE3D12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</w:tr>
      <w:tr w14:paraId="3C8BB494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</w:tcPr>
          <w:p w14:paraId="5F09881A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RESULTS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0BB72604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</w:tcPr>
          <w:p w14:paraId="0C3A0F65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3E8203A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0FA6200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2A6D420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695CEC6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569B7306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Data</w:t>
            </w:r>
          </w:p>
        </w:tc>
        <w:tc>
          <w:tcPr>
            <w:tcW w:w="540" w:type="dxa"/>
          </w:tcPr>
          <w:p w14:paraId="24987E2E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4770" w:type="dxa"/>
          </w:tcPr>
          <w:p w14:paraId="092D6BC1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Numbers of patients or examinations included and excluded</w:t>
            </w:r>
          </w:p>
        </w:tc>
        <w:tc>
          <w:tcPr>
            <w:tcW w:w="1350" w:type="dxa"/>
          </w:tcPr>
          <w:p w14:paraId="5CF67DE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Results, paragraph 1 &amp; Figure 1A (562 patients/608 knees; training 486/test 122) </w:t>
            </w:r>
          </w:p>
        </w:tc>
        <w:tc>
          <w:tcPr>
            <w:tcW w:w="450" w:type="dxa"/>
          </w:tcPr>
          <w:p w14:paraId="6EF3D7D6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E8B71B4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4D1DA4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2C2A473D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6CFBC9A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36</w:t>
            </w:r>
          </w:p>
        </w:tc>
        <w:tc>
          <w:tcPr>
            <w:tcW w:w="4770" w:type="dxa"/>
          </w:tcPr>
          <w:p w14:paraId="1274B583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Demographic and clinical characteristics of cases in each partition</w:t>
            </w:r>
          </w:p>
        </w:tc>
        <w:tc>
          <w:tcPr>
            <w:tcW w:w="1350" w:type="dxa"/>
          </w:tcPr>
          <w:p w14:paraId="3E934A4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Results – Table 2 (age, sex, BMI by training/validation partition)</w:t>
            </w:r>
          </w:p>
        </w:tc>
        <w:tc>
          <w:tcPr>
            <w:tcW w:w="450" w:type="dxa"/>
          </w:tcPr>
          <w:p w14:paraId="3819C81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226416F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4A151F7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31B063E9">
            <w:pPr>
              <w:spacing w:before="0" w:after="60" w:line="240" w:lineRule="auto"/>
              <w:rPr>
                <w:b/>
                <w:i/>
                <w:color w:val="2E75B5"/>
                <w:sz w:val="20"/>
                <w:szCs w:val="20"/>
              </w:rPr>
            </w:pPr>
            <w:r>
              <w:rPr>
                <w:b/>
                <w:i/>
                <w:color w:val="2E75B5"/>
                <w:sz w:val="20"/>
                <w:szCs w:val="20"/>
              </w:rPr>
              <w:t>Model performance</w:t>
            </w:r>
          </w:p>
        </w:tc>
        <w:tc>
          <w:tcPr>
            <w:tcW w:w="540" w:type="dxa"/>
          </w:tcPr>
          <w:p w14:paraId="56F5B470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37</w:t>
            </w:r>
          </w:p>
        </w:tc>
        <w:tc>
          <w:tcPr>
            <w:tcW w:w="4770" w:type="dxa"/>
          </w:tcPr>
          <w:p w14:paraId="2B1821E0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Performance metrics and measures of statistical uncertainty</w:t>
            </w:r>
          </w:p>
        </w:tc>
        <w:tc>
          <w:tcPr>
            <w:tcW w:w="1350" w:type="dxa"/>
          </w:tcPr>
          <w:p w14:paraId="2529A372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Results – Tables 3–5 (metrics with AUC 95% CI)</w:t>
            </w:r>
          </w:p>
        </w:tc>
        <w:tc>
          <w:tcPr>
            <w:tcW w:w="450" w:type="dxa"/>
          </w:tcPr>
          <w:p w14:paraId="2972C53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7D86B82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34C5EC6A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BD22E3F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29450599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4770" w:type="dxa"/>
          </w:tcPr>
          <w:p w14:paraId="57F488D6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Estimates of diagnostic performance and their precision</w:t>
            </w:r>
          </w:p>
        </w:tc>
        <w:tc>
          <w:tcPr>
            <w:tcW w:w="1350" w:type="dxa"/>
          </w:tcPr>
          <w:p w14:paraId="6C33B768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Results 2.3 (junior-reader accuracy with 95% CI)</w:t>
            </w:r>
          </w:p>
        </w:tc>
        <w:tc>
          <w:tcPr>
            <w:tcW w:w="450" w:type="dxa"/>
          </w:tcPr>
          <w:p w14:paraId="5F6F777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B3253CE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114D824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280B6B89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929361E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39</w:t>
            </w:r>
          </w:p>
        </w:tc>
        <w:tc>
          <w:tcPr>
            <w:tcW w:w="4770" w:type="dxa"/>
          </w:tcPr>
          <w:p w14:paraId="1D0E0474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Failure analysis of incorrect results</w:t>
            </w:r>
          </w:p>
        </w:tc>
        <w:tc>
          <w:tcPr>
            <w:tcW w:w="1350" w:type="dxa"/>
          </w:tcPr>
          <w:p w14:paraId="5C9C79FC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Results/Discussion – error analysis; Figure 5</w:t>
            </w:r>
          </w:p>
        </w:tc>
        <w:tc>
          <w:tcPr>
            <w:tcW w:w="450" w:type="dxa"/>
          </w:tcPr>
          <w:p w14:paraId="298B47B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DCD8AAA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56EE5AD6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</w:tcPr>
          <w:p w14:paraId="658B0A65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DISCUSSION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221ABE8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</w:tcPr>
          <w:p w14:paraId="770C01DA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050AB9F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67ABF7D1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22B00CF8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EC683A2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111FAE4B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076E31F7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4770" w:type="dxa"/>
          </w:tcPr>
          <w:p w14:paraId="297F857B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Study limitations</w:t>
            </w:r>
          </w:p>
        </w:tc>
        <w:tc>
          <w:tcPr>
            <w:tcW w:w="1350" w:type="dxa"/>
          </w:tcPr>
          <w:p w14:paraId="51B6A483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Discussion – limitations paragraph</w:t>
            </w:r>
          </w:p>
        </w:tc>
        <w:tc>
          <w:tcPr>
            <w:tcW w:w="450" w:type="dxa"/>
          </w:tcPr>
          <w:p w14:paraId="2F6782D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C3094BB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2EBCDC73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70B48C14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</w:p>
        </w:tc>
        <w:tc>
          <w:tcPr>
            <w:tcW w:w="540" w:type="dxa"/>
          </w:tcPr>
          <w:p w14:paraId="596EDE3D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41</w:t>
            </w:r>
          </w:p>
        </w:tc>
        <w:tc>
          <w:tcPr>
            <w:tcW w:w="4770" w:type="dxa"/>
          </w:tcPr>
          <w:p w14:paraId="0D50B77C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Implications for practice, including intended use and/or clinical role </w:t>
            </w:r>
          </w:p>
        </w:tc>
        <w:tc>
          <w:tcPr>
            <w:tcW w:w="1350" w:type="dxa"/>
          </w:tcPr>
          <w:p w14:paraId="221452B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>Discussion (decision-support role); Conclusions</w:t>
            </w:r>
          </w:p>
        </w:tc>
        <w:tc>
          <w:tcPr>
            <w:tcW w:w="450" w:type="dxa"/>
          </w:tcPr>
          <w:p w14:paraId="223CD96E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C9BC40B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16B618C9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shd w:val="clear" w:color="auto" w:fill="DEEAF6" w:themeFill="accent1" w:themeFillTint="33"/>
          </w:tcPr>
          <w:p w14:paraId="1E61E466">
            <w:pPr>
              <w:spacing w:before="0" w:after="60" w:line="240" w:lineRule="auto"/>
              <w:rPr>
                <w:b/>
                <w:color w:val="2E75B5"/>
                <w:sz w:val="20"/>
                <w:szCs w:val="20"/>
              </w:rPr>
            </w:pPr>
            <w:r>
              <w:rPr>
                <w:b/>
                <w:color w:val="2E75B5"/>
                <w:sz w:val="20"/>
                <w:szCs w:val="20"/>
              </w:rPr>
              <w:t>OTHER INFORMATION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2C83CE82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770" w:type="dxa"/>
            <w:shd w:val="clear" w:color="auto" w:fill="DEEAF6" w:themeFill="accent1" w:themeFillTint="33"/>
          </w:tcPr>
          <w:p w14:paraId="57962692">
            <w:pPr>
              <w:spacing w:before="0" w:after="60" w:line="240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1" w:themeFillTint="33"/>
          </w:tcPr>
          <w:p w14:paraId="06439C5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02C63F2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3652849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0A5F846C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restart"/>
          </w:tcPr>
          <w:p w14:paraId="62E18EC4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22ED471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42</w:t>
            </w:r>
          </w:p>
        </w:tc>
        <w:tc>
          <w:tcPr>
            <w:tcW w:w="4770" w:type="dxa"/>
          </w:tcPr>
          <w:p w14:paraId="5998A15B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Provide a reference to the full study protocol or to additional technical details</w:t>
            </w:r>
          </w:p>
        </w:tc>
        <w:tc>
          <w:tcPr>
            <w:tcW w:w="1350" w:type="dxa"/>
          </w:tcPr>
          <w:p w14:paraId="24007A70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6E92BCD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C00000"/>
                <w:sz w:val="17"/>
                <w:szCs w:val="20"/>
              </w:rPr>
              <w:t>X</w:t>
            </w:r>
          </w:p>
        </w:tc>
        <w:tc>
          <w:tcPr>
            <w:tcW w:w="450" w:type="dxa"/>
          </w:tcPr>
          <w:p w14:paraId="4F7303A4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7FDC9EBB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74B0506D">
            <w:pPr>
              <w:spacing w:before="10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2B0A6175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43</w:t>
            </w:r>
          </w:p>
        </w:tc>
        <w:tc>
          <w:tcPr>
            <w:tcW w:w="4770" w:type="dxa"/>
          </w:tcPr>
          <w:p w14:paraId="484982B8">
            <w:pPr>
              <w:spacing w:before="10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Statement about the availability of software, trained model, and/or data</w:t>
            </w:r>
          </w:p>
        </w:tc>
        <w:tc>
          <w:tcPr>
            <w:tcW w:w="1350" w:type="dxa"/>
          </w:tcPr>
          <w:p w14:paraId="0BEE49A7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Declarations – Availability of data and materials (from corresponding author on request) </w:t>
            </w:r>
          </w:p>
        </w:tc>
        <w:tc>
          <w:tcPr>
            <w:tcW w:w="450" w:type="dxa"/>
          </w:tcPr>
          <w:p w14:paraId="0D74A3C9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728B60B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14:paraId="650A2BB9">
        <w:tblPrEx>
          <w:tblBorders>
            <w:top w:val="single" w:color="8EAADB" w:sz="4" w:space="0"/>
            <w:left w:val="single" w:color="8EAADB" w:sz="4" w:space="0"/>
            <w:bottom w:val="single" w:color="8EAADB" w:sz="4" w:space="0"/>
            <w:right w:val="single" w:color="8EAADB" w:sz="4" w:space="0"/>
            <w:insideH w:val="single" w:color="8EAADB" w:sz="4" w:space="0"/>
            <w:insideV w:val="single" w:color="8EAADB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5" w:type="dxa"/>
            <w:vMerge w:val="continue"/>
          </w:tcPr>
          <w:p w14:paraId="5A54E6B2">
            <w:pPr>
              <w:spacing w:before="0" w:after="6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6230F30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44</w:t>
            </w:r>
          </w:p>
        </w:tc>
        <w:tc>
          <w:tcPr>
            <w:tcW w:w="4770" w:type="dxa"/>
          </w:tcPr>
          <w:p w14:paraId="0A0A53B9">
            <w:pPr>
              <w:spacing w:before="0" w:after="6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Sources of funding and other support; role of funders</w:t>
            </w:r>
          </w:p>
        </w:tc>
        <w:tc>
          <w:tcPr>
            <w:tcW w:w="1350" w:type="dxa"/>
          </w:tcPr>
          <w:p w14:paraId="517C2A54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 w:val="0"/>
                <w:color w:val="000000"/>
                <w:sz w:val="17"/>
                <w:szCs w:val="20"/>
              </w:rPr>
              <w:t xml:space="preserve">Declarations – Funding </w:t>
            </w:r>
          </w:p>
        </w:tc>
        <w:tc>
          <w:tcPr>
            <w:tcW w:w="450" w:type="dxa"/>
          </w:tcPr>
          <w:p w14:paraId="205D4C72">
            <w:pPr>
              <w:spacing w:before="10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93A84EC">
            <w:pPr>
              <w:spacing w:before="0" w:after="6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9B64FE0">
      <w:bookmarkStart w:id="0" w:name="_heading=h.gjdgxs" w:colFirst="0" w:colLast="0"/>
      <w:bookmarkEnd w:id="0"/>
      <w:r>
        <w:t>* Indicate page and/or line number for each checklist item that is present.  NA = not applicable.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pgNumType w:start="1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EFCC6">
    <w:pPr>
      <w:pStyle w:val="8"/>
      <w:rPr>
        <w:sz w:val="20"/>
        <w:szCs w:val="20"/>
        <w:lang w:val="en-US"/>
      </w:rPr>
    </w:pPr>
    <w:r>
      <w:rPr>
        <w:sz w:val="20"/>
        <w:szCs w:val="20"/>
        <w:lang w:val="en-US"/>
      </w:rPr>
      <w:t>Tejani AS, Klontzas ME, Gatti AA, et al.  Checklist for Artificial Intelligence in Medical Imaging (CLAIM):2024 Update.</w:t>
    </w:r>
  </w:p>
  <w:p w14:paraId="690CB966">
    <w:pPr>
      <w:pStyle w:val="8"/>
      <w:rPr>
        <w:sz w:val="20"/>
        <w:szCs w:val="20"/>
        <w:lang w:val="en-US"/>
      </w:rPr>
    </w:pPr>
    <w:r>
      <w:rPr>
        <w:sz w:val="20"/>
        <w:szCs w:val="20"/>
        <w:lang w:val="en-US"/>
      </w:rPr>
      <w:t>Radiol Artif Intell 2024;6(4):e240300. https://doi.org/10.1148/ryai.240300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CA5DC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624BF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EE286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5845C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0EF5B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documentProtection w:edit="readOnly"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90"/>
    <w:rsid w:val="00010AD7"/>
    <w:rsid w:val="00092E03"/>
    <w:rsid w:val="000A668F"/>
    <w:rsid w:val="000E2923"/>
    <w:rsid w:val="001163FC"/>
    <w:rsid w:val="00177090"/>
    <w:rsid w:val="0018258B"/>
    <w:rsid w:val="00355F4C"/>
    <w:rsid w:val="003749A1"/>
    <w:rsid w:val="003C204B"/>
    <w:rsid w:val="00420215"/>
    <w:rsid w:val="00517082"/>
    <w:rsid w:val="005C0C4C"/>
    <w:rsid w:val="005F1A32"/>
    <w:rsid w:val="005F3DC2"/>
    <w:rsid w:val="00667608"/>
    <w:rsid w:val="00712155"/>
    <w:rsid w:val="007C515F"/>
    <w:rsid w:val="007F1C6E"/>
    <w:rsid w:val="00841F1D"/>
    <w:rsid w:val="00874F5A"/>
    <w:rsid w:val="008D2215"/>
    <w:rsid w:val="008F3F7B"/>
    <w:rsid w:val="0095179B"/>
    <w:rsid w:val="00951AA7"/>
    <w:rsid w:val="009719EF"/>
    <w:rsid w:val="0097626E"/>
    <w:rsid w:val="00A843F7"/>
    <w:rsid w:val="00AA0177"/>
    <w:rsid w:val="00AF3799"/>
    <w:rsid w:val="00B62FFD"/>
    <w:rsid w:val="00DC5569"/>
    <w:rsid w:val="00E94BE7"/>
    <w:rsid w:val="00EA094E"/>
    <w:rsid w:val="00ED36A1"/>
    <w:rsid w:val="00F23B5D"/>
    <w:rsid w:val="17DD6875"/>
    <w:rsid w:val="1B6A6E02"/>
    <w:rsid w:val="1DDA07AA"/>
    <w:rsid w:val="2CD16EEB"/>
    <w:rsid w:val="33BC602F"/>
    <w:rsid w:val="38406D9C"/>
    <w:rsid w:val="4BDC28F6"/>
    <w:rsid w:val="5886127D"/>
    <w:rsid w:val="748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2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0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5">
    <w:name w:val="EndNote Bibliography"/>
    <w:basedOn w:val="1"/>
    <w:link w:val="16"/>
    <w:qFormat/>
    <w:uiPriority w:val="0"/>
    <w:pPr>
      <w:spacing w:after="0" w:line="480" w:lineRule="auto"/>
      <w:ind w:left="446" w:hanging="446"/>
    </w:pPr>
    <w:rPr>
      <w:rFonts w:ascii="Times New Roman" w:hAnsi="Times New Roman"/>
    </w:rPr>
  </w:style>
  <w:style w:type="character" w:customStyle="1" w:styleId="16">
    <w:name w:val="EndNote Bibliography Char"/>
    <w:basedOn w:val="13"/>
    <w:link w:val="15"/>
    <w:qFormat/>
    <w:uiPriority w:val="0"/>
    <w:rPr>
      <w:rFonts w:ascii="Times New Roman" w:hAnsi="Times New Roman"/>
    </w:rPr>
  </w:style>
  <w:style w:type="table" w:customStyle="1" w:styleId="17">
    <w:name w:val="Grid Table 4 Accent 5"/>
    <w:basedOn w:val="12"/>
    <w:qFormat/>
    <w:uiPriority w:val="49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18">
    <w:name w:val="_Style 14"/>
    <w:basedOn w:val="12"/>
    <w:qFormat/>
    <w:uiPriority w:val="0"/>
    <w:pPr>
      <w:spacing w:before="100" w:after="0" w:line="240" w:lineRule="auto"/>
    </w:pPr>
    <w:rPr>
      <w:sz w:val="20"/>
      <w:szCs w:val="20"/>
    </w:rPr>
    <w:tblStylePr w:type="firstRow">
      <w:rPr>
        <w:b/>
        <w:color w:val="FFFFF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cPr>
        <w:tcBorders>
          <w:top w:val="single" w:color="4472C4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character" w:customStyle="1" w:styleId="19">
    <w:name w:val="Header Char"/>
    <w:basedOn w:val="13"/>
    <w:link w:val="9"/>
    <w:qFormat/>
    <w:uiPriority w:val="99"/>
  </w:style>
  <w:style w:type="character" w:customStyle="1" w:styleId="20">
    <w:name w:val="Footer Char"/>
    <w:basedOn w:val="13"/>
    <w:link w:val="8"/>
    <w:qFormat/>
    <w:uiPriority w:val="99"/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character" w:customStyle="1" w:styleId="22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b+N4WUd8ZrTjKOSWUgGt2Cdx2A==">AMUW2mXJSG25vV91qf8A97LCRBi4+wg4q5HmIXJQJYq46mZSuOpeLmBbsUzPut8I2DLzoScgSPLU9K8aet1u3QfQ7+ByqfdlJ77Qz3EvzLhGPkmdaPZFMvJCCZ9UDbTbK8HTnjAVmbaYNdfmQFTQNNGvYRz+vEE+sb6E6cVp++fMFMGJoSQXdmm9eWjF93y8jQyw54mi+fnpJiUI2sep8Ojydu7K178r6YVRatLHbHrcd9kxAS0iws++9oJm2zmDh9FeOiPk95rSQvLa/par7Q059BSrVEjNKS6im8HqDyilY1vjWUu1DjVonj84OXAsKRAdjET1nsFlK2278KhKIadduOyE5UyHvxEO9zv1q2B4fUFBLYIJ9MESEjfEFWEPw3hw0rLUl7q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Penn Medicine</Company>
  <Pages>6</Pages>
  <Words>743</Words>
  <Characters>4449</Characters>
  <Lines>19</Lines>
  <Paragraphs>5</Paragraphs>
  <TotalTime>1</TotalTime>
  <ScaleCrop>false</ScaleCrop>
  <LinksUpToDate>false</LinksUpToDate>
  <CharactersWithSpaces>5043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2024-06-11T15:16:00Z</dcterms:created>
  <dc:creator>Kahn, Charles E</dc:creator>
  <cp:lastModifiedBy> Jlee</cp:lastModifiedBy>
  <dcterms:modified xsi:type="dcterms:W3CDTF">2026-07-11T15:09:56Z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eyJoZGlkIjoiY2JkMTg2YTlmMzVkYTcxZjBhNDg4ZGUxMThkNDkwZTkiLCJ1c2VySWQiOiIzOTQ4NzI4MjYifQ==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A0C8D69E04B94883B9A4217FF807B2CB_12</vt:lpwstr>
  </property>
</Properties>
</file>