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E47BD4" w14:textId="77777777" w:rsidR="00156725" w:rsidRPr="00325C1D" w:rsidRDefault="00156725" w:rsidP="00156725">
      <w:pPr>
        <w:spacing w:line="240" w:lineRule="auto"/>
        <w:jc w:val="both"/>
        <w:rPr>
          <w:color w:val="000000" w:themeColor="text1"/>
          <w:sz w:val="24"/>
          <w:szCs w:val="24"/>
          <w:lang w:val="en-US"/>
        </w:rPr>
      </w:pPr>
      <w:r>
        <w:rPr>
          <w:color w:val="000000" w:themeColor="text1"/>
          <w:sz w:val="24"/>
          <w:szCs w:val="24"/>
          <w:lang w:val="en-US"/>
        </w:rPr>
        <w:t xml:space="preserve">Additional file 1: </w:t>
      </w:r>
      <w:r w:rsidRPr="00325C1D">
        <w:rPr>
          <w:color w:val="000000" w:themeColor="text1"/>
          <w:sz w:val="24"/>
          <w:szCs w:val="24"/>
          <w:lang w:val="en-US"/>
        </w:rPr>
        <w:t>Characteristics of randomized controlled trials included in this meta-analysis.</w:t>
      </w:r>
    </w:p>
    <w:tbl>
      <w:tblPr>
        <w:tblW w:w="9629" w:type="dxa"/>
        <w:tblLayout w:type="fixed"/>
        <w:tblCellMar>
          <w:left w:w="70" w:type="dxa"/>
          <w:right w:w="70" w:type="dxa"/>
        </w:tblCellMar>
        <w:tblLook w:val="04A0" w:firstRow="1" w:lastRow="0" w:firstColumn="1" w:lastColumn="0" w:noHBand="0" w:noVBand="1"/>
      </w:tblPr>
      <w:tblGrid>
        <w:gridCol w:w="1266"/>
        <w:gridCol w:w="709"/>
        <w:gridCol w:w="1559"/>
        <w:gridCol w:w="567"/>
        <w:gridCol w:w="1276"/>
        <w:gridCol w:w="567"/>
        <w:gridCol w:w="2693"/>
        <w:gridCol w:w="992"/>
      </w:tblGrid>
      <w:tr w:rsidR="00156725" w14:paraId="6F54E336" w14:textId="77777777" w:rsidTr="00B83CF3">
        <w:trPr>
          <w:trHeight w:val="299"/>
        </w:trPr>
        <w:tc>
          <w:tcPr>
            <w:tcW w:w="1266" w:type="dxa"/>
            <w:tcBorders>
              <w:top w:val="single" w:sz="8" w:space="0" w:color="auto"/>
              <w:left w:val="single" w:sz="8" w:space="0" w:color="auto"/>
              <w:bottom w:val="single" w:sz="8" w:space="0" w:color="auto"/>
              <w:right w:val="nil"/>
            </w:tcBorders>
            <w:noWrap/>
            <w:vAlign w:val="center"/>
            <w:hideMark/>
          </w:tcPr>
          <w:p w14:paraId="2A6F7964" w14:textId="77777777" w:rsidR="00156725" w:rsidRDefault="00156725" w:rsidP="00B83CF3">
            <w:pPr>
              <w:spacing w:after="0" w:line="240" w:lineRule="auto"/>
              <w:rPr>
                <w:rFonts w:ascii="Calibri" w:eastAsia="Times New Roman" w:hAnsi="Calibri" w:cs="Calibri"/>
                <w:b/>
                <w:bCs/>
                <w:color w:val="000000"/>
                <w:u w:val="single"/>
                <w:lang w:eastAsia="fr-FR"/>
              </w:rPr>
            </w:pPr>
            <w:r>
              <w:rPr>
                <w:rFonts w:ascii="Calibri" w:eastAsia="Times New Roman" w:hAnsi="Calibri" w:cs="Calibri"/>
                <w:b/>
                <w:bCs/>
                <w:color w:val="000000"/>
                <w:u w:val="single"/>
                <w:lang w:eastAsia="fr-FR"/>
              </w:rPr>
              <w:t xml:space="preserve">First </w:t>
            </w:r>
            <w:proofErr w:type="spellStart"/>
            <w:r>
              <w:rPr>
                <w:rFonts w:ascii="Calibri" w:eastAsia="Times New Roman" w:hAnsi="Calibri" w:cs="Calibri"/>
                <w:b/>
                <w:bCs/>
                <w:color w:val="000000"/>
                <w:u w:val="single"/>
                <w:lang w:eastAsia="fr-FR"/>
              </w:rPr>
              <w:t>author</w:t>
            </w:r>
            <w:proofErr w:type="spellEnd"/>
          </w:p>
        </w:tc>
        <w:tc>
          <w:tcPr>
            <w:tcW w:w="709" w:type="dxa"/>
            <w:tcBorders>
              <w:top w:val="single" w:sz="8" w:space="0" w:color="auto"/>
              <w:left w:val="nil"/>
              <w:bottom w:val="single" w:sz="8" w:space="0" w:color="auto"/>
              <w:right w:val="nil"/>
            </w:tcBorders>
            <w:noWrap/>
            <w:vAlign w:val="center"/>
            <w:hideMark/>
          </w:tcPr>
          <w:p w14:paraId="1190B118" w14:textId="77777777" w:rsidR="00156725" w:rsidRDefault="00156725" w:rsidP="00B83CF3">
            <w:pPr>
              <w:spacing w:after="0" w:line="240" w:lineRule="auto"/>
              <w:jc w:val="center"/>
              <w:rPr>
                <w:rFonts w:ascii="Calibri" w:eastAsia="Times New Roman" w:hAnsi="Calibri" w:cs="Calibri"/>
                <w:b/>
                <w:bCs/>
                <w:color w:val="000000"/>
                <w:u w:val="single"/>
                <w:lang w:eastAsia="fr-FR"/>
              </w:rPr>
            </w:pPr>
            <w:proofErr w:type="spellStart"/>
            <w:r>
              <w:rPr>
                <w:rFonts w:ascii="Calibri" w:eastAsia="Times New Roman" w:hAnsi="Calibri" w:cs="Calibri"/>
                <w:b/>
                <w:bCs/>
                <w:color w:val="000000"/>
                <w:u w:val="single"/>
                <w:lang w:eastAsia="fr-FR"/>
              </w:rPr>
              <w:t>Year</w:t>
            </w:r>
            <w:proofErr w:type="spellEnd"/>
          </w:p>
        </w:tc>
        <w:tc>
          <w:tcPr>
            <w:tcW w:w="1559" w:type="dxa"/>
            <w:tcBorders>
              <w:top w:val="single" w:sz="8" w:space="0" w:color="auto"/>
              <w:left w:val="nil"/>
              <w:bottom w:val="single" w:sz="8" w:space="0" w:color="auto"/>
              <w:right w:val="nil"/>
            </w:tcBorders>
            <w:noWrap/>
            <w:vAlign w:val="center"/>
            <w:hideMark/>
          </w:tcPr>
          <w:p w14:paraId="76E6AF4C" w14:textId="77777777" w:rsidR="00156725" w:rsidRDefault="00156725" w:rsidP="00B83CF3">
            <w:pPr>
              <w:spacing w:after="0" w:line="240" w:lineRule="auto"/>
              <w:jc w:val="center"/>
              <w:rPr>
                <w:rFonts w:ascii="Calibri" w:eastAsia="Times New Roman" w:hAnsi="Calibri" w:cs="Calibri"/>
                <w:b/>
                <w:bCs/>
                <w:color w:val="000000"/>
                <w:u w:val="single"/>
                <w:lang w:eastAsia="fr-FR"/>
              </w:rPr>
            </w:pPr>
            <w:proofErr w:type="spellStart"/>
            <w:r>
              <w:rPr>
                <w:rFonts w:ascii="Calibri" w:eastAsia="Times New Roman" w:hAnsi="Calibri" w:cs="Calibri"/>
                <w:b/>
                <w:bCs/>
                <w:color w:val="000000"/>
                <w:u w:val="single"/>
                <w:lang w:eastAsia="fr-FR"/>
              </w:rPr>
              <w:t>Treatment</w:t>
            </w:r>
            <w:proofErr w:type="spellEnd"/>
          </w:p>
        </w:tc>
        <w:tc>
          <w:tcPr>
            <w:tcW w:w="567" w:type="dxa"/>
            <w:tcBorders>
              <w:top w:val="single" w:sz="8" w:space="0" w:color="auto"/>
              <w:left w:val="nil"/>
              <w:bottom w:val="single" w:sz="8" w:space="0" w:color="auto"/>
              <w:right w:val="nil"/>
            </w:tcBorders>
            <w:noWrap/>
            <w:vAlign w:val="center"/>
            <w:hideMark/>
          </w:tcPr>
          <w:p w14:paraId="0ADFDEB0" w14:textId="77777777" w:rsidR="00156725" w:rsidRDefault="00156725" w:rsidP="00B83CF3">
            <w:pPr>
              <w:spacing w:after="0" w:line="240" w:lineRule="auto"/>
              <w:jc w:val="center"/>
              <w:rPr>
                <w:rFonts w:ascii="Calibri" w:eastAsia="Times New Roman" w:hAnsi="Calibri" w:cs="Calibri"/>
                <w:b/>
                <w:bCs/>
                <w:color w:val="000000"/>
                <w:u w:val="single"/>
                <w:lang w:eastAsia="fr-FR"/>
              </w:rPr>
            </w:pPr>
            <w:proofErr w:type="gramStart"/>
            <w:r>
              <w:rPr>
                <w:rFonts w:ascii="Calibri" w:eastAsia="Times New Roman" w:hAnsi="Calibri" w:cs="Calibri"/>
                <w:b/>
                <w:bCs/>
                <w:color w:val="000000"/>
                <w:u w:val="single"/>
                <w:lang w:eastAsia="fr-FR"/>
              </w:rPr>
              <w:t>n</w:t>
            </w:r>
            <w:proofErr w:type="gramEnd"/>
          </w:p>
        </w:tc>
        <w:tc>
          <w:tcPr>
            <w:tcW w:w="1276" w:type="dxa"/>
            <w:tcBorders>
              <w:top w:val="single" w:sz="8" w:space="0" w:color="auto"/>
              <w:left w:val="nil"/>
              <w:bottom w:val="single" w:sz="8" w:space="0" w:color="auto"/>
              <w:right w:val="nil"/>
            </w:tcBorders>
            <w:noWrap/>
            <w:vAlign w:val="center"/>
            <w:hideMark/>
          </w:tcPr>
          <w:p w14:paraId="496EC4F4" w14:textId="77777777" w:rsidR="00156725" w:rsidRDefault="00156725" w:rsidP="00B83CF3">
            <w:pPr>
              <w:spacing w:after="0" w:line="240" w:lineRule="auto"/>
              <w:jc w:val="center"/>
              <w:rPr>
                <w:rFonts w:ascii="Calibri" w:eastAsia="Times New Roman" w:hAnsi="Calibri" w:cs="Calibri"/>
                <w:b/>
                <w:bCs/>
                <w:color w:val="000000"/>
                <w:u w:val="single"/>
                <w:lang w:eastAsia="fr-FR"/>
              </w:rPr>
            </w:pPr>
            <w:r>
              <w:rPr>
                <w:rFonts w:ascii="Calibri" w:eastAsia="Times New Roman" w:hAnsi="Calibri" w:cs="Calibri"/>
                <w:b/>
                <w:bCs/>
                <w:color w:val="000000"/>
                <w:u w:val="single"/>
                <w:lang w:eastAsia="fr-FR"/>
              </w:rPr>
              <w:t>Control</w:t>
            </w:r>
          </w:p>
        </w:tc>
        <w:tc>
          <w:tcPr>
            <w:tcW w:w="567" w:type="dxa"/>
            <w:tcBorders>
              <w:top w:val="single" w:sz="8" w:space="0" w:color="auto"/>
              <w:left w:val="nil"/>
              <w:bottom w:val="single" w:sz="8" w:space="0" w:color="auto"/>
              <w:right w:val="nil"/>
            </w:tcBorders>
            <w:noWrap/>
            <w:vAlign w:val="center"/>
            <w:hideMark/>
          </w:tcPr>
          <w:p w14:paraId="39869544" w14:textId="77777777" w:rsidR="00156725" w:rsidRDefault="00156725" w:rsidP="00B83CF3">
            <w:pPr>
              <w:spacing w:after="0" w:line="240" w:lineRule="auto"/>
              <w:jc w:val="center"/>
              <w:rPr>
                <w:rFonts w:ascii="Calibri" w:eastAsia="Times New Roman" w:hAnsi="Calibri" w:cs="Calibri"/>
                <w:b/>
                <w:bCs/>
                <w:color w:val="000000"/>
                <w:u w:val="single"/>
                <w:lang w:eastAsia="fr-FR"/>
              </w:rPr>
            </w:pPr>
            <w:proofErr w:type="gramStart"/>
            <w:r>
              <w:rPr>
                <w:rFonts w:ascii="Calibri" w:eastAsia="Times New Roman" w:hAnsi="Calibri" w:cs="Calibri"/>
                <w:b/>
                <w:bCs/>
                <w:color w:val="000000"/>
                <w:u w:val="single"/>
                <w:lang w:eastAsia="fr-FR"/>
              </w:rPr>
              <w:t>n</w:t>
            </w:r>
            <w:proofErr w:type="gramEnd"/>
          </w:p>
        </w:tc>
        <w:tc>
          <w:tcPr>
            <w:tcW w:w="2693" w:type="dxa"/>
            <w:tcBorders>
              <w:top w:val="single" w:sz="8" w:space="0" w:color="auto"/>
              <w:left w:val="nil"/>
              <w:bottom w:val="single" w:sz="8" w:space="0" w:color="auto"/>
              <w:right w:val="nil"/>
            </w:tcBorders>
            <w:noWrap/>
            <w:vAlign w:val="center"/>
            <w:hideMark/>
          </w:tcPr>
          <w:p w14:paraId="7B191642" w14:textId="77777777" w:rsidR="00156725" w:rsidRDefault="00156725" w:rsidP="00B83CF3">
            <w:pPr>
              <w:tabs>
                <w:tab w:val="left" w:pos="180"/>
              </w:tabs>
              <w:spacing w:after="0" w:line="240" w:lineRule="auto"/>
              <w:jc w:val="center"/>
              <w:rPr>
                <w:rFonts w:ascii="Calibri" w:eastAsia="Times New Roman" w:hAnsi="Calibri" w:cs="Calibri"/>
                <w:b/>
                <w:bCs/>
                <w:color w:val="000000"/>
                <w:u w:val="single"/>
                <w:lang w:eastAsia="fr-FR"/>
              </w:rPr>
            </w:pPr>
            <w:proofErr w:type="spellStart"/>
            <w:r>
              <w:rPr>
                <w:rFonts w:ascii="Calibri" w:eastAsia="Times New Roman" w:hAnsi="Calibri" w:cs="Calibri"/>
                <w:b/>
                <w:bCs/>
                <w:color w:val="000000"/>
                <w:u w:val="single"/>
                <w:lang w:eastAsia="fr-FR"/>
              </w:rPr>
              <w:t>Study</w:t>
            </w:r>
            <w:proofErr w:type="spellEnd"/>
            <w:r>
              <w:rPr>
                <w:rFonts w:ascii="Calibri" w:eastAsia="Times New Roman" w:hAnsi="Calibri" w:cs="Calibri"/>
                <w:b/>
                <w:bCs/>
                <w:color w:val="000000"/>
                <w:u w:val="single"/>
                <w:lang w:eastAsia="fr-FR"/>
              </w:rPr>
              <w:t xml:space="preserve"> </w:t>
            </w:r>
            <w:proofErr w:type="spellStart"/>
            <w:r>
              <w:rPr>
                <w:rFonts w:ascii="Calibri" w:eastAsia="Times New Roman" w:hAnsi="Calibri" w:cs="Calibri"/>
                <w:b/>
                <w:bCs/>
                <w:color w:val="000000"/>
                <w:u w:val="single"/>
                <w:lang w:eastAsia="fr-FR"/>
              </w:rPr>
              <w:t>protocol</w:t>
            </w:r>
            <w:proofErr w:type="spellEnd"/>
            <w:r>
              <w:rPr>
                <w:rFonts w:ascii="Calibri" w:eastAsia="Times New Roman" w:hAnsi="Calibri" w:cs="Calibri"/>
                <w:b/>
                <w:bCs/>
                <w:color w:val="000000"/>
                <w:u w:val="single"/>
                <w:lang w:eastAsia="fr-FR"/>
              </w:rPr>
              <w:t xml:space="preserve"> </w:t>
            </w:r>
            <w:proofErr w:type="spellStart"/>
            <w:r>
              <w:rPr>
                <w:rFonts w:ascii="Calibri" w:eastAsia="Times New Roman" w:hAnsi="Calibri" w:cs="Calibri"/>
                <w:b/>
                <w:bCs/>
                <w:color w:val="000000"/>
                <w:u w:val="single"/>
                <w:lang w:eastAsia="fr-FR"/>
              </w:rPr>
              <w:t>with</w:t>
            </w:r>
            <w:proofErr w:type="spellEnd"/>
            <w:r>
              <w:rPr>
                <w:rFonts w:ascii="Calibri" w:eastAsia="Times New Roman" w:hAnsi="Calibri" w:cs="Calibri"/>
                <w:b/>
                <w:bCs/>
                <w:color w:val="000000"/>
                <w:u w:val="single"/>
                <w:lang w:eastAsia="fr-FR"/>
              </w:rPr>
              <w:t xml:space="preserve"> doses</w:t>
            </w:r>
          </w:p>
        </w:tc>
        <w:tc>
          <w:tcPr>
            <w:tcW w:w="992" w:type="dxa"/>
            <w:tcBorders>
              <w:top w:val="single" w:sz="8" w:space="0" w:color="auto"/>
              <w:left w:val="nil"/>
              <w:bottom w:val="single" w:sz="8" w:space="0" w:color="auto"/>
              <w:right w:val="single" w:sz="8" w:space="0" w:color="auto"/>
            </w:tcBorders>
            <w:noWrap/>
            <w:vAlign w:val="center"/>
            <w:hideMark/>
          </w:tcPr>
          <w:p w14:paraId="0C77E9E6" w14:textId="77777777" w:rsidR="00156725" w:rsidRDefault="00156725" w:rsidP="00B83CF3">
            <w:pPr>
              <w:spacing w:after="0" w:line="240" w:lineRule="auto"/>
              <w:jc w:val="center"/>
              <w:rPr>
                <w:rFonts w:ascii="Calibri" w:eastAsia="Times New Roman" w:hAnsi="Calibri" w:cs="Calibri"/>
                <w:b/>
                <w:bCs/>
                <w:color w:val="000000"/>
                <w:u w:val="single"/>
                <w:lang w:eastAsia="fr-FR"/>
              </w:rPr>
            </w:pPr>
            <w:r>
              <w:rPr>
                <w:rFonts w:ascii="Calibri" w:eastAsia="Times New Roman" w:hAnsi="Calibri" w:cs="Calibri"/>
                <w:b/>
                <w:bCs/>
                <w:color w:val="000000"/>
                <w:u w:val="single"/>
                <w:lang w:eastAsia="fr-FR"/>
              </w:rPr>
              <w:t>Duration (</w:t>
            </w:r>
            <w:proofErr w:type="spellStart"/>
            <w:r>
              <w:rPr>
                <w:rFonts w:ascii="Calibri" w:eastAsia="Times New Roman" w:hAnsi="Calibri" w:cs="Calibri"/>
                <w:b/>
                <w:bCs/>
                <w:color w:val="000000"/>
                <w:u w:val="single"/>
                <w:lang w:eastAsia="fr-FR"/>
              </w:rPr>
              <w:t>wk</w:t>
            </w:r>
            <w:proofErr w:type="spellEnd"/>
            <w:r>
              <w:rPr>
                <w:rFonts w:ascii="Calibri" w:eastAsia="Times New Roman" w:hAnsi="Calibri" w:cs="Calibri"/>
                <w:b/>
                <w:bCs/>
                <w:color w:val="000000"/>
                <w:u w:val="single"/>
                <w:lang w:eastAsia="fr-FR"/>
              </w:rPr>
              <w:t>)</w:t>
            </w:r>
          </w:p>
        </w:tc>
      </w:tr>
      <w:tr w:rsidR="00156725" w14:paraId="0C7133BE" w14:textId="77777777" w:rsidTr="00B83CF3">
        <w:trPr>
          <w:trHeight w:val="578"/>
        </w:trPr>
        <w:tc>
          <w:tcPr>
            <w:tcW w:w="1266" w:type="dxa"/>
            <w:tcBorders>
              <w:top w:val="nil"/>
              <w:left w:val="single" w:sz="8" w:space="0" w:color="auto"/>
              <w:bottom w:val="nil"/>
              <w:right w:val="nil"/>
            </w:tcBorders>
            <w:shd w:val="clear" w:color="auto" w:fill="F2F2F2" w:themeFill="background1" w:themeFillShade="F2"/>
            <w:noWrap/>
            <w:vAlign w:val="center"/>
            <w:hideMark/>
          </w:tcPr>
          <w:p w14:paraId="269D7379"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 xml:space="preserve">Van der </w:t>
            </w:r>
            <w:proofErr w:type="spellStart"/>
            <w:r>
              <w:rPr>
                <w:rFonts w:ascii="Calibri" w:eastAsia="Times New Roman" w:hAnsi="Calibri" w:cs="Calibri"/>
                <w:color w:val="000000"/>
                <w:lang w:eastAsia="fr-FR"/>
              </w:rPr>
              <w:t>Heijde</w:t>
            </w:r>
            <w:proofErr w:type="spellEnd"/>
            <w:r>
              <w:rPr>
                <w:rFonts w:ascii="Calibri" w:eastAsia="Times New Roman" w:hAnsi="Calibri" w:cs="Calibri"/>
                <w:color w:val="000000"/>
                <w:lang w:eastAsia="fr-FR"/>
              </w:rPr>
              <w:t xml:space="preserve"> D.</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{"citationID":"RvxvaDRb","properties":{"formattedCitation":"\\super 26\\nosupersub{}","plainCitation":"26","noteIndex":0},"citationItems":[{"id":6050,"uris":["http://zotero.org/users/5006036/items/GICMWNKZ"],"uri":["http://zotero.org/users/5006036/items/GICMWNKZ"],"itemData":{"id":6050,"type":"article-journal","abstract":"OBJECTIVE: To evaluate the safety and efficacy of adalimumab, a fully human recombinant IgG1 monoclonal antibody that specifically targets human tumor necrosis factor, in patients with active ankylosing spondylitis (AS).\nMETHODS: This was a multicenter, randomized (2:1 ratio), double-blind, placebo-controlled study to evaluate a subcutaneous injection of adalimumab, 40 mg every other week, compared with placebo for 24 weeks. The primary efficacy end point was the percentage of patients with a 20% response according to the ASsessment in Ankylosing Spondylitis International Working Group criteria for improvement (ASAS20) at week 12. Secondary outcome measures included the ASAS20 at week 24 and multiple measures of disease activity, spinal mobility, and function, as well as ASAS partial remission.\nRESULTS: At week 12, 58.2% of adalimumab-treated patients (121 of 208) achieved an ASAS20 response, compared with 20.6% of placebo-treated patients (22 of 107) (P &lt; 0.001). More patients in the adalimumab group (45.2% [94 of 208]) than in the placebo group (15.9% [17 of 107]) had at least a 50% improvement in the Bath Ankylosing Spondylitis Disease Activity Index at week 12 (P &lt; 0.001). Significant improvements in the ASAS40 response and the response according to the ASAS5/6 criteria at weeks 12 and 24 were also demonstrated (P &lt; 0.001). Partial remission was achieved by more adalimumab-treated patients than placebo-treated patients (22.1% versus 5.6%; P &lt; 0.001). Adalimumab-treated patients reported more adverse events (75.0% versus 59.8% of placebo-treated patients; P &lt; 0.05), but there was no statistically significant difference in the incidence of infections. Most adverse events were mild or moderate in severity.\nCONCLUSION: Adalimumab was well-tolerated during the 24-week study period and was associated with a significant and sustained reduction in the signs and symptoms of active AS.","container-title":"Arthritis and Rheumatism","DOI":"10.1002/art.21913","ISSN":"0004-3591","issue":"7","journalAbbreviation":"Arthritis Rheum.","language":"eng","note":"PMID: 16802350","page":"2136-2146","source":"PubMed","title":"Efficacy and safety of adalimumab in patients with ankylosing spondylitis: results of a multicenter, randomized, double-blind, placebo-controlled trial","title-short":"Efficacy and safety of adalimumab in patients with ankylosing spondylitis","volume":"54","author":[{"family":"Heijde","given":"Désirée","non-dropping-particle":"van der"},{"family":"Kivitz","given":"Alan"},{"family":"Schiff","given":"Michael H."},{"family":"Sieper","given":"Joachim"},{"family":"Dijkmans","given":"Ben A. C."},{"family":"Braun","given":"Jürgen"},{"family":"Dougados","given":"Maxime"},{"family":"Reveille","given":"John D."},{"family":"Wong","given":"Robert L."},{"family":"Kupper","given":"Hartmut"},{"family":"Davis","given":"John C."},{"literal":"ATLAS Study Group"}],"issued":{"date-parts":[["2006",7]]}}}],"schema":"https://github.com/citation-style-language/schema/raw/master/csl-citation.json"} </w:instrText>
            </w:r>
            <w:r>
              <w:rPr>
                <w:rFonts w:ascii="Calibri" w:eastAsia="Times New Roman" w:hAnsi="Calibri" w:cs="Calibri"/>
                <w:color w:val="000000"/>
                <w:lang w:eastAsia="fr-FR"/>
              </w:rPr>
              <w:fldChar w:fldCharType="separate"/>
            </w:r>
            <w:r w:rsidRPr="00660CD7">
              <w:rPr>
                <w:rFonts w:ascii="Calibri" w:hAnsi="Calibri" w:cs="Calibri"/>
                <w:szCs w:val="24"/>
                <w:vertAlign w:val="superscript"/>
              </w:rPr>
              <w:t>26</w:t>
            </w:r>
            <w:r>
              <w:rPr>
                <w:rFonts w:ascii="Calibri" w:eastAsia="Times New Roman" w:hAnsi="Calibri" w:cs="Calibri"/>
                <w:color w:val="000000"/>
                <w:lang w:eastAsia="fr-FR"/>
              </w:rPr>
              <w:fldChar w:fldCharType="end"/>
            </w:r>
          </w:p>
        </w:tc>
        <w:tc>
          <w:tcPr>
            <w:tcW w:w="709" w:type="dxa"/>
            <w:shd w:val="clear" w:color="auto" w:fill="F2F2F2" w:themeFill="background1" w:themeFillShade="F2"/>
            <w:noWrap/>
            <w:vAlign w:val="center"/>
            <w:hideMark/>
          </w:tcPr>
          <w:p w14:paraId="0163AF52"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2006</w:t>
            </w:r>
          </w:p>
        </w:tc>
        <w:tc>
          <w:tcPr>
            <w:tcW w:w="1559" w:type="dxa"/>
            <w:shd w:val="clear" w:color="auto" w:fill="F2F2F2" w:themeFill="background1" w:themeFillShade="F2"/>
            <w:noWrap/>
            <w:vAlign w:val="center"/>
            <w:hideMark/>
          </w:tcPr>
          <w:p w14:paraId="68497F67"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Adalimumab</w:t>
            </w:r>
            <w:proofErr w:type="spellEnd"/>
          </w:p>
        </w:tc>
        <w:tc>
          <w:tcPr>
            <w:tcW w:w="567" w:type="dxa"/>
            <w:shd w:val="clear" w:color="auto" w:fill="F2F2F2" w:themeFill="background1" w:themeFillShade="F2"/>
            <w:noWrap/>
            <w:vAlign w:val="center"/>
            <w:hideMark/>
          </w:tcPr>
          <w:p w14:paraId="66A98F79"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208</w:t>
            </w:r>
          </w:p>
        </w:tc>
        <w:tc>
          <w:tcPr>
            <w:tcW w:w="1276" w:type="dxa"/>
            <w:shd w:val="clear" w:color="auto" w:fill="F2F2F2" w:themeFill="background1" w:themeFillShade="F2"/>
            <w:noWrap/>
            <w:vAlign w:val="center"/>
            <w:hideMark/>
          </w:tcPr>
          <w:p w14:paraId="11F20055"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shd w:val="clear" w:color="auto" w:fill="F2F2F2" w:themeFill="background1" w:themeFillShade="F2"/>
            <w:noWrap/>
            <w:vAlign w:val="center"/>
            <w:hideMark/>
          </w:tcPr>
          <w:p w14:paraId="0C037B86"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107</w:t>
            </w:r>
          </w:p>
        </w:tc>
        <w:tc>
          <w:tcPr>
            <w:tcW w:w="2693" w:type="dxa"/>
            <w:shd w:val="clear" w:color="auto" w:fill="F2F2F2" w:themeFill="background1" w:themeFillShade="F2"/>
            <w:vAlign w:val="center"/>
            <w:hideMark/>
          </w:tcPr>
          <w:p w14:paraId="7CA67175"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 xml:space="preserve">ADA 40 mg / </w:t>
            </w:r>
            <w:proofErr w:type="spellStart"/>
            <w:r>
              <w:rPr>
                <w:rFonts w:ascii="Calibri" w:eastAsia="Times New Roman" w:hAnsi="Calibri" w:cs="Calibri"/>
                <w:color w:val="000000"/>
                <w:lang w:eastAsia="fr-FR"/>
              </w:rPr>
              <w:t>wk</w:t>
            </w:r>
            <w:proofErr w:type="spellEnd"/>
            <w:r>
              <w:rPr>
                <w:rFonts w:ascii="Calibri" w:eastAsia="Times New Roman" w:hAnsi="Calibri" w:cs="Calibri"/>
                <w:color w:val="000000"/>
                <w:lang w:eastAsia="fr-FR"/>
              </w:rPr>
              <w:br/>
              <w:t>Placebo</w:t>
            </w:r>
          </w:p>
        </w:tc>
        <w:tc>
          <w:tcPr>
            <w:tcW w:w="992" w:type="dxa"/>
            <w:tcBorders>
              <w:top w:val="nil"/>
              <w:left w:val="nil"/>
              <w:bottom w:val="nil"/>
              <w:right w:val="single" w:sz="8" w:space="0" w:color="auto"/>
            </w:tcBorders>
            <w:shd w:val="clear" w:color="auto" w:fill="F2F2F2" w:themeFill="background1" w:themeFillShade="F2"/>
            <w:noWrap/>
            <w:vAlign w:val="center"/>
            <w:hideMark/>
          </w:tcPr>
          <w:p w14:paraId="185B9509"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24</w:t>
            </w:r>
          </w:p>
        </w:tc>
      </w:tr>
      <w:tr w:rsidR="00156725" w14:paraId="3A2AFC08" w14:textId="77777777" w:rsidTr="00B83CF3">
        <w:trPr>
          <w:trHeight w:val="578"/>
        </w:trPr>
        <w:tc>
          <w:tcPr>
            <w:tcW w:w="1266" w:type="dxa"/>
            <w:tcBorders>
              <w:top w:val="nil"/>
              <w:left w:val="single" w:sz="8" w:space="0" w:color="auto"/>
              <w:bottom w:val="nil"/>
              <w:right w:val="nil"/>
            </w:tcBorders>
            <w:noWrap/>
            <w:vAlign w:val="center"/>
            <w:hideMark/>
          </w:tcPr>
          <w:p w14:paraId="6DDABFB6" w14:textId="77777777" w:rsidR="00156725" w:rsidRDefault="00156725" w:rsidP="00B83CF3">
            <w:pPr>
              <w:spacing w:after="0" w:line="240" w:lineRule="auto"/>
              <w:rPr>
                <w:rFonts w:ascii="Calibri" w:eastAsia="Times New Roman" w:hAnsi="Calibri" w:cs="Calibri"/>
                <w:color w:val="000000"/>
                <w:lang w:eastAsia="fr-FR"/>
              </w:rPr>
            </w:pPr>
            <w:proofErr w:type="spellStart"/>
            <w:r>
              <w:rPr>
                <w:rFonts w:ascii="Calibri" w:eastAsia="Times New Roman" w:hAnsi="Calibri" w:cs="Calibri"/>
                <w:color w:val="000000"/>
                <w:lang w:eastAsia="fr-FR"/>
              </w:rPr>
              <w:t>Sieper</w:t>
            </w:r>
            <w:proofErr w:type="spellEnd"/>
            <w:r>
              <w:rPr>
                <w:rFonts w:ascii="Calibri" w:eastAsia="Times New Roman" w:hAnsi="Calibri" w:cs="Calibri"/>
                <w:color w:val="000000"/>
                <w:lang w:eastAsia="fr-FR"/>
              </w:rPr>
              <w:t xml:space="preserve"> J.</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{"citationID":"UuXbYrLe","properties":{"formattedCitation":"\\super 27\\nosupersub{}","plainCitation":"27","noteIndex":0},"citationItems":[{"id":6052,"uris":["http://zotero.org/users/5006036/items/PFN4NJLF"],"uri":["http://zotero.org/users/5006036/items/PFN4NJLF"],"itemData":{"id":6052,"type":"article-journal","abstract":"PURPOSE: To evaluate the efficacy and safety of adalimumab in patients with non-radiographic axial spondyloarthritis (nr-axSpA).\nMETHODS: Patients fulfilled Assessment of Spondyloarthritis international Society (ASAS) criteria for axial spondyloarthritis, had a Bath Ankylosing Spondylitis Disease Activity Index (BASDAI) score of ≥ 4, total back pain score of ≥ 4 (10 cm visual analogue scale) and inadequate response, intolerance or contraindication to non-steroidal anti-inflammatory drugs (NSAIDs); patients fulfilling modified New York criteria for ankylosing spondylitis were excluded. Patients were randomised to adalimumab (N=91) or placebo (N=94). The primary endpoint was the percentage of patients achieving ASAS40 at week 12. Efficacy assessments included BASDAI and Ankylosing Spondylitis Disease Activity Score (ASDAS). MRI was performed at baseline and week 12 and scored using the Spondyloarthritis Research Consortium of Canada (SPARCC) index.\nRESULTS: Significantly more patients in the adalimumab group achieved ASAS40 at week 12 compared with patients in the placebo group (36% vs 15%, p&lt;0.001). Significant clinical improvements based on other ASAS responses, ASDAS and BASDAI were also detected at week 12 with adalimumab treatment, as were improvements in quality of life measures. Inflammation in the spine and sacroiliac joints on MRI significantly decreased after 12 weeks of adalimumab treatment. Shorter disease duration, younger age, elevated baseline C-reactive protein or higher SPARCC MRI sacroiliac joint scores were associated with better week 12 responses to adalimumab. The safety profile was consistent with what is known for adalimumab in ankylosing spondylitis and other diseases.\nCONCLUSIONS: In patients with nr-axSpA, adalimumab treatment resulted in effective control of disease activity, decreased inflammation and improved quality of life compared with placebo. Results from ABILITY-1 suggest that adalimumab has a positive benefit-risk profile in active nr-axSpA patients with inadequate response to NSAIDs.","container-title":"Annals of the Rheumatic Diseases","DOI":"10.1136/annrheumdis-2012-201766","ISSN":"1468-2060","issue":"6","journalAbbreviation":"Ann. Rheum. Dis.","language":"eng","note":"PMID: 22772328\nPMCID: PMC3664374","page":"815-822","source":"PubMed","title":"Efficacy and safety of adalimumab in patients with non-radiographic axial spondyloarthritis: results of a randomised placebo-controlled trial (ABILITY-1)","title-short":"Efficacy and safety of adalimumab in patients with non-radiographic axial spondyloarthritis","volume":"72","author":[{"family":"Sieper","given":"Joachim"},{"family":"Heijde","given":"Désirée","non-dropping-particle":"van der"},{"family":"Dougados","given":"Maxime"},{"family":"Mease","given":"Philip J."},{"family":"Maksymowych","given":"Walter P."},{"family":"Brown","given":"Matthew A."},{"family":"Arora","given":"Vipin"},{"family":"Pangan","given":"Aileen L."}],"issued":{"date-parts":[["2013",6]]}}}],"schema":"https://github.com/citation-style-language/schema/raw/master/csl-citation.json"} </w:instrText>
            </w:r>
            <w:r>
              <w:rPr>
                <w:rFonts w:ascii="Calibri" w:eastAsia="Times New Roman" w:hAnsi="Calibri" w:cs="Calibri"/>
                <w:color w:val="000000"/>
                <w:lang w:eastAsia="fr-FR"/>
              </w:rPr>
              <w:fldChar w:fldCharType="separate"/>
            </w:r>
            <w:r w:rsidRPr="00660CD7">
              <w:rPr>
                <w:rFonts w:ascii="Calibri" w:hAnsi="Calibri" w:cs="Calibri"/>
                <w:szCs w:val="24"/>
                <w:vertAlign w:val="superscript"/>
              </w:rPr>
              <w:t>27</w:t>
            </w:r>
            <w:r>
              <w:rPr>
                <w:rFonts w:ascii="Calibri" w:eastAsia="Times New Roman" w:hAnsi="Calibri" w:cs="Calibri"/>
                <w:color w:val="000000"/>
                <w:lang w:eastAsia="fr-FR"/>
              </w:rPr>
              <w:fldChar w:fldCharType="end"/>
            </w:r>
          </w:p>
        </w:tc>
        <w:tc>
          <w:tcPr>
            <w:tcW w:w="709" w:type="dxa"/>
            <w:noWrap/>
            <w:vAlign w:val="center"/>
            <w:hideMark/>
          </w:tcPr>
          <w:p w14:paraId="7BF99217"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2012</w:t>
            </w:r>
          </w:p>
        </w:tc>
        <w:tc>
          <w:tcPr>
            <w:tcW w:w="1559" w:type="dxa"/>
            <w:noWrap/>
            <w:vAlign w:val="center"/>
            <w:hideMark/>
          </w:tcPr>
          <w:p w14:paraId="306668A1"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Adalimumab</w:t>
            </w:r>
            <w:proofErr w:type="spellEnd"/>
          </w:p>
        </w:tc>
        <w:tc>
          <w:tcPr>
            <w:tcW w:w="567" w:type="dxa"/>
            <w:noWrap/>
            <w:vAlign w:val="center"/>
            <w:hideMark/>
          </w:tcPr>
          <w:p w14:paraId="63C8AE18"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95</w:t>
            </w:r>
          </w:p>
        </w:tc>
        <w:tc>
          <w:tcPr>
            <w:tcW w:w="1276" w:type="dxa"/>
            <w:noWrap/>
            <w:vAlign w:val="center"/>
            <w:hideMark/>
          </w:tcPr>
          <w:p w14:paraId="24CBC51C"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noWrap/>
            <w:vAlign w:val="center"/>
            <w:hideMark/>
          </w:tcPr>
          <w:p w14:paraId="38557659"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97</w:t>
            </w:r>
          </w:p>
        </w:tc>
        <w:tc>
          <w:tcPr>
            <w:tcW w:w="2693" w:type="dxa"/>
            <w:vAlign w:val="center"/>
            <w:hideMark/>
          </w:tcPr>
          <w:p w14:paraId="41AA107E"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 xml:space="preserve">ADA 40 mg / </w:t>
            </w:r>
            <w:proofErr w:type="spellStart"/>
            <w:r>
              <w:rPr>
                <w:rFonts w:ascii="Calibri" w:eastAsia="Times New Roman" w:hAnsi="Calibri" w:cs="Calibri"/>
                <w:color w:val="000000"/>
                <w:lang w:eastAsia="fr-FR"/>
              </w:rPr>
              <w:t>wk</w:t>
            </w:r>
            <w:proofErr w:type="spellEnd"/>
            <w:r>
              <w:rPr>
                <w:rFonts w:ascii="Calibri" w:eastAsia="Times New Roman" w:hAnsi="Calibri" w:cs="Calibri"/>
                <w:color w:val="000000"/>
                <w:lang w:eastAsia="fr-FR"/>
              </w:rPr>
              <w:br/>
              <w:t>Placebo</w:t>
            </w:r>
          </w:p>
        </w:tc>
        <w:tc>
          <w:tcPr>
            <w:tcW w:w="992" w:type="dxa"/>
            <w:tcBorders>
              <w:top w:val="nil"/>
              <w:left w:val="nil"/>
              <w:bottom w:val="nil"/>
              <w:right w:val="single" w:sz="8" w:space="0" w:color="auto"/>
            </w:tcBorders>
            <w:noWrap/>
            <w:vAlign w:val="center"/>
            <w:hideMark/>
          </w:tcPr>
          <w:p w14:paraId="34479BA6"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12</w:t>
            </w:r>
          </w:p>
        </w:tc>
      </w:tr>
      <w:tr w:rsidR="00156725" w14:paraId="5352A957" w14:textId="77777777" w:rsidTr="00B83CF3">
        <w:trPr>
          <w:trHeight w:val="578"/>
        </w:trPr>
        <w:tc>
          <w:tcPr>
            <w:tcW w:w="1266" w:type="dxa"/>
            <w:tcBorders>
              <w:top w:val="nil"/>
              <w:left w:val="single" w:sz="8" w:space="0" w:color="auto"/>
              <w:bottom w:val="single" w:sz="4" w:space="0" w:color="auto"/>
              <w:right w:val="nil"/>
            </w:tcBorders>
            <w:shd w:val="clear" w:color="auto" w:fill="F2F2F2" w:themeFill="background1" w:themeFillShade="F2"/>
            <w:noWrap/>
            <w:vAlign w:val="center"/>
            <w:hideMark/>
          </w:tcPr>
          <w:p w14:paraId="1E1398BF"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Huang F.</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{"citationID":"kHCxPdJc","properties":{"formattedCitation":"\\super 25\\nosupersub{}","plainCitation":"25","noteIndex":0},"citationItems":[{"id":6055,"uris":["http://zotero.org/users/5006036/items/84YXH435"],"uri":["http://zotero.org/users/5006036/items/84YXH435"],"itemData":{"id":6055,"type":"article-journal","abstract":"BACKGROUND AND OBJECTIVES: Efficacy of adalimumab for ankylosing spondylitis (AS) has been established for Western populations but not in the Chinese population. This study is the first to evaluate the efficacy and safety of adalimumab in Chinese patients with AS.\nMETHODS: Chinese adults with active AS who had an inadequate response or were intolerant to ≥1 non-steroidal anti-inflammatory drugs were randomised to adalimumab 40 mg (N=229) or matching placebo (N=115) subcutaneously every other week (EOW) for 12 weeks, followed by a 12-week open-label adalimumab 40 mg EOW phase. The primary efficacy endpoint was the percentage of patients meeting the Assessment in Spondyloarthritis International Society (ASAS20) response criteria at week 12. The recently developed AS Disease Activity Score (ASDAS), as well as efficacy measures of spinal mobility, disease activity, physical function and quality of life were evaluated.\nRESULTS: At week 12, adalimumab treatment resulted in a significantly greater percentage of ASAS20 responders than placebo (67.2% versus 30.4%, respectively; p&lt;0.001). Differences in ASAS20 were observed as early as week 2 (42.8% vs 6.1%, respectively; p&lt;0.001). The percentages of patients achieving ASAS40, ASAS 5/6 and ASDAS inactive disease were significantly greater with adalimumab than placebo at week 12 (all p&lt;0.001). Tuberculosis was reported in one patient. No cases of malignancy, lymphoma, demyelinating disease or lupus-like syndrome were reported during the study.\nCONCLUSIONS: Adalimumab significantly reduced the signs and symptoms, improved physical function and quality of life of Chinese patients with active AS, and was generally safe and well tolerated in this population.","container-title":"Annals of the Rheumatic Diseases","DOI":"10.1136/annrheumdis-2012-202533","ISSN":"1468-2060","issue":"3","journalAbbreviation":"Ann. Rheum. Dis.","language":"eng","note":"PMID: 23475983","page":"587-594","source":"PubMed","title":"Efficacy and safety of adalimumab in Chinese adults with active ankylosing spondylitis: results of a randomised, controlled trial","title-short":"Efficacy and safety of adalimumab in Chinese adults with active ankylosing spondylitis","volume":"73","author":[{"family":"Huang","given":"Feng"},{"family":"Gu","given":"Jieruo"},{"family":"Zhu","given":"Ping"},{"family":"Bao","given":"Chunde"},{"family":"Xu","given":"Jianhua"},{"family":"Xu","given":"Huji"},{"family":"Wu","given":"Huaxiang"},{"family":"Wang","given":"Guochun"},{"family":"Shi","given":"Qun"},{"family":"Andhivarothai","given":"Nupun"},{"family":"Anderson","given":"Jaclyn"},{"family":"Pangan","given":"Aileen L."}],"issued":{"date-parts":[["2014",3]]}}}],"schema":"https://github.com/citation-style-language/schema/raw/master/csl-citation.json"} </w:instrText>
            </w:r>
            <w:r>
              <w:rPr>
                <w:rFonts w:ascii="Calibri" w:eastAsia="Times New Roman" w:hAnsi="Calibri" w:cs="Calibri"/>
                <w:color w:val="000000"/>
                <w:lang w:eastAsia="fr-FR"/>
              </w:rPr>
              <w:fldChar w:fldCharType="separate"/>
            </w:r>
            <w:r w:rsidRPr="00660CD7">
              <w:rPr>
                <w:rFonts w:ascii="Calibri" w:hAnsi="Calibri" w:cs="Calibri"/>
                <w:szCs w:val="24"/>
                <w:vertAlign w:val="superscript"/>
              </w:rPr>
              <w:t>25</w:t>
            </w:r>
            <w:r>
              <w:rPr>
                <w:rFonts w:ascii="Calibri" w:eastAsia="Times New Roman" w:hAnsi="Calibri" w:cs="Calibri"/>
                <w:color w:val="000000"/>
                <w:lang w:eastAsia="fr-FR"/>
              </w:rPr>
              <w:fldChar w:fldCharType="end"/>
            </w:r>
          </w:p>
        </w:tc>
        <w:tc>
          <w:tcPr>
            <w:tcW w:w="709" w:type="dxa"/>
            <w:tcBorders>
              <w:top w:val="nil"/>
              <w:left w:val="nil"/>
              <w:bottom w:val="single" w:sz="4" w:space="0" w:color="auto"/>
              <w:right w:val="nil"/>
            </w:tcBorders>
            <w:shd w:val="clear" w:color="auto" w:fill="F2F2F2" w:themeFill="background1" w:themeFillShade="F2"/>
            <w:noWrap/>
            <w:vAlign w:val="center"/>
            <w:hideMark/>
          </w:tcPr>
          <w:p w14:paraId="70D7A90E"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2013</w:t>
            </w:r>
          </w:p>
        </w:tc>
        <w:tc>
          <w:tcPr>
            <w:tcW w:w="1559" w:type="dxa"/>
            <w:tcBorders>
              <w:top w:val="nil"/>
              <w:left w:val="nil"/>
              <w:bottom w:val="single" w:sz="4" w:space="0" w:color="auto"/>
              <w:right w:val="nil"/>
            </w:tcBorders>
            <w:shd w:val="clear" w:color="auto" w:fill="F2F2F2" w:themeFill="background1" w:themeFillShade="F2"/>
            <w:noWrap/>
            <w:vAlign w:val="center"/>
            <w:hideMark/>
          </w:tcPr>
          <w:p w14:paraId="1C7D7DD7"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Adalimumab</w:t>
            </w:r>
            <w:proofErr w:type="spellEnd"/>
          </w:p>
        </w:tc>
        <w:tc>
          <w:tcPr>
            <w:tcW w:w="567" w:type="dxa"/>
            <w:tcBorders>
              <w:top w:val="nil"/>
              <w:left w:val="nil"/>
              <w:bottom w:val="single" w:sz="4" w:space="0" w:color="auto"/>
              <w:right w:val="nil"/>
            </w:tcBorders>
            <w:shd w:val="clear" w:color="auto" w:fill="F2F2F2" w:themeFill="background1" w:themeFillShade="F2"/>
            <w:noWrap/>
            <w:vAlign w:val="center"/>
            <w:hideMark/>
          </w:tcPr>
          <w:p w14:paraId="15516F69"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229</w:t>
            </w:r>
          </w:p>
        </w:tc>
        <w:tc>
          <w:tcPr>
            <w:tcW w:w="1276" w:type="dxa"/>
            <w:tcBorders>
              <w:top w:val="nil"/>
              <w:left w:val="nil"/>
              <w:bottom w:val="single" w:sz="4" w:space="0" w:color="auto"/>
              <w:right w:val="nil"/>
            </w:tcBorders>
            <w:shd w:val="clear" w:color="auto" w:fill="F2F2F2" w:themeFill="background1" w:themeFillShade="F2"/>
            <w:noWrap/>
            <w:vAlign w:val="center"/>
            <w:hideMark/>
          </w:tcPr>
          <w:p w14:paraId="702BBB80"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tcBorders>
              <w:top w:val="nil"/>
              <w:left w:val="nil"/>
              <w:bottom w:val="single" w:sz="4" w:space="0" w:color="auto"/>
              <w:right w:val="nil"/>
            </w:tcBorders>
            <w:shd w:val="clear" w:color="auto" w:fill="F2F2F2" w:themeFill="background1" w:themeFillShade="F2"/>
            <w:noWrap/>
            <w:vAlign w:val="center"/>
            <w:hideMark/>
          </w:tcPr>
          <w:p w14:paraId="58C50BB8"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115</w:t>
            </w:r>
          </w:p>
        </w:tc>
        <w:tc>
          <w:tcPr>
            <w:tcW w:w="2693" w:type="dxa"/>
            <w:tcBorders>
              <w:top w:val="nil"/>
              <w:left w:val="nil"/>
              <w:bottom w:val="single" w:sz="4" w:space="0" w:color="auto"/>
              <w:right w:val="nil"/>
            </w:tcBorders>
            <w:shd w:val="clear" w:color="auto" w:fill="F2F2F2" w:themeFill="background1" w:themeFillShade="F2"/>
            <w:vAlign w:val="center"/>
            <w:hideMark/>
          </w:tcPr>
          <w:p w14:paraId="1A5F732E"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 xml:space="preserve">ADA 40 mg / </w:t>
            </w:r>
            <w:proofErr w:type="spellStart"/>
            <w:r>
              <w:rPr>
                <w:rFonts w:ascii="Calibri" w:eastAsia="Times New Roman" w:hAnsi="Calibri" w:cs="Calibri"/>
                <w:color w:val="000000"/>
                <w:lang w:eastAsia="fr-FR"/>
              </w:rPr>
              <w:t>wk</w:t>
            </w:r>
            <w:proofErr w:type="spellEnd"/>
            <w:r>
              <w:rPr>
                <w:rFonts w:ascii="Calibri" w:eastAsia="Times New Roman" w:hAnsi="Calibri" w:cs="Calibri"/>
                <w:color w:val="000000"/>
                <w:lang w:eastAsia="fr-FR"/>
              </w:rPr>
              <w:br/>
              <w:t>Placebo</w:t>
            </w:r>
          </w:p>
        </w:tc>
        <w:tc>
          <w:tcPr>
            <w:tcW w:w="992" w:type="dxa"/>
            <w:tcBorders>
              <w:top w:val="nil"/>
              <w:left w:val="nil"/>
              <w:bottom w:val="single" w:sz="4" w:space="0" w:color="auto"/>
              <w:right w:val="single" w:sz="8" w:space="0" w:color="auto"/>
            </w:tcBorders>
            <w:shd w:val="clear" w:color="auto" w:fill="F2F2F2" w:themeFill="background1" w:themeFillShade="F2"/>
            <w:noWrap/>
            <w:vAlign w:val="center"/>
            <w:hideMark/>
          </w:tcPr>
          <w:p w14:paraId="5AD25D50"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12</w:t>
            </w:r>
          </w:p>
        </w:tc>
      </w:tr>
      <w:tr w:rsidR="00156725" w14:paraId="4DC3345F" w14:textId="77777777" w:rsidTr="00B83CF3">
        <w:trPr>
          <w:trHeight w:val="868"/>
        </w:trPr>
        <w:tc>
          <w:tcPr>
            <w:tcW w:w="1266" w:type="dxa"/>
            <w:tcBorders>
              <w:top w:val="nil"/>
              <w:left w:val="single" w:sz="8" w:space="0" w:color="auto"/>
              <w:bottom w:val="nil"/>
              <w:right w:val="nil"/>
            </w:tcBorders>
            <w:noWrap/>
            <w:vAlign w:val="center"/>
            <w:hideMark/>
          </w:tcPr>
          <w:p w14:paraId="2537624C" w14:textId="77777777" w:rsidR="00156725" w:rsidRDefault="00156725" w:rsidP="00B83CF3">
            <w:pPr>
              <w:spacing w:after="0" w:line="240" w:lineRule="auto"/>
              <w:rPr>
                <w:rFonts w:ascii="Calibri" w:eastAsia="Times New Roman" w:hAnsi="Calibri" w:cs="Calibri"/>
                <w:color w:val="000000"/>
                <w:lang w:eastAsia="fr-FR"/>
              </w:rPr>
            </w:pPr>
            <w:proofErr w:type="spellStart"/>
            <w:r>
              <w:rPr>
                <w:rFonts w:ascii="Calibri" w:eastAsia="Times New Roman" w:hAnsi="Calibri" w:cs="Calibri"/>
                <w:color w:val="000000"/>
                <w:lang w:eastAsia="fr-FR"/>
              </w:rPr>
              <w:t>Landewé</w:t>
            </w:r>
            <w:proofErr w:type="spellEnd"/>
            <w:r>
              <w:rPr>
                <w:rFonts w:ascii="Calibri" w:eastAsia="Times New Roman" w:hAnsi="Calibri" w:cs="Calibri"/>
                <w:color w:val="000000"/>
                <w:lang w:eastAsia="fr-FR"/>
              </w:rPr>
              <w:t xml:space="preserve"> R.</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{"citationID":"QoqbTMN5","properties":{"formattedCitation":"\\super 31\\nosupersub{}","plainCitation":"31","noteIndex":0},"citationItems":[{"id":6057,"uris":["http://zotero.org/users/5006036/items/WBYSY9QD"],"uri":["http://zotero.org/users/5006036/items/WBYSY9QD"],"itemData":{"id":6057,"type":"article-journal","abstract":"OBJECTIVES: To evaluate the efficacy and safety of certolizumab pegol (CZP) after 24 weeks in RAPID-axSpA (NCT01087762), an ongoing Phase 3 trial in patients with axial spondyloarthritis (axSpA), including patients with ankylosing spondylitis (AS) and non-radiographic axSpA (nr-axSpA).\nMETHODS: Patients with active axSpA were randomised 1:1:1 to placebo, CZP 200 mg every 2 weeks (Q2W) or CZP 400 mg every 4 weeks (Q4W). In total 325 patients were randomised. Primary endpoint was ASAS20 (Assessment of SpondyloArthritis international Society 20) response at week 12. Secondary outcomes included change from baseline in Bath Ankylosing Spondylitis Functional Index (BASFI), Bath Ankylosing Spondylitis Disease Activity Index (BASDAI), and Bath Ankylosing Spondylitis Metrology Index (BASMI) linear.\nRESULTS: Baseline disease activity was similar between AS and nr-axSpA. At week 12, ASAS20 response rates were significantly higher in CZP 200 mg Q2W and CZP 400 mg Q4W arms versus placebo (57.7 and 63.6 vs 38.3, p≤0.004). At week 24, combined CZP arms showed significant (p&lt;0.001) differences in change from baseline versus placebo in BASFI (-2.28 vs -0.40), BASDAI (-3.05 vs -1.05), and BASMI (-0.52 vs -0.07). Improvements were observed as early as week 1. Similar improvements were reported with CZP versus placebo in both AS and nr-axSpA subpopulations. Adverse events were reported in 70.4% vs 62.6%, and serious adverse events in 4.7% vs 4.7% of All CZP versus placebo groups. No deaths or malignancies were reported.\nCONCLUSIONS: CZP rapidly reduced the signs and symptoms of axSpA, with no new safety signals observed compared to the safety profile of CZP in RA. Similar improvements were observed across CZP dosing regimens, and in AS and nr-axSpA patients.","container-title":"Annals of the Rheumatic Diseases","DOI":"10.1136/annrheumdis-2013-204231","ISSN":"1468-2060","issue":"1","journalAbbreviation":"Ann. Rheum. Dis.","language":"eng","note":"PMID: 24013647\nPMCID: PMC3888598","page":"39-47","source":"PubMed","title":"Efficacy of certolizumab pegol on signs and symptoms of axial spondyloarthritis including ankylosing spondylitis: 24-week results of a double-blind randomised placebo-controlled Phase 3 study","title-short":"Efficacy of certolizumab pegol on signs and symptoms of axial spondyloarthritis including ankylosing spondylitis","volume":"73","author":[{"family":"Landewé","given":"R."},{"family":"Braun","given":"J."},{"family":"Deodhar","given":"A."},{"family":"Dougados","given":"M."},{"family":"Maksymowych","given":"W. P."},{"family":"Mease","given":"P. J."},{"family":"Reveille","given":"J. D."},{"family":"Rudwaleit","given":"M."},{"family":"Heijde","given":"D.","non-dropping-particle":"van der"},{"family":"Stach","given":"C."},{"family":"Hoepken","given":"B."},{"family":"Fichtner","given":"A."},{"family":"Coteur","given":"G."},{"family":"Longueville","given":"M.","non-dropping-particle":"de"},{"family":"Sieper","given":"J."}],"issued":{"date-parts":[["2014",1]]}}}],"schema":"https://github.com/citation-style-language/schema/raw/master/csl-citation.json"} </w:instrText>
            </w:r>
            <w:r>
              <w:rPr>
                <w:rFonts w:ascii="Calibri" w:eastAsia="Times New Roman" w:hAnsi="Calibri" w:cs="Calibri"/>
                <w:color w:val="000000"/>
                <w:lang w:eastAsia="fr-FR"/>
              </w:rPr>
              <w:fldChar w:fldCharType="separate"/>
            </w:r>
            <w:r w:rsidRPr="00270408">
              <w:rPr>
                <w:rFonts w:ascii="Calibri" w:hAnsi="Calibri" w:cs="Calibri"/>
                <w:szCs w:val="24"/>
                <w:vertAlign w:val="superscript"/>
              </w:rPr>
              <w:t>31</w:t>
            </w:r>
            <w:r>
              <w:rPr>
                <w:rFonts w:ascii="Calibri" w:eastAsia="Times New Roman" w:hAnsi="Calibri" w:cs="Calibri"/>
                <w:color w:val="000000"/>
                <w:lang w:eastAsia="fr-FR"/>
              </w:rPr>
              <w:fldChar w:fldCharType="end"/>
            </w:r>
            <w:r>
              <w:rPr>
                <w:rFonts w:ascii="Calibri" w:eastAsia="Times New Roman" w:hAnsi="Calibri" w:cs="Calibri"/>
                <w:color w:val="000000"/>
                <w:lang w:eastAsia="fr-FR"/>
              </w:rPr>
              <w:t xml:space="preserve"> </w:t>
            </w:r>
          </w:p>
        </w:tc>
        <w:tc>
          <w:tcPr>
            <w:tcW w:w="709" w:type="dxa"/>
            <w:noWrap/>
            <w:vAlign w:val="center"/>
            <w:hideMark/>
          </w:tcPr>
          <w:p w14:paraId="58C2C278"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2013</w:t>
            </w:r>
          </w:p>
        </w:tc>
        <w:tc>
          <w:tcPr>
            <w:tcW w:w="1559" w:type="dxa"/>
            <w:noWrap/>
            <w:vAlign w:val="center"/>
            <w:hideMark/>
          </w:tcPr>
          <w:p w14:paraId="42AB4CA9"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Certolizumab</w:t>
            </w:r>
            <w:proofErr w:type="spellEnd"/>
          </w:p>
        </w:tc>
        <w:tc>
          <w:tcPr>
            <w:tcW w:w="567" w:type="dxa"/>
            <w:noWrap/>
            <w:vAlign w:val="center"/>
            <w:hideMark/>
          </w:tcPr>
          <w:p w14:paraId="40A8CBC8"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218</w:t>
            </w:r>
          </w:p>
        </w:tc>
        <w:tc>
          <w:tcPr>
            <w:tcW w:w="1276" w:type="dxa"/>
            <w:noWrap/>
            <w:vAlign w:val="center"/>
            <w:hideMark/>
          </w:tcPr>
          <w:p w14:paraId="269E9013"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noWrap/>
            <w:vAlign w:val="center"/>
            <w:hideMark/>
          </w:tcPr>
          <w:p w14:paraId="2C09E944"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107</w:t>
            </w:r>
          </w:p>
        </w:tc>
        <w:tc>
          <w:tcPr>
            <w:tcW w:w="2693" w:type="dxa"/>
            <w:vAlign w:val="center"/>
            <w:hideMark/>
          </w:tcPr>
          <w:p w14:paraId="1346B0AB"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 xml:space="preserve">CZP 200 mg / 2 </w:t>
            </w:r>
            <w:proofErr w:type="spellStart"/>
            <w:r>
              <w:rPr>
                <w:rFonts w:ascii="Calibri" w:eastAsia="Times New Roman" w:hAnsi="Calibri" w:cs="Calibri"/>
                <w:color w:val="000000"/>
                <w:lang w:eastAsia="fr-FR"/>
              </w:rPr>
              <w:t>wk</w:t>
            </w:r>
            <w:proofErr w:type="spellEnd"/>
            <w:r>
              <w:rPr>
                <w:rFonts w:ascii="Calibri" w:eastAsia="Times New Roman" w:hAnsi="Calibri" w:cs="Calibri"/>
                <w:color w:val="000000"/>
                <w:lang w:eastAsia="fr-FR"/>
              </w:rPr>
              <w:br/>
              <w:t xml:space="preserve">CZP 400 mg / 4 </w:t>
            </w:r>
            <w:proofErr w:type="spellStart"/>
            <w:r>
              <w:rPr>
                <w:rFonts w:ascii="Calibri" w:eastAsia="Times New Roman" w:hAnsi="Calibri" w:cs="Calibri"/>
                <w:color w:val="000000"/>
                <w:lang w:eastAsia="fr-FR"/>
              </w:rPr>
              <w:t>wk</w:t>
            </w:r>
            <w:proofErr w:type="spellEnd"/>
            <w:r>
              <w:rPr>
                <w:rFonts w:ascii="Calibri" w:eastAsia="Times New Roman" w:hAnsi="Calibri" w:cs="Calibri"/>
                <w:color w:val="000000"/>
                <w:lang w:eastAsia="fr-FR"/>
              </w:rPr>
              <w:t xml:space="preserve"> </w:t>
            </w:r>
            <w:r>
              <w:rPr>
                <w:rFonts w:ascii="Calibri" w:eastAsia="Times New Roman" w:hAnsi="Calibri" w:cs="Calibri"/>
                <w:color w:val="000000"/>
                <w:lang w:eastAsia="fr-FR"/>
              </w:rPr>
              <w:br/>
              <w:t>Placebo</w:t>
            </w:r>
          </w:p>
        </w:tc>
        <w:tc>
          <w:tcPr>
            <w:tcW w:w="992" w:type="dxa"/>
            <w:tcBorders>
              <w:top w:val="nil"/>
              <w:left w:val="nil"/>
              <w:bottom w:val="nil"/>
              <w:right w:val="single" w:sz="8" w:space="0" w:color="auto"/>
            </w:tcBorders>
            <w:noWrap/>
            <w:vAlign w:val="center"/>
            <w:hideMark/>
          </w:tcPr>
          <w:p w14:paraId="19F4573B"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24</w:t>
            </w:r>
          </w:p>
        </w:tc>
      </w:tr>
      <w:tr w:rsidR="00156725" w:rsidRPr="00830A4F" w14:paraId="4D697179" w14:textId="77777777" w:rsidTr="00B83CF3">
        <w:trPr>
          <w:trHeight w:val="868"/>
        </w:trPr>
        <w:tc>
          <w:tcPr>
            <w:tcW w:w="1266" w:type="dxa"/>
            <w:tcBorders>
              <w:top w:val="nil"/>
              <w:left w:val="single" w:sz="8" w:space="0" w:color="auto"/>
              <w:bottom w:val="single" w:sz="4" w:space="0" w:color="auto"/>
              <w:right w:val="nil"/>
            </w:tcBorders>
            <w:shd w:val="clear" w:color="auto" w:fill="F2F2F2" w:themeFill="background1" w:themeFillShade="F2"/>
            <w:noWrap/>
            <w:vAlign w:val="center"/>
            <w:hideMark/>
          </w:tcPr>
          <w:p w14:paraId="54BCF45B" w14:textId="77777777" w:rsidR="00156725" w:rsidRPr="003A7BA3" w:rsidRDefault="00156725" w:rsidP="00B83CF3">
            <w:pPr>
              <w:spacing w:after="0" w:line="240" w:lineRule="auto"/>
              <w:rPr>
                <w:rFonts w:ascii="Calibri" w:eastAsia="Times New Roman" w:hAnsi="Calibri" w:cs="Calibri"/>
                <w:color w:val="000000"/>
                <w:lang w:val="en-US" w:eastAsia="fr-FR"/>
              </w:rPr>
            </w:pPr>
            <w:proofErr w:type="spellStart"/>
            <w:r>
              <w:rPr>
                <w:rFonts w:ascii="Calibri" w:eastAsia="Times New Roman" w:hAnsi="Calibri" w:cs="Calibri"/>
                <w:color w:val="000000"/>
                <w:lang w:eastAsia="fr-FR"/>
              </w:rPr>
              <w:t>Deodhar</w:t>
            </w:r>
            <w:proofErr w:type="spellEnd"/>
            <w:r>
              <w:rPr>
                <w:rFonts w:ascii="Calibri" w:eastAsia="Times New Roman" w:hAnsi="Calibri" w:cs="Calibri"/>
                <w:color w:val="000000"/>
                <w:lang w:eastAsia="fr-FR"/>
              </w:rPr>
              <w:t xml:space="preserve"> A.</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{"citationID":"Rp3jTd7C","properties":{"formattedCitation":"\\super 22\\nosupersub{}","plainCitation":"22","noteIndex":0},"citationItems":[{"id":6060,"uris":["http://zotero.org/users/5006036/items/9EBTJCBL"],"uri":["http://zotero.org/users/5006036/items/9EBTJCBL"],"itemData":{"id":6060,"type":"article-journal","abstract":"OBJECTIVE: The natural history of nonradiographic axial spondyloarthritis (SpA) is incompletely characterized, and there are concerns that nonsteroidal antiinflammatory drugs provide inadequate disease control in patients with active disease. This study was undertaken to investigate the effects of certolizumab pegol (CZP), an anti-tumor necrosis factor treatment, in patients with nonradiographic axial SpA with objective signs of inflammation.\nMETHODS: In this ongoing parallel-group double-blind study, adults with active disease were recruited from 80 centers in Australia, Europe, North America, and Taiwan, and were randomized 1:1 to receive placebo or CZP (400 mg at weeks 0, 2, and 4, followed by 200 mg every 2 weeks) in addition to nonbiologic background medication (NBBM). Switching to open-label CZP (or other biologic) or making background medication changes was permitted at any point during the trial, although changes before week 12 were discouraged. The primary end point was the proportion of patients achieving major improvement (MI) (i.e., a ≥2.0-point decrease in the score from baseline or achievement of the lowest possible score [0.6]) in the Ankylosing Spondylitis Disease Activity Score (ASDAS) at week 52.\nRESULTS: A total of 317 patients were randomized to receive placebo plus NBBM (n = 158) or CZP plus NBBM (n = 159). ASDAS-MI at week 52 was achieved in 47.2% (75 of 159) of CZP plus NBBM patients, which was significantly greater (P &lt; 0.0001) than the 7.0% (11 of 158) of placebo plus NBBM patients in whom ASDAS-MI was achieved. Of the placebo plus NBBM patient</w:instrText>
            </w:r>
            <w:r w:rsidRPr="003A7BA3">
              <w:rPr>
                <w:rFonts w:ascii="Calibri" w:eastAsia="Times New Roman" w:hAnsi="Calibri" w:cs="Calibri"/>
                <w:color w:val="000000"/>
                <w:lang w:val="en-US" w:eastAsia="fr-FR"/>
              </w:rPr>
              <w:instrText xml:space="preserve">s, 60.8% (96 of 158) switched to open-label treatment before week 52 compared to 12.6% (20 of 159) of the CZP plus NBBM patients.\nCONCLUSION: Adding CZP to background medication is superior to adding placebo in patients with active nonradiographic axial SpA. These results indicate that remission in nonradiographic axial SpA treated without biologics occurs infrequently, demonstrating the need for treatment beyond nonbiologic therapy.","container-title":"Arthritis &amp; Rheumatology (Hoboken, N.J.)","DOI":"10.1002/art.40866","ISSN":"2326-5205","issue":"7","language":"eng","note":"PMID: 30848558\nPMCID: PMC6619287","page":"1101-1111","source":"PubMed","title":"A Fifty-Two-Week, Randomized, Placebo-Controlled Trial of Certolizumab Pegol in Nonradiographic Axial Spondyloarthritis","volume":"71","author":[{"family":"Deodhar","given":"Atul"},{"family":"Gensler","given":"Lianne S."},{"family":"Kay","given":"Jonathan"},{"family":"Maksymowych","given":"Walter P."},{"family":"Haroon","given":"Nigil"},{"family":"Landewé","given":"Robert"},{"family":"Rudwaleit","given":"Martin"},{"family":"Hall","given":"Stephen"},{"family":"Bauer","given":"Lars"},{"family":"Hoepken","given":"Bengt"},{"family":"Peyrecave","given":"Natasha","non-dropping-particle":"de"},{"family":"Kilgallen","given":"Brian"},{"family":"Heijde","given":"Désirée","non-dropping-particle":"van der"}],"issued":{"date-parts":[["2019"]]}}}],"schema":"https://github.com/citation-style-language/schema/raw/master/csl-citation.json"} </w:instrText>
            </w:r>
            <w:r>
              <w:rPr>
                <w:rFonts w:ascii="Calibri" w:eastAsia="Times New Roman" w:hAnsi="Calibri" w:cs="Calibri"/>
                <w:color w:val="000000"/>
                <w:lang w:eastAsia="fr-FR"/>
              </w:rPr>
              <w:fldChar w:fldCharType="separate"/>
            </w:r>
            <w:r w:rsidRPr="003A7BA3">
              <w:rPr>
                <w:rFonts w:ascii="Calibri" w:hAnsi="Calibri" w:cs="Calibri"/>
                <w:szCs w:val="24"/>
                <w:vertAlign w:val="superscript"/>
                <w:lang w:val="en-US"/>
              </w:rPr>
              <w:t>22</w:t>
            </w:r>
            <w:r>
              <w:rPr>
                <w:rFonts w:ascii="Calibri" w:eastAsia="Times New Roman" w:hAnsi="Calibri" w:cs="Calibri"/>
                <w:color w:val="000000"/>
                <w:lang w:eastAsia="fr-FR"/>
              </w:rPr>
              <w:fldChar w:fldCharType="end"/>
            </w:r>
            <w:r w:rsidRPr="003A7BA3">
              <w:rPr>
                <w:rFonts w:ascii="Calibri" w:eastAsia="Times New Roman" w:hAnsi="Calibri" w:cs="Calibri"/>
                <w:color w:val="000000"/>
                <w:lang w:val="en-US" w:eastAsia="fr-FR"/>
              </w:rPr>
              <w:t xml:space="preserve"> </w:t>
            </w:r>
          </w:p>
        </w:tc>
        <w:tc>
          <w:tcPr>
            <w:tcW w:w="709" w:type="dxa"/>
            <w:tcBorders>
              <w:top w:val="nil"/>
              <w:left w:val="nil"/>
              <w:bottom w:val="single" w:sz="4" w:space="0" w:color="auto"/>
              <w:right w:val="nil"/>
            </w:tcBorders>
            <w:shd w:val="clear" w:color="auto" w:fill="F2F2F2" w:themeFill="background1" w:themeFillShade="F2"/>
            <w:noWrap/>
            <w:vAlign w:val="center"/>
            <w:hideMark/>
          </w:tcPr>
          <w:p w14:paraId="6FF72AB6"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2019</w:t>
            </w:r>
          </w:p>
        </w:tc>
        <w:tc>
          <w:tcPr>
            <w:tcW w:w="1559" w:type="dxa"/>
            <w:tcBorders>
              <w:top w:val="nil"/>
              <w:left w:val="nil"/>
              <w:bottom w:val="single" w:sz="4" w:space="0" w:color="auto"/>
              <w:right w:val="nil"/>
            </w:tcBorders>
            <w:shd w:val="clear" w:color="auto" w:fill="F2F2F2" w:themeFill="background1" w:themeFillShade="F2"/>
            <w:noWrap/>
            <w:vAlign w:val="center"/>
            <w:hideMark/>
          </w:tcPr>
          <w:p w14:paraId="782E7848"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Certolizumab</w:t>
            </w:r>
          </w:p>
        </w:tc>
        <w:tc>
          <w:tcPr>
            <w:tcW w:w="567" w:type="dxa"/>
            <w:tcBorders>
              <w:top w:val="nil"/>
              <w:left w:val="nil"/>
              <w:bottom w:val="single" w:sz="4" w:space="0" w:color="auto"/>
              <w:right w:val="nil"/>
            </w:tcBorders>
            <w:shd w:val="clear" w:color="auto" w:fill="F2F2F2" w:themeFill="background1" w:themeFillShade="F2"/>
            <w:noWrap/>
            <w:vAlign w:val="center"/>
            <w:hideMark/>
          </w:tcPr>
          <w:p w14:paraId="29C95F37"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159</w:t>
            </w:r>
          </w:p>
        </w:tc>
        <w:tc>
          <w:tcPr>
            <w:tcW w:w="1276" w:type="dxa"/>
            <w:tcBorders>
              <w:top w:val="nil"/>
              <w:left w:val="nil"/>
              <w:bottom w:val="single" w:sz="4" w:space="0" w:color="auto"/>
              <w:right w:val="nil"/>
            </w:tcBorders>
            <w:shd w:val="clear" w:color="auto" w:fill="F2F2F2" w:themeFill="background1" w:themeFillShade="F2"/>
            <w:noWrap/>
            <w:vAlign w:val="center"/>
            <w:hideMark/>
          </w:tcPr>
          <w:p w14:paraId="2D567A9A"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Placebo</w:t>
            </w:r>
          </w:p>
        </w:tc>
        <w:tc>
          <w:tcPr>
            <w:tcW w:w="567" w:type="dxa"/>
            <w:tcBorders>
              <w:top w:val="nil"/>
              <w:left w:val="nil"/>
              <w:bottom w:val="single" w:sz="4" w:space="0" w:color="auto"/>
              <w:right w:val="nil"/>
            </w:tcBorders>
            <w:shd w:val="clear" w:color="auto" w:fill="F2F2F2" w:themeFill="background1" w:themeFillShade="F2"/>
            <w:noWrap/>
            <w:vAlign w:val="center"/>
            <w:hideMark/>
          </w:tcPr>
          <w:p w14:paraId="69AA3392"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158</w:t>
            </w:r>
          </w:p>
        </w:tc>
        <w:tc>
          <w:tcPr>
            <w:tcW w:w="2693" w:type="dxa"/>
            <w:tcBorders>
              <w:top w:val="nil"/>
              <w:left w:val="nil"/>
              <w:bottom w:val="single" w:sz="4" w:space="0" w:color="auto"/>
              <w:right w:val="nil"/>
            </w:tcBorders>
            <w:shd w:val="clear" w:color="auto" w:fill="F2F2F2" w:themeFill="background1" w:themeFillShade="F2"/>
            <w:vAlign w:val="center"/>
            <w:hideMark/>
          </w:tcPr>
          <w:p w14:paraId="418948C6"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 xml:space="preserve">CZP 400 mg at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t xml:space="preserve"> 0, 2 and 4 then CZP 200 mg / 2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br/>
              <w:t>Placebo</w:t>
            </w:r>
          </w:p>
        </w:tc>
        <w:tc>
          <w:tcPr>
            <w:tcW w:w="992" w:type="dxa"/>
            <w:tcBorders>
              <w:top w:val="nil"/>
              <w:left w:val="nil"/>
              <w:bottom w:val="single" w:sz="4" w:space="0" w:color="auto"/>
              <w:right w:val="single" w:sz="8" w:space="0" w:color="auto"/>
            </w:tcBorders>
            <w:shd w:val="clear" w:color="auto" w:fill="F2F2F2" w:themeFill="background1" w:themeFillShade="F2"/>
            <w:noWrap/>
            <w:vAlign w:val="center"/>
            <w:hideMark/>
          </w:tcPr>
          <w:p w14:paraId="4AB99A83"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52</w:t>
            </w:r>
          </w:p>
        </w:tc>
      </w:tr>
      <w:tr w:rsidR="00156725" w:rsidRPr="00830A4F" w14:paraId="5E49EC84" w14:textId="77777777" w:rsidTr="00B83CF3">
        <w:trPr>
          <w:trHeight w:val="868"/>
        </w:trPr>
        <w:tc>
          <w:tcPr>
            <w:tcW w:w="1266" w:type="dxa"/>
            <w:tcBorders>
              <w:top w:val="nil"/>
              <w:left w:val="single" w:sz="8" w:space="0" w:color="auto"/>
              <w:bottom w:val="nil"/>
              <w:right w:val="nil"/>
            </w:tcBorders>
            <w:noWrap/>
            <w:vAlign w:val="center"/>
            <w:hideMark/>
          </w:tcPr>
          <w:p w14:paraId="61331FA6" w14:textId="77777777" w:rsidR="00156725" w:rsidRPr="003A7BA3" w:rsidRDefault="00156725" w:rsidP="00B83CF3">
            <w:pPr>
              <w:spacing w:after="0" w:line="240" w:lineRule="auto"/>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Inman A.</w:t>
            </w:r>
            <w:r>
              <w:rPr>
                <w:rFonts w:ascii="Calibri" w:eastAsia="Times New Roman" w:hAnsi="Calibri" w:cs="Calibri"/>
                <w:color w:val="000000"/>
                <w:lang w:eastAsia="fr-FR"/>
              </w:rPr>
              <w:fldChar w:fldCharType="begin"/>
            </w:r>
            <w:r w:rsidRPr="003A7BA3">
              <w:rPr>
                <w:rFonts w:ascii="Calibri" w:eastAsia="Times New Roman" w:hAnsi="Calibri" w:cs="Calibri"/>
                <w:color w:val="000000"/>
                <w:lang w:val="en-US" w:eastAsia="fr-FR"/>
              </w:rPr>
              <w:instrText xml:space="preserve"> ADDIN ZOTERO_ITEM CSL_CITATION {"citationID":"arJH8LMU","properties":{"formattedCitation":"\\super 28\\nosupersub{}","plainCitation":"28","noteIndex":0},"citationItems":[{"id":6063,"uris":["http://zotero.org/users/5006036/items/9M6TFCR3"],"uri":["http://zotero.org/users/5006036/items/9M6TFCR3"],"itemData":{"id":6063,"type":"article-journal","abstract":"OBJECTIVE: To evaluate the efficacy and safety of golimumab in patients with ankylosing spondylitis (AS) in the GO-RAISE study.\nMETHODS: Patients with active AS, a Bath AS Disease Activity Index (BASDAI) score &gt; or =4, and a back pain score of &gt; or =4 were randomly assigned in a 1.8:1.8:1 ratio to receive subcutaneous injections of golimumab (50 mg or 100 mg) or placebo every 4 weeks. The primary end point was the proportion of patients with at least 20% improvement in the ASsessment in AS (ASAS20) criteria at week 14.\nRESULTS: At randomization, 138, 140, and 78 patients were assigned to the 50-mg, 100-mg, and placebo groups, respectively. After 14 weeks, 59.4%, 60.0%, and 21.8% of patients, respectively, were ASAS20 responders (P &lt; 0.001). A 40% improvement in the ASAS criteria at week 24 occurred in 43.5%, 54.3%, and 15.4% of patients, respectively. Patients receiving golimumab also showed significant improvement in the physical and mental component summary scores of the Short Form 36 Health Survey, the Jenkins Sl</w:instrText>
            </w:r>
            <w:r>
              <w:rPr>
                <w:rFonts w:ascii="Calibri" w:eastAsia="Times New Roman" w:hAnsi="Calibri" w:cs="Calibri"/>
                <w:color w:val="000000"/>
                <w:lang w:eastAsia="fr-FR"/>
              </w:rPr>
              <w:instrText>eep Evaluation Questionnaire score, the BASDAI score, and the Bath AS Functional Index score, but not the Bath AS Metrology Index score. Through week 24, 85.6% of golimumab-treated patients and 76.6% of patients in the placebo group had &gt; or =1 adverse event, and 5.4% and 6.5% of patients</w:instrText>
            </w:r>
            <w:r w:rsidRPr="003A7BA3">
              <w:rPr>
                <w:rFonts w:ascii="Calibri" w:eastAsia="Times New Roman" w:hAnsi="Calibri" w:cs="Calibri"/>
                <w:color w:val="000000"/>
                <w:lang w:val="en-US" w:eastAsia="fr-FR"/>
              </w:rPr>
              <w:instrText xml:space="preserve">, respectively, had &gt; or =1 serious adverse event. Eight golimumab-treated patients and 1 placebo-treated patient had markedly abnormal liver enzyme values (&gt; or =100% increase from baseline and a value &gt;150 IU/liter), which were transient.\nCONCLUSION: Golimumab was effective and well tolerated in a large cohort of patients with AS during a 24-week study period.","container-title":"Arthritis and Rheumatism","DOI":"10.1002/art.23969","ISSN":"0004-3591","issue":"11","journalAbbreviation":"Arthritis Rheum.","language":"eng","note":"PMID: 18975305","page":"3402-3412","source":"PubMed","title":"Efficacy and safety of golimumab in patients with ankylosing spondylitis: results of a randomized, double-blind, placebo-controlled, phase III trial","title-short":"Efficacy and safety of golimumab in patients with ankylosing spondylitis","volume":"58","author":[{"family":"Inman","given":"Robert D."},{"family":"Davis","given":"John C."},{"family":"Heijde","given":"Désirée","dropping-particle":"van der"},{"family":"Diekman","given":"Laura"},{"family":"Sieper","given":"Joachim"},{"family":"Kim","given":"Sung Il"},{"family":"Mack","given":"Michael"},{"family":"Han","given":"John"},{"family":"Visvanathan","given":"Sudha"},{"family":"Xu","given":"Zhenhua"},{"family":"Hsu","given":"Benjamin"},{"family":"Beutler","given":"Anna"},{"family":"Braun","given":"Jürgen"}],"issued":{"date-parts":[["2008",11]]}}}],"schema":"https://github.com/citation-style-language/schema/raw/master/csl-citation.json"} </w:instrText>
            </w:r>
            <w:r>
              <w:rPr>
                <w:rFonts w:ascii="Calibri" w:eastAsia="Times New Roman" w:hAnsi="Calibri" w:cs="Calibri"/>
                <w:color w:val="000000"/>
                <w:lang w:eastAsia="fr-FR"/>
              </w:rPr>
              <w:fldChar w:fldCharType="separate"/>
            </w:r>
            <w:r w:rsidRPr="003A7BA3">
              <w:rPr>
                <w:rFonts w:ascii="Calibri" w:hAnsi="Calibri" w:cs="Calibri"/>
                <w:szCs w:val="24"/>
                <w:vertAlign w:val="superscript"/>
                <w:lang w:val="en-US"/>
              </w:rPr>
              <w:t>28</w:t>
            </w:r>
            <w:r>
              <w:rPr>
                <w:rFonts w:ascii="Calibri" w:eastAsia="Times New Roman" w:hAnsi="Calibri" w:cs="Calibri"/>
                <w:color w:val="000000"/>
                <w:lang w:eastAsia="fr-FR"/>
              </w:rPr>
              <w:fldChar w:fldCharType="end"/>
            </w:r>
          </w:p>
        </w:tc>
        <w:tc>
          <w:tcPr>
            <w:tcW w:w="709" w:type="dxa"/>
            <w:noWrap/>
            <w:vAlign w:val="center"/>
            <w:hideMark/>
          </w:tcPr>
          <w:p w14:paraId="01520457"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2008</w:t>
            </w:r>
          </w:p>
        </w:tc>
        <w:tc>
          <w:tcPr>
            <w:tcW w:w="1559" w:type="dxa"/>
            <w:noWrap/>
            <w:vAlign w:val="center"/>
            <w:hideMark/>
          </w:tcPr>
          <w:p w14:paraId="427D39B3"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Golimumab</w:t>
            </w:r>
          </w:p>
        </w:tc>
        <w:tc>
          <w:tcPr>
            <w:tcW w:w="567" w:type="dxa"/>
            <w:noWrap/>
            <w:vAlign w:val="center"/>
            <w:hideMark/>
          </w:tcPr>
          <w:p w14:paraId="591B556E"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278</w:t>
            </w:r>
          </w:p>
        </w:tc>
        <w:tc>
          <w:tcPr>
            <w:tcW w:w="1276" w:type="dxa"/>
            <w:noWrap/>
            <w:vAlign w:val="center"/>
            <w:hideMark/>
          </w:tcPr>
          <w:p w14:paraId="08A93442"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Placebo</w:t>
            </w:r>
          </w:p>
        </w:tc>
        <w:tc>
          <w:tcPr>
            <w:tcW w:w="567" w:type="dxa"/>
            <w:noWrap/>
            <w:vAlign w:val="center"/>
            <w:hideMark/>
          </w:tcPr>
          <w:p w14:paraId="5E466C8A"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77</w:t>
            </w:r>
          </w:p>
        </w:tc>
        <w:tc>
          <w:tcPr>
            <w:tcW w:w="2693" w:type="dxa"/>
            <w:vAlign w:val="center"/>
            <w:hideMark/>
          </w:tcPr>
          <w:p w14:paraId="4EBEDC8C"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 xml:space="preserve">GOL 50 mg / 4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br/>
              <w:t xml:space="preserve">GOL 100 mg / 4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t xml:space="preserve"> </w:t>
            </w:r>
            <w:r>
              <w:rPr>
                <w:rFonts w:ascii="Calibri" w:eastAsia="Times New Roman" w:hAnsi="Calibri" w:cs="Calibri"/>
                <w:color w:val="000000"/>
                <w:lang w:val="en-029" w:eastAsia="fr-FR"/>
              </w:rPr>
              <w:br/>
              <w:t>Placebo</w:t>
            </w:r>
          </w:p>
        </w:tc>
        <w:tc>
          <w:tcPr>
            <w:tcW w:w="992" w:type="dxa"/>
            <w:tcBorders>
              <w:top w:val="nil"/>
              <w:left w:val="nil"/>
              <w:bottom w:val="nil"/>
              <w:right w:val="single" w:sz="8" w:space="0" w:color="auto"/>
            </w:tcBorders>
            <w:noWrap/>
            <w:vAlign w:val="center"/>
            <w:hideMark/>
          </w:tcPr>
          <w:p w14:paraId="0B1FCEB7"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24</w:t>
            </w:r>
          </w:p>
        </w:tc>
      </w:tr>
      <w:tr w:rsidR="00156725" w14:paraId="2329C738" w14:textId="77777777" w:rsidTr="00B83CF3">
        <w:trPr>
          <w:trHeight w:val="578"/>
        </w:trPr>
        <w:tc>
          <w:tcPr>
            <w:tcW w:w="1266" w:type="dxa"/>
            <w:tcBorders>
              <w:top w:val="nil"/>
              <w:left w:val="single" w:sz="8" w:space="0" w:color="auto"/>
              <w:bottom w:val="nil"/>
              <w:right w:val="nil"/>
            </w:tcBorders>
            <w:shd w:val="clear" w:color="auto" w:fill="F2F2F2" w:themeFill="background1" w:themeFillShade="F2"/>
            <w:noWrap/>
            <w:vAlign w:val="center"/>
            <w:hideMark/>
          </w:tcPr>
          <w:p w14:paraId="550359F8" w14:textId="77777777" w:rsidR="00156725" w:rsidRDefault="00156725" w:rsidP="00B83CF3">
            <w:pPr>
              <w:spacing w:after="0" w:line="240" w:lineRule="auto"/>
              <w:rPr>
                <w:rFonts w:ascii="Calibri" w:eastAsia="Times New Roman" w:hAnsi="Calibri" w:cs="Calibri"/>
                <w:color w:val="000000"/>
                <w:lang w:eastAsia="fr-FR"/>
              </w:rPr>
            </w:pPr>
            <w:proofErr w:type="spellStart"/>
            <w:r w:rsidRPr="003A7BA3">
              <w:rPr>
                <w:rFonts w:ascii="Calibri" w:eastAsia="Times New Roman" w:hAnsi="Calibri" w:cs="Calibri"/>
                <w:color w:val="000000"/>
                <w:lang w:val="en-US" w:eastAsia="fr-FR"/>
              </w:rPr>
              <w:t>Deodhar</w:t>
            </w:r>
            <w:proofErr w:type="spellEnd"/>
            <w:r w:rsidRPr="003A7BA3">
              <w:rPr>
                <w:rFonts w:ascii="Calibri" w:eastAsia="Times New Roman" w:hAnsi="Calibri" w:cs="Calibri"/>
                <w:color w:val="000000"/>
                <w:lang w:val="en-US" w:eastAsia="fr-FR"/>
              </w:rPr>
              <w:t xml:space="preserve"> A.</w:t>
            </w:r>
            <w:r>
              <w:rPr>
                <w:rFonts w:ascii="Calibri" w:eastAsia="Times New Roman" w:hAnsi="Calibri" w:cs="Calibri"/>
                <w:color w:val="000000"/>
                <w:lang w:eastAsia="fr-FR"/>
              </w:rPr>
              <w:fldChar w:fldCharType="begin"/>
            </w:r>
            <w:r w:rsidRPr="003A7BA3">
              <w:rPr>
                <w:rFonts w:ascii="Calibri" w:eastAsia="Times New Roman" w:hAnsi="Calibri" w:cs="Calibri"/>
                <w:color w:val="000000"/>
                <w:lang w:val="en-US" w:eastAsia="fr-FR"/>
              </w:rPr>
              <w:instrText xml:space="preserve"> ADDIN ZOTERO_ITEM CSL_CITATION {"citationID":"90lbwRmB","properties":{"formattedCitation":"\\super 33\\nosupersub{}","plainCitation":"33","noteIndex":0},"citationItems":[{"id":6065,"uris":["http://zotero.org/users/5006036/items/KVPL6CIP"],"uri":["http://zotero.org/users/5006036/items/KVPL6CIP"],"itemData":{"id":6065,"type":"article-journal","abstract":"OBJECTIVE: To evaluate the safety and efficacy of intravenous golimumab (GOL) in patients with active ankylosing spondylitis (AS).\nMETHODS: In a phase III, randomized, double-blind, placebo (PBO)-controlled trial, 208 patients were randomized (1:1) to intravenous (IV) infusions of GOL 2 mg/kg (n = 105) at weeks 0, 4, 12, and every 8 weeks, or PBO (n = 103) at weeks 0, 4, and 12, with crossover to GOL at Week 16. The primary endpoint was ≥ 20% improvement from baseline in the Assessment of Spondyloarthritis International Society Criteria (ASAS20) at Week 16. Secondary endpoints included ASAS40, ≥ 50% improvement in the Bath Ankylosing Spondylitis Disease Activity Index (BASDAI50), and change in the Bath Ankylosing Spondylitis Functional Index (BASFI) at Week 16. Safety was monitored through Week 28.\nRESULTS: Significantly greater proportions of GOL-treated patients had ASAS20 response at Week 2 (37.1% vs 19.4%; p = 0.005) and at Week 16 (73.3% vs 26.2%; p &lt; 0.001). At Week 16, 41.0% of those receiving GOL achieved BASDAI50 compared wi</w:instrText>
            </w:r>
            <w:r>
              <w:rPr>
                <w:rFonts w:ascii="Calibri" w:eastAsia="Times New Roman" w:hAnsi="Calibri" w:cs="Calibri"/>
                <w:color w:val="000000"/>
                <w:lang w:eastAsia="fr-FR"/>
              </w:rPr>
              <w:instrText xml:space="preserve">th 14.6% of those taking PBO (p &lt; 0.001), and the GOL group had greater mean improvement in BASFI (-2.4 vs -0.5; p &lt; 0.001). Through Week 16, 23.3% of patients in the PBO group and 32.4% of patients in the GOL group had ≥ 1 adverse event (AE); infections being the commonest type of AE. Through Week 28, two GOL-treated patients had a serious AE.\nCONCLUSION: GOL 2 mg/kg administered IV at weeks 0, 4, and every 8 weeks significantly reduced the signs and symptoms of AS in adults. AE were consistent with other antitumor necrosis factor therapies, with no new safety signals (Clinicaltrials.gov: NCT02186873).","container-title":"The Journal of Rheumatology","DOI":"10.3899/jrheum.170487","ISSN":"0315-162X","issue":"3","journalAbbreviation":"J. Rheumatol.","language":"eng","note":"PMID: 29247154","page":"341-348","source":"PubMed","title":"Safety and Efficacy of Golimumab Administered Intravenously in Adults with Ankylosing Spondylitis: Results through Week 28 of the GO-ALIVE Study","title-short":"Safety and Efficacy of Golimumab Administered Intravenously in Adults with Ankylosing Spondylitis","volume":"45","author":[{"family":"Deodhar","given":"Atul"},{"family":"Reveille","given":"John D."},{"family":"Harrison","given":"Diane D."},{"family":"Kim","given":"Lilianne"},{"family":"Lo","given":"Kim Hung"},{"family":"Leu","given":"Jocelyn H."},{"family":"Hsia","given":"Elizabeth C."}],"issued":{"date-parts":[["2018"]]}}}],"schema":"https://github.com/citation-style-language/schema/raw/master/csl-citation.json"} </w:instrText>
            </w:r>
            <w:r>
              <w:rPr>
                <w:rFonts w:ascii="Calibri" w:eastAsia="Times New Roman" w:hAnsi="Calibri" w:cs="Calibri"/>
                <w:color w:val="000000"/>
                <w:lang w:eastAsia="fr-FR"/>
              </w:rPr>
              <w:fldChar w:fldCharType="separate"/>
            </w:r>
            <w:r w:rsidRPr="00270408">
              <w:rPr>
                <w:rFonts w:ascii="Calibri" w:hAnsi="Calibri" w:cs="Calibri"/>
                <w:szCs w:val="24"/>
                <w:vertAlign w:val="superscript"/>
              </w:rPr>
              <w:t>33</w:t>
            </w:r>
            <w:r>
              <w:rPr>
                <w:rFonts w:ascii="Calibri" w:eastAsia="Times New Roman" w:hAnsi="Calibri" w:cs="Calibri"/>
                <w:color w:val="000000"/>
                <w:lang w:eastAsia="fr-FR"/>
              </w:rPr>
              <w:fldChar w:fldCharType="end"/>
            </w:r>
            <w:r>
              <w:rPr>
                <w:rFonts w:ascii="Calibri" w:eastAsia="Times New Roman" w:hAnsi="Calibri" w:cs="Calibri"/>
                <w:color w:val="000000"/>
                <w:lang w:eastAsia="fr-FR"/>
              </w:rPr>
              <w:t xml:space="preserve"> </w:t>
            </w:r>
          </w:p>
        </w:tc>
        <w:tc>
          <w:tcPr>
            <w:tcW w:w="709" w:type="dxa"/>
            <w:shd w:val="clear" w:color="auto" w:fill="F2F2F2" w:themeFill="background1" w:themeFillShade="F2"/>
            <w:noWrap/>
            <w:vAlign w:val="center"/>
            <w:hideMark/>
          </w:tcPr>
          <w:p w14:paraId="7C9F6D03"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2017</w:t>
            </w:r>
          </w:p>
        </w:tc>
        <w:tc>
          <w:tcPr>
            <w:tcW w:w="1559" w:type="dxa"/>
            <w:shd w:val="clear" w:color="auto" w:fill="F2F2F2" w:themeFill="background1" w:themeFillShade="F2"/>
            <w:noWrap/>
            <w:vAlign w:val="center"/>
            <w:hideMark/>
          </w:tcPr>
          <w:p w14:paraId="0B25F7D7"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Golimumab</w:t>
            </w:r>
            <w:proofErr w:type="spellEnd"/>
          </w:p>
        </w:tc>
        <w:tc>
          <w:tcPr>
            <w:tcW w:w="567" w:type="dxa"/>
            <w:shd w:val="clear" w:color="auto" w:fill="F2F2F2" w:themeFill="background1" w:themeFillShade="F2"/>
            <w:noWrap/>
            <w:vAlign w:val="center"/>
            <w:hideMark/>
          </w:tcPr>
          <w:p w14:paraId="4AA1AE60"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105</w:t>
            </w:r>
          </w:p>
        </w:tc>
        <w:tc>
          <w:tcPr>
            <w:tcW w:w="1276" w:type="dxa"/>
            <w:shd w:val="clear" w:color="auto" w:fill="F2F2F2" w:themeFill="background1" w:themeFillShade="F2"/>
            <w:noWrap/>
            <w:vAlign w:val="center"/>
            <w:hideMark/>
          </w:tcPr>
          <w:p w14:paraId="37AB665A"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shd w:val="clear" w:color="auto" w:fill="F2F2F2" w:themeFill="background1" w:themeFillShade="F2"/>
            <w:noWrap/>
            <w:vAlign w:val="center"/>
            <w:hideMark/>
          </w:tcPr>
          <w:p w14:paraId="45825D7E"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103</w:t>
            </w:r>
          </w:p>
        </w:tc>
        <w:tc>
          <w:tcPr>
            <w:tcW w:w="2693" w:type="dxa"/>
            <w:shd w:val="clear" w:color="auto" w:fill="F2F2F2" w:themeFill="background1" w:themeFillShade="F2"/>
            <w:vAlign w:val="center"/>
            <w:hideMark/>
          </w:tcPr>
          <w:p w14:paraId="35497999"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 xml:space="preserve">GOL IV 2 mg/kg at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t xml:space="preserve"> 0, 4, 12 and then / 8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br/>
              <w:t>Placebo</w:t>
            </w:r>
          </w:p>
        </w:tc>
        <w:tc>
          <w:tcPr>
            <w:tcW w:w="992" w:type="dxa"/>
            <w:tcBorders>
              <w:top w:val="nil"/>
              <w:left w:val="nil"/>
              <w:bottom w:val="nil"/>
              <w:right w:val="single" w:sz="8" w:space="0" w:color="auto"/>
            </w:tcBorders>
            <w:shd w:val="clear" w:color="auto" w:fill="F2F2F2" w:themeFill="background1" w:themeFillShade="F2"/>
            <w:noWrap/>
            <w:vAlign w:val="center"/>
            <w:hideMark/>
          </w:tcPr>
          <w:p w14:paraId="5ECABFB7"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28</w:t>
            </w:r>
          </w:p>
        </w:tc>
      </w:tr>
      <w:tr w:rsidR="00156725" w14:paraId="3DFBFEED" w14:textId="77777777" w:rsidTr="00B83CF3">
        <w:trPr>
          <w:trHeight w:val="578"/>
        </w:trPr>
        <w:tc>
          <w:tcPr>
            <w:tcW w:w="1266" w:type="dxa"/>
            <w:tcBorders>
              <w:top w:val="nil"/>
              <w:left w:val="single" w:sz="8" w:space="0" w:color="auto"/>
              <w:bottom w:val="nil"/>
              <w:right w:val="nil"/>
            </w:tcBorders>
            <w:noWrap/>
            <w:vAlign w:val="center"/>
            <w:hideMark/>
          </w:tcPr>
          <w:p w14:paraId="14CC6CDD" w14:textId="77777777" w:rsidR="00156725" w:rsidRDefault="00156725" w:rsidP="00B83CF3">
            <w:pPr>
              <w:spacing w:after="0" w:line="240" w:lineRule="auto"/>
              <w:rPr>
                <w:rFonts w:ascii="Calibri" w:eastAsia="Times New Roman" w:hAnsi="Calibri" w:cs="Calibri"/>
                <w:color w:val="000000"/>
                <w:lang w:eastAsia="fr-FR"/>
              </w:rPr>
            </w:pPr>
            <w:proofErr w:type="spellStart"/>
            <w:r>
              <w:rPr>
                <w:rFonts w:ascii="Calibri" w:eastAsia="Times New Roman" w:hAnsi="Calibri" w:cs="Calibri"/>
                <w:color w:val="000000"/>
                <w:lang w:eastAsia="fr-FR"/>
              </w:rPr>
              <w:t>Sieper</w:t>
            </w:r>
            <w:proofErr w:type="spellEnd"/>
            <w:r>
              <w:rPr>
                <w:rFonts w:ascii="Calibri" w:eastAsia="Times New Roman" w:hAnsi="Calibri" w:cs="Calibri"/>
                <w:color w:val="000000"/>
                <w:lang w:eastAsia="fr-FR"/>
              </w:rPr>
              <w:t xml:space="preserve"> J.</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{"citationID":"MIxeJW06","properties":{"formattedCitation":"\\super 23\\nosupersub{}","plainCitation":"23","noteIndex":0},"citationItems":[{"id":6068,"uris":["http://zotero.org/users/5006036/items/QVARYFFB"],"uri":["http://zotero.org/users/5006036/items/QVARYFFB"],"itemData":{"id":6068,"type":"article-journal","abstract":"OBJECTIVE: Axial spondyloarthritis (SpA) is a chronic inflammatory disease characterized by back pain and stiffness. The objective of this study was to determine whether golimumab is superior to placebo in patients with nonradiographic axial SpA.\nMETHODS: This phase III, double-blind, randomized, placebo-controlled trial was performed to evaluate subcutaneous golimumab (50 mg) versus placebo in patients ages ≥18 years to ≤45 years who had active nonradiographic axial SpA according to the Assessment of SpondyloArthritis international Society (ASAS) criteria for ≤5 years since diagnosis, high disease activity, and an inadequate response to or intolerance of nonsteroidal antiinflammatory drugs. Patients were randomized 1:1 to receive golimumab or placebo subcutaneously every 4 weeks. The primary end point was 20% improvement according to the ASAS criteria (ASAS20) at week 16. Key secondary end points were an ASAS40 response, ASAS partial remission, 50% improvement in the Bath Ankylosing Spondylitis Disease Activity Index (BASDAI), and change in the Spondyloarthritis Research Consortium of Canada (SPARCC) magnetic resonance imaging (MRI) index for sacroiliac (SI) joint inflammation (SPARCC score).\nRESULTS: Of the 198 patients randomized, 197 were treated (97 received golimumab, and 100 received placebo). The mean age of the patients was 31 years, and 57.1% were male. At baseline, the mean ± SD BASDAI was 6.5 ± 1.5, the mean ± SD ASDAS was 3.5 ± 0.9, and the mean ± SD SPARCC score was 11.3 ± 14.0. The primary end point, an ASAS20 response, was achieved by significantly more patients in the golimumab group compared with the placebo group (71.1% versus 40.0%; P &lt; 0.0001). An ASAS40 response was also achieved by significantly more patients in the golimumab group compared with the placebo group (56.7% versus 23.0%; P &lt; 0.0001). The incidence of adverse events did not differ meaningfully between groups.\nCONCLUSION: Patients with active nonradiographic axial SpA treated with golimumab had significantly greater improvement in symptoms compared with patients treated with placebo. Golimumab was well tolerated and had a favorable risk/benefit profile.","container-title":"Arthritis &amp; Rheumatology (Hoboken, N.J.)","DOI":"10.1002/art.39257","ISSN":"2326-5205","issue":"10","language":"eng","note":"PMID: 26139307\nPMCID: PMC4755041","page":"2702-2712","source":"PubMed","title":"A randomized, double-blind, placebo-controlled, sixteen-week study of subcutaneous golimumab in patients with active nonradiographic axial spondyloarthritis","volume":"67","author":[{"family":"Sieper","given":"J."},{"family":"Heijde","given":"D.","non-dropping-particle":"van der"},{"family":"Dougados","given":"M."},{"family":"Maksymowych","given":"W. P."},{"family":"Scott","given":"B. B."},{"family":"Boice","given":"J. A."},{"family":"Berd","given":"Y."},{"family":"Bergman","given":"G."},{"family":"Curtis","given":"S."},{"family":"Tzontcheva","given":"A."},{"family":"Huyck","given":"S."},{"family":"Weng","given":"H. H."}],"issued":{"date-parts":[["2015",10]]}}}],"schema":"https://github.com/citation-style-language/schema/raw/master/csl-citation.json"} </w:instrText>
            </w:r>
            <w:r>
              <w:rPr>
                <w:rFonts w:ascii="Calibri" w:eastAsia="Times New Roman" w:hAnsi="Calibri" w:cs="Calibri"/>
                <w:color w:val="000000"/>
                <w:lang w:eastAsia="fr-FR"/>
              </w:rPr>
              <w:fldChar w:fldCharType="separate"/>
            </w:r>
            <w:r w:rsidRPr="00270408">
              <w:rPr>
                <w:rFonts w:ascii="Calibri" w:hAnsi="Calibri" w:cs="Calibri"/>
                <w:szCs w:val="24"/>
                <w:vertAlign w:val="superscript"/>
              </w:rPr>
              <w:t>23</w:t>
            </w:r>
            <w:r>
              <w:rPr>
                <w:rFonts w:ascii="Calibri" w:eastAsia="Times New Roman" w:hAnsi="Calibri" w:cs="Calibri"/>
                <w:color w:val="000000"/>
                <w:lang w:eastAsia="fr-FR"/>
              </w:rPr>
              <w:fldChar w:fldCharType="end"/>
            </w:r>
            <w:r>
              <w:rPr>
                <w:rFonts w:ascii="Calibri" w:eastAsia="Times New Roman" w:hAnsi="Calibri" w:cs="Calibri"/>
                <w:color w:val="000000"/>
                <w:lang w:eastAsia="fr-FR"/>
              </w:rPr>
              <w:t xml:space="preserve"> </w:t>
            </w:r>
          </w:p>
        </w:tc>
        <w:tc>
          <w:tcPr>
            <w:tcW w:w="709" w:type="dxa"/>
            <w:noWrap/>
            <w:vAlign w:val="center"/>
            <w:hideMark/>
          </w:tcPr>
          <w:p w14:paraId="017912A3"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2015</w:t>
            </w:r>
          </w:p>
        </w:tc>
        <w:tc>
          <w:tcPr>
            <w:tcW w:w="1559" w:type="dxa"/>
            <w:noWrap/>
            <w:vAlign w:val="center"/>
            <w:hideMark/>
          </w:tcPr>
          <w:p w14:paraId="1CCC9B1C"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Golimumab</w:t>
            </w:r>
            <w:proofErr w:type="spellEnd"/>
          </w:p>
        </w:tc>
        <w:tc>
          <w:tcPr>
            <w:tcW w:w="567" w:type="dxa"/>
            <w:noWrap/>
            <w:vAlign w:val="center"/>
            <w:hideMark/>
          </w:tcPr>
          <w:p w14:paraId="706734DF"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97</w:t>
            </w:r>
          </w:p>
        </w:tc>
        <w:tc>
          <w:tcPr>
            <w:tcW w:w="1276" w:type="dxa"/>
            <w:noWrap/>
            <w:vAlign w:val="center"/>
            <w:hideMark/>
          </w:tcPr>
          <w:p w14:paraId="42644117"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noWrap/>
            <w:vAlign w:val="center"/>
            <w:hideMark/>
          </w:tcPr>
          <w:p w14:paraId="1B21EB25"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100</w:t>
            </w:r>
          </w:p>
        </w:tc>
        <w:tc>
          <w:tcPr>
            <w:tcW w:w="2693" w:type="dxa"/>
            <w:vAlign w:val="center"/>
            <w:hideMark/>
          </w:tcPr>
          <w:p w14:paraId="7F46B178"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 xml:space="preserve">GOL 50 mg / 4 </w:t>
            </w:r>
            <w:proofErr w:type="spellStart"/>
            <w:r>
              <w:rPr>
                <w:rFonts w:ascii="Calibri" w:eastAsia="Times New Roman" w:hAnsi="Calibri" w:cs="Calibri"/>
                <w:color w:val="000000"/>
                <w:lang w:eastAsia="fr-FR"/>
              </w:rPr>
              <w:t>wk</w:t>
            </w:r>
            <w:proofErr w:type="spellEnd"/>
            <w:r>
              <w:rPr>
                <w:rFonts w:ascii="Calibri" w:eastAsia="Times New Roman" w:hAnsi="Calibri" w:cs="Calibri"/>
                <w:color w:val="000000"/>
                <w:lang w:eastAsia="fr-FR"/>
              </w:rPr>
              <w:br/>
              <w:t>Placebo</w:t>
            </w:r>
          </w:p>
        </w:tc>
        <w:tc>
          <w:tcPr>
            <w:tcW w:w="992" w:type="dxa"/>
            <w:tcBorders>
              <w:top w:val="nil"/>
              <w:left w:val="nil"/>
              <w:bottom w:val="nil"/>
              <w:right w:val="single" w:sz="8" w:space="0" w:color="auto"/>
            </w:tcBorders>
            <w:noWrap/>
            <w:vAlign w:val="center"/>
            <w:hideMark/>
          </w:tcPr>
          <w:p w14:paraId="5613504A"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16</w:t>
            </w:r>
          </w:p>
        </w:tc>
      </w:tr>
      <w:tr w:rsidR="00156725" w:rsidRPr="00830A4F" w14:paraId="67F6C57D" w14:textId="77777777" w:rsidTr="00B83CF3">
        <w:trPr>
          <w:trHeight w:val="578"/>
        </w:trPr>
        <w:tc>
          <w:tcPr>
            <w:tcW w:w="1266" w:type="dxa"/>
            <w:tcBorders>
              <w:top w:val="nil"/>
              <w:left w:val="single" w:sz="8" w:space="0" w:color="auto"/>
              <w:bottom w:val="single" w:sz="4" w:space="0" w:color="auto"/>
              <w:right w:val="nil"/>
            </w:tcBorders>
            <w:shd w:val="clear" w:color="auto" w:fill="F2F2F2" w:themeFill="background1" w:themeFillShade="F2"/>
            <w:noWrap/>
            <w:vAlign w:val="center"/>
            <w:hideMark/>
          </w:tcPr>
          <w:p w14:paraId="076F8DFD" w14:textId="77777777" w:rsidR="00156725" w:rsidRPr="003A7BA3" w:rsidRDefault="00156725" w:rsidP="00B83CF3">
            <w:pPr>
              <w:spacing w:after="0" w:line="240" w:lineRule="auto"/>
              <w:rPr>
                <w:rFonts w:ascii="Calibri" w:eastAsia="Times New Roman" w:hAnsi="Calibri" w:cs="Calibri"/>
                <w:color w:val="000000"/>
                <w:lang w:val="en-US" w:eastAsia="fr-FR"/>
              </w:rPr>
            </w:pPr>
            <w:r>
              <w:rPr>
                <w:rFonts w:ascii="Calibri" w:eastAsia="Times New Roman" w:hAnsi="Calibri" w:cs="Calibri"/>
                <w:color w:val="000000"/>
                <w:lang w:eastAsia="fr-FR"/>
              </w:rPr>
              <w:t>Bao C.</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{"citationID":"bBtYQ0V7","properties":{"formattedCitation":"\\super 34\\nosupersub{}","plainCitation":"34","noteIndex":0},"citationItems":[{"id":6071,"uris":["http://zotero.org/users/5006036/items/PMZ7L8AI"],"uri":["http://zotero.org/users/5006036/items/PMZ7L8AI"],"itemData":{"id":6071,"type":"article-journal","abstract":"OBJECTIVE: The aim of this study was to assess the efficacy and safety of golimumab in Chinese patients with active AS.\nMETHODS: Two hundred and thirteen patients were randomized in a 1:1 ratio to receive either s.c. injections of placebo from weeks 0 to 20 followed by golimumab 50 mg from weeks 24 to 48 (group 1, n = 105) or golimumab 50 mg from weeks 0 to 48 (group 2, n = 108), both every 4 weeks. Placebo crossover occurred at week 24, while early escape was at week 16. The primary endpoint was an improvement of at least 20% in the Assessment of SpondyloArthritis international Society (ASAS20) criteria at week 14. Major secondary endpoints included week 24 ASAS20 response and week 14 change scores for BASFI and BASMI.\nRESULTS: Golimumab treatment elicited significantly better responses than placebo in week 14 ASAS20 response [49.1% (53/108) vs 24.8% (26/105), respectively, P &lt; 0.001], week 24 ASAS20 response (50.0% vs 22.9%, P &lt; 0.001) and mean improvements in BASFI (-1.26 vs 0.11, P &lt; 0.001) and BASMI (-0.42 vs -0.19, P = 0.021) scores at week 14. Additionally, golimumab treatment led to significant improvements in the mental and physical components of health-related quality of life (HRQoL) and sleep problems at week 24, all of which were further improved</w:instrText>
            </w:r>
            <w:r w:rsidRPr="003A7BA3">
              <w:rPr>
                <w:rFonts w:ascii="Calibri" w:eastAsia="Times New Roman" w:hAnsi="Calibri" w:cs="Calibri"/>
                <w:color w:val="000000"/>
                <w:lang w:val="en-US" w:eastAsia="fr-FR"/>
              </w:rPr>
              <w:instrText xml:space="preserve"> through week 52. During the 16-week placebo-controlled study period, 31.4% and 30.6% of patients had adverse events (AEs) in groups 1 and 2, respectively; similar AE reporting rates were observed through week 24 (34.3% and 32.0%) and among the golimumab-treated patients through week 56 (41.2%).\nCONCLUSION: Golimumab significantly reduced clinical symptoms/signs and improved physical function, range of motion and HRQoL in Chinese patients with active AS without unexpected safety concerns.\nTRIAL REGISTRATION: ClinicalTrials.gov, NCT01248793.","container-title":"Rheumatology (Oxford, England)","DOI":"10.1093/rheumatology/keu132","ISSN":"1462-0332","issue":"9","journalAbbreviation":"Rheumatology (Oxford)","language":"eng","note":"PMID: 24729398","page":"1654-1663","source":"PubMed","title":"Safety and efficacy of golimumab in Chinese patients with active ankylosing spondylitis: 1-year results of a multicentre, randomized, double-blind, placebo-controlled phase III trial","title-short":"Safety and efficacy of golimumab in Chinese patients with active ankylosing spondylitis","volume":"53","author":[{"family":"Bao","given":"Chunde"},{"family":"Huang","given":"Feng"},{"family":"Khan","given":"Muhammad Asim"},{"family":"Fei","given":"Kaiyin"},{"family":"Wu","given":"Zhong"},{"family":"Han","given":"Chenglong"},{"family":"Hsia","given":"Elizabeth C."}],"issued":{"date-parts":[["2014",9]]}}}],"schema":"https://github.com/citation-style-language/schema/raw/master/csl-citation.json"} </w:instrText>
            </w:r>
            <w:r>
              <w:rPr>
                <w:rFonts w:ascii="Calibri" w:eastAsia="Times New Roman" w:hAnsi="Calibri" w:cs="Calibri"/>
                <w:color w:val="000000"/>
                <w:lang w:eastAsia="fr-FR"/>
              </w:rPr>
              <w:fldChar w:fldCharType="separate"/>
            </w:r>
            <w:r w:rsidRPr="003A7BA3">
              <w:rPr>
                <w:rFonts w:ascii="Calibri" w:hAnsi="Calibri" w:cs="Calibri"/>
                <w:szCs w:val="24"/>
                <w:vertAlign w:val="superscript"/>
                <w:lang w:val="en-US"/>
              </w:rPr>
              <w:t>34</w:t>
            </w:r>
            <w:r>
              <w:rPr>
                <w:rFonts w:ascii="Calibri" w:eastAsia="Times New Roman" w:hAnsi="Calibri" w:cs="Calibri"/>
                <w:color w:val="000000"/>
                <w:lang w:eastAsia="fr-FR"/>
              </w:rPr>
              <w:fldChar w:fldCharType="end"/>
            </w:r>
          </w:p>
        </w:tc>
        <w:tc>
          <w:tcPr>
            <w:tcW w:w="709" w:type="dxa"/>
            <w:tcBorders>
              <w:top w:val="nil"/>
              <w:left w:val="nil"/>
              <w:bottom w:val="single" w:sz="4" w:space="0" w:color="auto"/>
              <w:right w:val="nil"/>
            </w:tcBorders>
            <w:shd w:val="clear" w:color="auto" w:fill="F2F2F2" w:themeFill="background1" w:themeFillShade="F2"/>
            <w:noWrap/>
            <w:vAlign w:val="center"/>
            <w:hideMark/>
          </w:tcPr>
          <w:p w14:paraId="5DA6C5C0"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2014</w:t>
            </w:r>
          </w:p>
        </w:tc>
        <w:tc>
          <w:tcPr>
            <w:tcW w:w="1559" w:type="dxa"/>
            <w:tcBorders>
              <w:top w:val="nil"/>
              <w:left w:val="nil"/>
              <w:bottom w:val="single" w:sz="4" w:space="0" w:color="auto"/>
              <w:right w:val="nil"/>
            </w:tcBorders>
            <w:shd w:val="clear" w:color="auto" w:fill="F2F2F2" w:themeFill="background1" w:themeFillShade="F2"/>
            <w:noWrap/>
            <w:vAlign w:val="center"/>
            <w:hideMark/>
          </w:tcPr>
          <w:p w14:paraId="61FD4258"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Golimumab</w:t>
            </w:r>
          </w:p>
        </w:tc>
        <w:tc>
          <w:tcPr>
            <w:tcW w:w="567" w:type="dxa"/>
            <w:tcBorders>
              <w:top w:val="nil"/>
              <w:left w:val="nil"/>
              <w:bottom w:val="single" w:sz="4" w:space="0" w:color="auto"/>
              <w:right w:val="nil"/>
            </w:tcBorders>
            <w:shd w:val="clear" w:color="auto" w:fill="F2F2F2" w:themeFill="background1" w:themeFillShade="F2"/>
            <w:noWrap/>
            <w:vAlign w:val="center"/>
            <w:hideMark/>
          </w:tcPr>
          <w:p w14:paraId="4BE723E0"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169</w:t>
            </w:r>
          </w:p>
        </w:tc>
        <w:tc>
          <w:tcPr>
            <w:tcW w:w="1276" w:type="dxa"/>
            <w:tcBorders>
              <w:top w:val="nil"/>
              <w:left w:val="nil"/>
              <w:bottom w:val="single" w:sz="4" w:space="0" w:color="auto"/>
              <w:right w:val="nil"/>
            </w:tcBorders>
            <w:shd w:val="clear" w:color="auto" w:fill="F2F2F2" w:themeFill="background1" w:themeFillShade="F2"/>
            <w:noWrap/>
            <w:vAlign w:val="center"/>
            <w:hideMark/>
          </w:tcPr>
          <w:p w14:paraId="7D583684"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Placebo</w:t>
            </w:r>
          </w:p>
        </w:tc>
        <w:tc>
          <w:tcPr>
            <w:tcW w:w="567" w:type="dxa"/>
            <w:tcBorders>
              <w:top w:val="nil"/>
              <w:left w:val="nil"/>
              <w:bottom w:val="single" w:sz="4" w:space="0" w:color="auto"/>
              <w:right w:val="nil"/>
            </w:tcBorders>
            <w:shd w:val="clear" w:color="auto" w:fill="F2F2F2" w:themeFill="background1" w:themeFillShade="F2"/>
            <w:noWrap/>
            <w:vAlign w:val="center"/>
            <w:hideMark/>
          </w:tcPr>
          <w:p w14:paraId="3C30669B"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44</w:t>
            </w:r>
          </w:p>
        </w:tc>
        <w:tc>
          <w:tcPr>
            <w:tcW w:w="2693" w:type="dxa"/>
            <w:tcBorders>
              <w:top w:val="nil"/>
              <w:left w:val="nil"/>
              <w:bottom w:val="single" w:sz="4" w:space="0" w:color="auto"/>
              <w:right w:val="nil"/>
            </w:tcBorders>
            <w:shd w:val="clear" w:color="auto" w:fill="F2F2F2" w:themeFill="background1" w:themeFillShade="F2"/>
            <w:vAlign w:val="center"/>
            <w:hideMark/>
          </w:tcPr>
          <w:p w14:paraId="27DD1D81" w14:textId="77777777" w:rsidR="00156725" w:rsidRPr="003A7BA3" w:rsidRDefault="00156725" w:rsidP="00B83CF3">
            <w:pPr>
              <w:spacing w:after="0" w:line="240" w:lineRule="auto"/>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 xml:space="preserve">GOL 50 mg / 4 </w:t>
            </w:r>
            <w:proofErr w:type="spellStart"/>
            <w:r w:rsidRPr="003A7BA3">
              <w:rPr>
                <w:rFonts w:ascii="Calibri" w:eastAsia="Times New Roman" w:hAnsi="Calibri" w:cs="Calibri"/>
                <w:color w:val="000000"/>
                <w:lang w:val="en-US" w:eastAsia="fr-FR"/>
              </w:rPr>
              <w:t>wk</w:t>
            </w:r>
            <w:proofErr w:type="spellEnd"/>
            <w:r w:rsidRPr="003A7BA3">
              <w:rPr>
                <w:rFonts w:ascii="Calibri" w:eastAsia="Times New Roman" w:hAnsi="Calibri" w:cs="Calibri"/>
                <w:color w:val="000000"/>
                <w:lang w:val="en-US" w:eastAsia="fr-FR"/>
              </w:rPr>
              <w:t xml:space="preserve"> </w:t>
            </w:r>
            <w:r w:rsidRPr="003A7BA3">
              <w:rPr>
                <w:rFonts w:ascii="Calibri" w:eastAsia="Times New Roman" w:hAnsi="Calibri" w:cs="Calibri"/>
                <w:color w:val="000000"/>
                <w:lang w:val="en-US" w:eastAsia="fr-FR"/>
              </w:rPr>
              <w:br/>
              <w:t>Placebo</w:t>
            </w:r>
          </w:p>
        </w:tc>
        <w:tc>
          <w:tcPr>
            <w:tcW w:w="992" w:type="dxa"/>
            <w:tcBorders>
              <w:top w:val="nil"/>
              <w:left w:val="nil"/>
              <w:bottom w:val="single" w:sz="4" w:space="0" w:color="auto"/>
              <w:right w:val="single" w:sz="8" w:space="0" w:color="auto"/>
            </w:tcBorders>
            <w:shd w:val="clear" w:color="auto" w:fill="F2F2F2" w:themeFill="background1" w:themeFillShade="F2"/>
            <w:noWrap/>
            <w:vAlign w:val="center"/>
            <w:hideMark/>
          </w:tcPr>
          <w:p w14:paraId="68C1A57E"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16</w:t>
            </w:r>
          </w:p>
        </w:tc>
      </w:tr>
      <w:tr w:rsidR="00156725" w:rsidRPr="00830A4F" w14:paraId="560B6A56" w14:textId="77777777" w:rsidTr="00B83CF3">
        <w:trPr>
          <w:trHeight w:val="578"/>
        </w:trPr>
        <w:tc>
          <w:tcPr>
            <w:tcW w:w="1266" w:type="dxa"/>
            <w:tcBorders>
              <w:top w:val="nil"/>
              <w:left w:val="single" w:sz="8" w:space="0" w:color="auto"/>
              <w:bottom w:val="nil"/>
              <w:right w:val="nil"/>
            </w:tcBorders>
            <w:noWrap/>
            <w:vAlign w:val="center"/>
            <w:hideMark/>
          </w:tcPr>
          <w:p w14:paraId="010329C6" w14:textId="77777777" w:rsidR="00156725" w:rsidRPr="003A7BA3" w:rsidRDefault="00156725" w:rsidP="00B83CF3">
            <w:pPr>
              <w:spacing w:after="0" w:line="240" w:lineRule="auto"/>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 xml:space="preserve">Van der </w:t>
            </w:r>
            <w:proofErr w:type="spellStart"/>
            <w:r w:rsidRPr="003A7BA3">
              <w:rPr>
                <w:rFonts w:ascii="Calibri" w:eastAsia="Times New Roman" w:hAnsi="Calibri" w:cs="Calibri"/>
                <w:color w:val="000000"/>
                <w:lang w:val="en-US" w:eastAsia="fr-FR"/>
              </w:rPr>
              <w:t>Heijde</w:t>
            </w:r>
            <w:proofErr w:type="spellEnd"/>
            <w:r w:rsidRPr="003A7BA3">
              <w:rPr>
                <w:rFonts w:ascii="Calibri" w:eastAsia="Times New Roman" w:hAnsi="Calibri" w:cs="Calibri"/>
                <w:color w:val="000000"/>
                <w:lang w:val="en-US" w:eastAsia="fr-FR"/>
              </w:rPr>
              <w:t xml:space="preserve"> D.</w:t>
            </w:r>
            <w:r>
              <w:rPr>
                <w:rFonts w:ascii="Calibri" w:eastAsia="Times New Roman" w:hAnsi="Calibri" w:cs="Calibri"/>
                <w:color w:val="000000"/>
                <w:lang w:eastAsia="fr-FR"/>
              </w:rPr>
              <w:fldChar w:fldCharType="begin"/>
            </w:r>
            <w:r w:rsidRPr="003A7BA3">
              <w:rPr>
                <w:rFonts w:ascii="Calibri" w:eastAsia="Times New Roman" w:hAnsi="Calibri" w:cs="Calibri"/>
                <w:color w:val="000000"/>
                <w:lang w:val="en-US" w:eastAsia="fr-FR"/>
              </w:rPr>
              <w:instrText xml:space="preserve"> ADDIN ZOTERO_ITEM CSL_CITATION {"citationID":"OVMm4Tek","properties":{"formattedCitation":"\\super 29\\nosupersub{}","plainCitation":"29","noteIndex":0},"citationItems":[{"id":6074,"uris":["http://zotero.org/users/5006036/items/9CSHTLPJ"],"uri":["http://zotero.org/users/5006036/items/9CSHTLPJ"],"itemData":{"id":6074,"type":"article-journal","abstract":"OBJECTIVE: The signs and symptoms of ankylosing spondylitis (AS) respond inadequately to nonsteroidal antiinflammatory drugs, corticosteroids, and disease-modifying antirheumatic drugs in quite a number of patients. Tumor necrosis factor inhibitors have demonstrated success in reducing AS disease activity in a limited number of clinical trials. The objective of this multicenter, randomized, placebo-controlled study was to evaluate the efficacy and safety of infliximab in patients with AS.\nMETHODS: Patients were randomly assigned to receive infusions of placebo or 5 mg/kg infliximab at weeks 0, 2, 6, 12, and 18. Efficacy was assessed using the ASsessment in Ankylosing Spondylitis (ASAS) International Working Group criteria, the Bath Ankylosing Spondylitis Disease Activity Index (BASDAI), night pain, patient's global assessment, the Bath Ankylosing Spondylitis Functional Index (BASFI), the Bath Ankylosing Spondylitis Metrology Index (BASMI), chest expansion, the Mander enthesis index, the total swollen joint index, the C-reactive protein level, an</w:instrText>
            </w:r>
            <w:r>
              <w:rPr>
                <w:rFonts w:ascii="Calibri" w:eastAsia="Times New Roman" w:hAnsi="Calibri" w:cs="Calibri"/>
                <w:color w:val="000000"/>
                <w:lang w:eastAsia="fr-FR"/>
              </w:rPr>
              <w:instrText>d the Short Form 36 (SF-36) health survey questionnaire. The primary end point in this study was the proportion of patients with a 20% improvement response according to the ASAS International Working Group criteria (ASAS20 responders) at week 24.\nRESULTS: Of the 357 patients screened, 201 were assigned to receive 5 mg/kg infliximab and 78 were assigned to receive placebo. After 24 weeks, 61.2% of patients in the infliximab group were ASAS20 responders compared with 19.2% of patients in the placebo group (P &lt; 0.001). Clinical benefit was observed in patients receiving infliximab as early as week 2 and was maintained over the 24-week study period. Patients r</w:instrText>
            </w:r>
            <w:r w:rsidRPr="003A7BA3">
              <w:rPr>
                <w:rFonts w:ascii="Calibri" w:eastAsia="Times New Roman" w:hAnsi="Calibri" w:cs="Calibri"/>
                <w:color w:val="000000"/>
                <w:lang w:val="en-US" w:eastAsia="fr-FR"/>
              </w:rPr>
              <w:instrText xml:space="preserve">eceiving infliximab also showed significant improvements in the BASDAI, BASFI, BASMI, chest expansion, and physical component summary score of the SF-36. Adverse events were reported by 82.2% of patients receiving infliximab and by 72.0% of patients receiving placebo; however, most adverse events in both treatment groups were mild or moderate in severity.\nCONCLUSION: Infliximab was well tolerated and effective in a large cohort of patients with AS during a 24-week study period.","container-title":"Arthritis and Rheumatism","DOI":"10.1002/art.20852","ISSN":"0004-3591","issue":"2","journalAbbreviation":"Arthritis Rheum.","language":"eng","note":"PMID: 15692973","page":"582-591","source":"PubMed","title":"Efficacy and safety of infliximab in patients with ankylosing spondylitis: results of a randomized, placebo-controlled trial (ASSERT)","title-short":"Efficacy and safety of infliximab in patients with ankylosing spondylitis","volume":"52","author":[{"family":"Heijde","given":"Désirée","non-dropping-particle":"van der"},{"family":"Dijkmans","given":"Ben"},{"family":"Geusens","given":"Piet"},{"family":"Sieper","given":"Joachim"},{"family":"DeWoody","given":"Kimberly"},{"family":"Williamson","given":"Paul"},{"family":"Braun","given":"Jürgen"},{"literal":"Ankylosing Spondylitis Study for the Evaluation of Recombinant Infliximab Therapy Study Group"}],"issued":{"date-parts":[["2005",2]]}}}],"schema":"https://github.com/citation-style-language/schema/raw/master/csl-citation.json"} </w:instrText>
            </w:r>
            <w:r>
              <w:rPr>
                <w:rFonts w:ascii="Calibri" w:eastAsia="Times New Roman" w:hAnsi="Calibri" w:cs="Calibri"/>
                <w:color w:val="000000"/>
                <w:lang w:eastAsia="fr-FR"/>
              </w:rPr>
              <w:fldChar w:fldCharType="separate"/>
            </w:r>
            <w:r w:rsidRPr="003A7BA3">
              <w:rPr>
                <w:rFonts w:ascii="Calibri" w:hAnsi="Calibri" w:cs="Calibri"/>
                <w:szCs w:val="24"/>
                <w:vertAlign w:val="superscript"/>
                <w:lang w:val="en-US"/>
              </w:rPr>
              <w:t>29</w:t>
            </w:r>
            <w:r>
              <w:rPr>
                <w:rFonts w:ascii="Calibri" w:eastAsia="Times New Roman" w:hAnsi="Calibri" w:cs="Calibri"/>
                <w:color w:val="000000"/>
                <w:lang w:eastAsia="fr-FR"/>
              </w:rPr>
              <w:fldChar w:fldCharType="end"/>
            </w:r>
          </w:p>
        </w:tc>
        <w:tc>
          <w:tcPr>
            <w:tcW w:w="709" w:type="dxa"/>
            <w:noWrap/>
            <w:vAlign w:val="center"/>
            <w:hideMark/>
          </w:tcPr>
          <w:p w14:paraId="716650D7"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2005</w:t>
            </w:r>
          </w:p>
        </w:tc>
        <w:tc>
          <w:tcPr>
            <w:tcW w:w="1559" w:type="dxa"/>
            <w:noWrap/>
            <w:vAlign w:val="center"/>
            <w:hideMark/>
          </w:tcPr>
          <w:p w14:paraId="7D3845FC"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Infliximab</w:t>
            </w:r>
          </w:p>
        </w:tc>
        <w:tc>
          <w:tcPr>
            <w:tcW w:w="567" w:type="dxa"/>
            <w:noWrap/>
            <w:vAlign w:val="center"/>
            <w:hideMark/>
          </w:tcPr>
          <w:p w14:paraId="72E1BFEB"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202</w:t>
            </w:r>
          </w:p>
        </w:tc>
        <w:tc>
          <w:tcPr>
            <w:tcW w:w="1276" w:type="dxa"/>
            <w:noWrap/>
            <w:vAlign w:val="center"/>
            <w:hideMark/>
          </w:tcPr>
          <w:p w14:paraId="598C7F73"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Placebo</w:t>
            </w:r>
          </w:p>
        </w:tc>
        <w:tc>
          <w:tcPr>
            <w:tcW w:w="567" w:type="dxa"/>
            <w:noWrap/>
            <w:vAlign w:val="center"/>
            <w:hideMark/>
          </w:tcPr>
          <w:p w14:paraId="7E0239F6"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75</w:t>
            </w:r>
          </w:p>
        </w:tc>
        <w:tc>
          <w:tcPr>
            <w:tcW w:w="2693" w:type="dxa"/>
            <w:vAlign w:val="center"/>
            <w:hideMark/>
          </w:tcPr>
          <w:p w14:paraId="367694BE"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 xml:space="preserve">IFX 5 mg/kg at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t> 0, 2, 6, 12, 18</w:t>
            </w:r>
            <w:r>
              <w:rPr>
                <w:rFonts w:ascii="Calibri" w:eastAsia="Times New Roman" w:hAnsi="Calibri" w:cs="Calibri"/>
                <w:color w:val="000000"/>
                <w:lang w:val="en-029" w:eastAsia="fr-FR"/>
              </w:rPr>
              <w:br/>
              <w:t>Placebo</w:t>
            </w:r>
          </w:p>
        </w:tc>
        <w:tc>
          <w:tcPr>
            <w:tcW w:w="992" w:type="dxa"/>
            <w:tcBorders>
              <w:top w:val="nil"/>
              <w:left w:val="nil"/>
              <w:bottom w:val="nil"/>
              <w:right w:val="single" w:sz="8" w:space="0" w:color="auto"/>
            </w:tcBorders>
            <w:noWrap/>
            <w:vAlign w:val="center"/>
            <w:hideMark/>
          </w:tcPr>
          <w:p w14:paraId="7E3518F5"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24</w:t>
            </w:r>
          </w:p>
        </w:tc>
      </w:tr>
      <w:tr w:rsidR="00156725" w:rsidRPr="00830A4F" w14:paraId="0DACFA41" w14:textId="77777777" w:rsidTr="00B83CF3">
        <w:trPr>
          <w:trHeight w:val="578"/>
        </w:trPr>
        <w:tc>
          <w:tcPr>
            <w:tcW w:w="1266" w:type="dxa"/>
            <w:tcBorders>
              <w:top w:val="nil"/>
              <w:left w:val="single" w:sz="8" w:space="0" w:color="auto"/>
              <w:bottom w:val="nil"/>
              <w:right w:val="nil"/>
            </w:tcBorders>
            <w:shd w:val="clear" w:color="auto" w:fill="F2F2F2" w:themeFill="background1" w:themeFillShade="F2"/>
            <w:noWrap/>
            <w:vAlign w:val="center"/>
            <w:hideMark/>
          </w:tcPr>
          <w:p w14:paraId="0EFB3E7C" w14:textId="77777777" w:rsidR="00156725" w:rsidRPr="003A7BA3" w:rsidRDefault="00156725" w:rsidP="00B83CF3">
            <w:pPr>
              <w:spacing w:after="0" w:line="240" w:lineRule="auto"/>
              <w:rPr>
                <w:rFonts w:ascii="Calibri" w:eastAsia="Times New Roman" w:hAnsi="Calibri" w:cs="Calibri"/>
                <w:color w:val="000000" w:themeColor="text1"/>
                <w:lang w:val="en-US" w:eastAsia="fr-FR"/>
              </w:rPr>
            </w:pPr>
            <w:proofErr w:type="spellStart"/>
            <w:r w:rsidRPr="003A7BA3">
              <w:rPr>
                <w:rFonts w:ascii="Calibri" w:eastAsia="Times New Roman" w:hAnsi="Calibri" w:cs="Calibri"/>
                <w:color w:val="000000" w:themeColor="text1"/>
                <w:lang w:val="en-US" w:eastAsia="fr-FR"/>
              </w:rPr>
              <w:t>Barckham</w:t>
            </w:r>
            <w:proofErr w:type="spellEnd"/>
            <w:r w:rsidRPr="003A7BA3">
              <w:rPr>
                <w:rFonts w:ascii="Calibri" w:eastAsia="Times New Roman" w:hAnsi="Calibri" w:cs="Calibri"/>
                <w:color w:val="000000" w:themeColor="text1"/>
                <w:lang w:val="en-US" w:eastAsia="fr-FR"/>
              </w:rPr>
              <w:t xml:space="preserve"> N.</w:t>
            </w:r>
            <w:r>
              <w:rPr>
                <w:rFonts w:ascii="Calibri" w:eastAsia="Times New Roman" w:hAnsi="Calibri" w:cs="Calibri"/>
                <w:color w:val="000000" w:themeColor="text1"/>
                <w:lang w:eastAsia="fr-FR"/>
              </w:rPr>
              <w:fldChar w:fldCharType="begin"/>
            </w:r>
            <w:r w:rsidRPr="003A7BA3">
              <w:rPr>
                <w:rFonts w:ascii="Calibri" w:eastAsia="Times New Roman" w:hAnsi="Calibri" w:cs="Calibri"/>
                <w:color w:val="000000" w:themeColor="text1"/>
                <w:lang w:val="en-US" w:eastAsia="fr-FR"/>
              </w:rPr>
              <w:instrText xml:space="preserve"> ADDIN ZOTERO_ITEM CSL_CITATION {"citationID":"afk8GxNp","properties":{"formattedCitation":"\\super 24\\nosupersub{}","plainCitation":"24","noteIndex":0},"citationItems":[{"id":6076,"uris":["http://zotero.org/users/5006036/items/A2GZFMP3"],"uri":["http://zotero.org/users/5006036/items/A2GZFMP3"],"itemData":{"id":6076,"type":"article-journal","abstract":"OBJECTIVE: To evaluate the efficacy of infliximab in HLA-B27-positive patients with magnetic resonance imaging (MRI)-determined early sacroiliitis, using both clinical and MRI assessments.\nMETHODS: Forty patients with recent-onset inflammatory back pain, as assessed by the Calin criteria, HLA-B27 positivity, clinical disease activity as measured by the Bath Ankylosing Spondylitis Disease Activity Index (BASDAI), pain and morning stiffness, and magnetic resonance imaging (MRI)-determined sacroiliac joint bone edema were randomized in a double-blind manner to receive infliximab 5 mg/kg or placebo at 0, 2, 6, and 12 weeks. MRI scans were performed at baseline and 16 weeks and scored by 2 observers (blinded to both the order of the scans and to treatment group), using the Leeds scoring system. Clinical assessments included the BASDAI, the Bath Ankylosing Spondylitis Functional Index (BASFI), the Ankylosing Spondylitis Quality of Life (ASQoL) instrument, the ASsessment in Ankylosing Spondylitis International Working Group criteria (ASAS) f</w:instrText>
            </w:r>
            <w:r>
              <w:rPr>
                <w:rFonts w:ascii="Calibri" w:eastAsia="Times New Roman" w:hAnsi="Calibri" w:cs="Calibri"/>
                <w:color w:val="000000" w:themeColor="text1"/>
                <w:lang w:eastAsia="fr-FR"/>
              </w:rPr>
              <w:instrText>or improvement, and markers of inflammation.\nRESULTS: The mean reduction in the total MRI score from week 0 to week 16 was significantly greater in infliximab-treated patients compared with placebo-treated patients (P = 0.033). On average, significantly more lesions resolved in the infliximab group (P &lt; 0.001), while significantly more new lesions developed in the placebo group (P = 0.004). Significantly greater improvement in the infliximab group versus the placebo group was also observed for changes from week 0 to week 16 in the BASDAI (P = 0.002), BASFI (P = 0.004), and ASQoL (P = 0.007) scores. Responses according to the A</w:instrText>
            </w:r>
            <w:r w:rsidRPr="003A7BA3">
              <w:rPr>
                <w:rFonts w:ascii="Calibri" w:eastAsia="Times New Roman" w:hAnsi="Calibri" w:cs="Calibri"/>
                <w:color w:val="000000" w:themeColor="text1"/>
                <w:lang w:val="en-US" w:eastAsia="fr-FR"/>
              </w:rPr>
              <w:instrText xml:space="preserve">SAS criteria for 40% improvement, the ASAS criteria for 20% improvement in 5 of 6 domains, and ASAS partial remission were achieved by 61%, 44%, and 56% of infliximab-treated patients, respectively. Infliximab was well tolerated, and no serious adverse events were observed.\nCONCLUSION: Infliximab was an effective therapy for early sacroiliitis, providing a reduction in disease activity by week 16. This study is the first to show that infliximab is effective for reducing clinical and imaging evidence of disease activity in patients with MRI-determined early axial spondylarthritis.","container-title":"Arthritis and Rheumatism","DOI":"10.1002/art.24408","ISSN":"0004-3591","issue":"4","journalAbbreviation":"Arthritis Rheum.","language":"eng","note":"PMID: 19333933","page":"946-954","source":"PubMed","title":"Clinical and imaging efficacy of infliximab in HLA-B27-Positive patients with magnetic resonance imaging-determined early sacroiliitis","volume":"60","author":[{"family":"Barkham","given":"Nick"},{"family":"Keen","given":"Helen I."},{"family":"Coates","given":"Laura C."},{"family":"O'Connor","given":"Philip"},{"family":"Hensor","given":"Elizabeth"},{"family":"Fraser","given":"Alexander D."},{"family":"Cawkwell","given":"Lorna S."},{"family":"Bennett","given":"Alexander"},{"family":"McGonagle","given":"Dennis"},{"family":"Emery","given":"Paul"}],"issued":{"date-parts":[["2009",4]]}}}],"schema":"https://github.com/citation-style-language/schema/raw/master/csl-citation.json"} </w:instrText>
            </w:r>
            <w:r>
              <w:rPr>
                <w:rFonts w:ascii="Calibri" w:eastAsia="Times New Roman" w:hAnsi="Calibri" w:cs="Calibri"/>
                <w:color w:val="000000" w:themeColor="text1"/>
                <w:lang w:eastAsia="fr-FR"/>
              </w:rPr>
              <w:fldChar w:fldCharType="separate"/>
            </w:r>
            <w:r w:rsidRPr="003A7BA3">
              <w:rPr>
                <w:rFonts w:ascii="Calibri" w:hAnsi="Calibri" w:cs="Calibri"/>
                <w:szCs w:val="24"/>
                <w:vertAlign w:val="superscript"/>
                <w:lang w:val="en-US"/>
              </w:rPr>
              <w:t>24</w:t>
            </w:r>
            <w:r>
              <w:rPr>
                <w:rFonts w:ascii="Calibri" w:eastAsia="Times New Roman" w:hAnsi="Calibri" w:cs="Calibri"/>
                <w:color w:val="000000" w:themeColor="text1"/>
                <w:lang w:eastAsia="fr-FR"/>
              </w:rPr>
              <w:fldChar w:fldCharType="end"/>
            </w:r>
          </w:p>
        </w:tc>
        <w:tc>
          <w:tcPr>
            <w:tcW w:w="709" w:type="dxa"/>
            <w:shd w:val="clear" w:color="auto" w:fill="F2F2F2" w:themeFill="background1" w:themeFillShade="F2"/>
            <w:noWrap/>
            <w:vAlign w:val="center"/>
            <w:hideMark/>
          </w:tcPr>
          <w:p w14:paraId="5798DB56" w14:textId="77777777" w:rsidR="00156725" w:rsidRPr="003A7BA3" w:rsidRDefault="00156725" w:rsidP="00B83CF3">
            <w:pPr>
              <w:spacing w:after="0" w:line="240" w:lineRule="auto"/>
              <w:jc w:val="center"/>
              <w:rPr>
                <w:rFonts w:ascii="Calibri" w:eastAsia="Times New Roman" w:hAnsi="Calibri" w:cs="Calibri"/>
                <w:color w:val="000000" w:themeColor="text1"/>
                <w:lang w:val="en-US" w:eastAsia="fr-FR"/>
              </w:rPr>
            </w:pPr>
            <w:r w:rsidRPr="003A7BA3">
              <w:rPr>
                <w:rFonts w:ascii="Calibri" w:eastAsia="Times New Roman" w:hAnsi="Calibri" w:cs="Calibri"/>
                <w:color w:val="000000" w:themeColor="text1"/>
                <w:lang w:val="en-US" w:eastAsia="fr-FR"/>
              </w:rPr>
              <w:t>2009</w:t>
            </w:r>
          </w:p>
        </w:tc>
        <w:tc>
          <w:tcPr>
            <w:tcW w:w="1559" w:type="dxa"/>
            <w:shd w:val="clear" w:color="auto" w:fill="F2F2F2" w:themeFill="background1" w:themeFillShade="F2"/>
            <w:noWrap/>
            <w:vAlign w:val="center"/>
            <w:hideMark/>
          </w:tcPr>
          <w:p w14:paraId="1E23463D" w14:textId="77777777" w:rsidR="00156725" w:rsidRPr="003A7BA3" w:rsidRDefault="00156725" w:rsidP="00B83CF3">
            <w:pPr>
              <w:spacing w:after="0" w:line="240" w:lineRule="auto"/>
              <w:jc w:val="center"/>
              <w:rPr>
                <w:rFonts w:ascii="Calibri" w:eastAsia="Times New Roman" w:hAnsi="Calibri" w:cs="Calibri"/>
                <w:color w:val="000000" w:themeColor="text1"/>
                <w:lang w:val="en-US" w:eastAsia="fr-FR"/>
              </w:rPr>
            </w:pPr>
            <w:r w:rsidRPr="003A7BA3">
              <w:rPr>
                <w:rFonts w:ascii="Calibri" w:eastAsia="Times New Roman" w:hAnsi="Calibri" w:cs="Calibri"/>
                <w:color w:val="000000" w:themeColor="text1"/>
                <w:lang w:val="en-US" w:eastAsia="fr-FR"/>
              </w:rPr>
              <w:t>Infliximab</w:t>
            </w:r>
          </w:p>
        </w:tc>
        <w:tc>
          <w:tcPr>
            <w:tcW w:w="567" w:type="dxa"/>
            <w:shd w:val="clear" w:color="auto" w:fill="F2F2F2" w:themeFill="background1" w:themeFillShade="F2"/>
            <w:noWrap/>
            <w:vAlign w:val="center"/>
            <w:hideMark/>
          </w:tcPr>
          <w:p w14:paraId="4A4A5D63" w14:textId="77777777" w:rsidR="00156725" w:rsidRPr="003A7BA3" w:rsidRDefault="00156725" w:rsidP="00B83CF3">
            <w:pPr>
              <w:spacing w:after="0" w:line="240" w:lineRule="auto"/>
              <w:jc w:val="center"/>
              <w:rPr>
                <w:rFonts w:ascii="Calibri" w:eastAsia="Times New Roman" w:hAnsi="Calibri" w:cs="Calibri"/>
                <w:color w:val="000000" w:themeColor="text1"/>
                <w:lang w:val="en-US" w:eastAsia="fr-FR"/>
              </w:rPr>
            </w:pPr>
            <w:r w:rsidRPr="003A7BA3">
              <w:rPr>
                <w:rFonts w:ascii="Calibri" w:eastAsia="Times New Roman" w:hAnsi="Calibri" w:cs="Calibri"/>
                <w:color w:val="000000" w:themeColor="text1"/>
                <w:lang w:val="en-US" w:eastAsia="fr-FR"/>
              </w:rPr>
              <w:t>20</w:t>
            </w:r>
          </w:p>
        </w:tc>
        <w:tc>
          <w:tcPr>
            <w:tcW w:w="1276" w:type="dxa"/>
            <w:shd w:val="clear" w:color="auto" w:fill="F2F2F2" w:themeFill="background1" w:themeFillShade="F2"/>
            <w:noWrap/>
            <w:vAlign w:val="center"/>
            <w:hideMark/>
          </w:tcPr>
          <w:p w14:paraId="21ED86E4" w14:textId="77777777" w:rsidR="00156725" w:rsidRPr="003A7BA3" w:rsidRDefault="00156725" w:rsidP="00B83CF3">
            <w:pPr>
              <w:spacing w:after="0" w:line="240" w:lineRule="auto"/>
              <w:jc w:val="center"/>
              <w:rPr>
                <w:rFonts w:ascii="Calibri" w:eastAsia="Times New Roman" w:hAnsi="Calibri" w:cs="Calibri"/>
                <w:color w:val="000000" w:themeColor="text1"/>
                <w:lang w:val="en-US" w:eastAsia="fr-FR"/>
              </w:rPr>
            </w:pPr>
            <w:r w:rsidRPr="003A7BA3">
              <w:rPr>
                <w:rFonts w:ascii="Calibri" w:eastAsia="Times New Roman" w:hAnsi="Calibri" w:cs="Calibri"/>
                <w:color w:val="000000" w:themeColor="text1"/>
                <w:lang w:val="en-US" w:eastAsia="fr-FR"/>
              </w:rPr>
              <w:t>Placebo</w:t>
            </w:r>
          </w:p>
        </w:tc>
        <w:tc>
          <w:tcPr>
            <w:tcW w:w="567" w:type="dxa"/>
            <w:shd w:val="clear" w:color="auto" w:fill="F2F2F2" w:themeFill="background1" w:themeFillShade="F2"/>
            <w:noWrap/>
            <w:vAlign w:val="center"/>
            <w:hideMark/>
          </w:tcPr>
          <w:p w14:paraId="305CB032" w14:textId="77777777" w:rsidR="00156725" w:rsidRPr="003A7BA3" w:rsidRDefault="00156725" w:rsidP="00B83CF3">
            <w:pPr>
              <w:spacing w:after="0" w:line="240" w:lineRule="auto"/>
              <w:jc w:val="center"/>
              <w:rPr>
                <w:rFonts w:ascii="Calibri" w:eastAsia="Times New Roman" w:hAnsi="Calibri" w:cs="Calibri"/>
                <w:color w:val="000000" w:themeColor="text1"/>
                <w:lang w:val="en-US" w:eastAsia="fr-FR"/>
              </w:rPr>
            </w:pPr>
            <w:r w:rsidRPr="003A7BA3">
              <w:rPr>
                <w:rFonts w:ascii="Calibri" w:eastAsia="Times New Roman" w:hAnsi="Calibri" w:cs="Calibri"/>
                <w:color w:val="000000" w:themeColor="text1"/>
                <w:lang w:val="en-US" w:eastAsia="fr-FR"/>
              </w:rPr>
              <w:t>20</w:t>
            </w:r>
          </w:p>
        </w:tc>
        <w:tc>
          <w:tcPr>
            <w:tcW w:w="2693" w:type="dxa"/>
            <w:shd w:val="clear" w:color="auto" w:fill="F2F2F2" w:themeFill="background1" w:themeFillShade="F2"/>
            <w:vAlign w:val="center"/>
            <w:hideMark/>
          </w:tcPr>
          <w:p w14:paraId="6EE0400F" w14:textId="77777777" w:rsidR="00156725" w:rsidRDefault="00156725" w:rsidP="00B83CF3">
            <w:pPr>
              <w:spacing w:after="0" w:line="240" w:lineRule="auto"/>
              <w:rPr>
                <w:rFonts w:ascii="Calibri" w:eastAsia="Times New Roman" w:hAnsi="Calibri" w:cs="Calibri"/>
                <w:color w:val="000000" w:themeColor="text1"/>
                <w:lang w:val="en-029" w:eastAsia="fr-FR"/>
              </w:rPr>
            </w:pPr>
            <w:r>
              <w:rPr>
                <w:rFonts w:ascii="Calibri" w:eastAsia="Times New Roman" w:hAnsi="Calibri" w:cs="Calibri"/>
                <w:color w:val="000000" w:themeColor="text1"/>
                <w:lang w:val="en-029" w:eastAsia="fr-FR"/>
              </w:rPr>
              <w:t xml:space="preserve">IFX 5 mg / kg at </w:t>
            </w:r>
            <w:proofErr w:type="spellStart"/>
            <w:r>
              <w:rPr>
                <w:rFonts w:ascii="Calibri" w:eastAsia="Times New Roman" w:hAnsi="Calibri" w:cs="Calibri"/>
                <w:color w:val="000000" w:themeColor="text1"/>
                <w:lang w:val="en-029" w:eastAsia="fr-FR"/>
              </w:rPr>
              <w:t>wk</w:t>
            </w:r>
            <w:proofErr w:type="spellEnd"/>
            <w:r>
              <w:rPr>
                <w:rFonts w:ascii="Calibri" w:eastAsia="Times New Roman" w:hAnsi="Calibri" w:cs="Calibri"/>
                <w:color w:val="000000" w:themeColor="text1"/>
                <w:lang w:val="en-029" w:eastAsia="fr-FR"/>
              </w:rPr>
              <w:t> 0, 2, 6, 12</w:t>
            </w:r>
            <w:r>
              <w:rPr>
                <w:rFonts w:ascii="Calibri" w:eastAsia="Times New Roman" w:hAnsi="Calibri" w:cs="Calibri"/>
                <w:color w:val="000000" w:themeColor="text1"/>
                <w:lang w:val="en-029" w:eastAsia="fr-FR"/>
              </w:rPr>
              <w:br/>
              <w:t>Placebo</w:t>
            </w:r>
          </w:p>
        </w:tc>
        <w:tc>
          <w:tcPr>
            <w:tcW w:w="992" w:type="dxa"/>
            <w:tcBorders>
              <w:top w:val="nil"/>
              <w:left w:val="nil"/>
              <w:bottom w:val="nil"/>
              <w:right w:val="single" w:sz="8" w:space="0" w:color="auto"/>
            </w:tcBorders>
            <w:shd w:val="clear" w:color="auto" w:fill="F2F2F2" w:themeFill="background1" w:themeFillShade="F2"/>
            <w:noWrap/>
            <w:vAlign w:val="center"/>
            <w:hideMark/>
          </w:tcPr>
          <w:p w14:paraId="2C066DBF" w14:textId="77777777" w:rsidR="00156725" w:rsidRPr="003A7BA3" w:rsidRDefault="00156725" w:rsidP="00B83CF3">
            <w:pPr>
              <w:spacing w:after="0" w:line="240" w:lineRule="auto"/>
              <w:jc w:val="center"/>
              <w:rPr>
                <w:rFonts w:ascii="Calibri" w:eastAsia="Times New Roman" w:hAnsi="Calibri" w:cs="Calibri"/>
                <w:color w:val="000000" w:themeColor="text1"/>
                <w:lang w:val="en-US" w:eastAsia="fr-FR"/>
              </w:rPr>
            </w:pPr>
            <w:r w:rsidRPr="003A7BA3">
              <w:rPr>
                <w:rFonts w:ascii="Calibri" w:eastAsia="Times New Roman" w:hAnsi="Calibri" w:cs="Calibri"/>
                <w:color w:val="000000" w:themeColor="text1"/>
                <w:lang w:val="en-US" w:eastAsia="fr-FR"/>
              </w:rPr>
              <w:t>12</w:t>
            </w:r>
          </w:p>
        </w:tc>
      </w:tr>
      <w:tr w:rsidR="00156725" w14:paraId="33A3FA2E" w14:textId="77777777" w:rsidTr="00B83CF3">
        <w:trPr>
          <w:trHeight w:val="578"/>
        </w:trPr>
        <w:tc>
          <w:tcPr>
            <w:tcW w:w="1266" w:type="dxa"/>
            <w:tcBorders>
              <w:top w:val="nil"/>
              <w:left w:val="single" w:sz="8" w:space="0" w:color="auto"/>
              <w:bottom w:val="nil"/>
              <w:right w:val="nil"/>
            </w:tcBorders>
            <w:noWrap/>
            <w:vAlign w:val="center"/>
            <w:hideMark/>
          </w:tcPr>
          <w:p w14:paraId="40093620" w14:textId="77777777" w:rsidR="00156725" w:rsidRDefault="00156725" w:rsidP="00B83CF3">
            <w:pPr>
              <w:spacing w:after="0" w:line="240" w:lineRule="auto"/>
              <w:rPr>
                <w:rFonts w:ascii="Calibri" w:eastAsia="Times New Roman" w:hAnsi="Calibri" w:cs="Calibri"/>
                <w:color w:val="000000"/>
                <w:lang w:eastAsia="fr-FR"/>
              </w:rPr>
            </w:pPr>
            <w:r w:rsidRPr="003A7BA3">
              <w:rPr>
                <w:rFonts w:ascii="Calibri" w:eastAsia="Times New Roman" w:hAnsi="Calibri" w:cs="Calibri"/>
                <w:color w:val="000000"/>
                <w:lang w:val="en-US" w:eastAsia="fr-FR"/>
              </w:rPr>
              <w:t>Inman R.</w:t>
            </w:r>
            <w:r>
              <w:rPr>
                <w:rFonts w:ascii="Calibri" w:eastAsia="Times New Roman" w:hAnsi="Calibri" w:cs="Calibri"/>
                <w:color w:val="000000"/>
                <w:lang w:eastAsia="fr-FR"/>
              </w:rPr>
              <w:fldChar w:fldCharType="begin"/>
            </w:r>
            <w:r w:rsidRPr="003A7BA3">
              <w:rPr>
                <w:rFonts w:ascii="Calibri" w:eastAsia="Times New Roman" w:hAnsi="Calibri" w:cs="Calibri"/>
                <w:color w:val="000000"/>
                <w:lang w:val="en-US" w:eastAsia="fr-FR"/>
              </w:rPr>
              <w:instrText xml:space="preserve"> ADDIN ZOTERO_ITEM CSL_CITATION {"citationID":"86HufKeG","properties":{"formattedCitation":"\\super 21\\nosupersub{}","plainCitation":"21","noteIndex":0},"citationItems":[{"id":6078,"uris":["http://zotero.org/users/5006036/items/L5HDAXXC"],"uri":["http://zotero.org/users/5006036/items/L5HDAXXC"],"itemData":{"id":6078,"type":"article-journal","abstract":"OBJECTIVE: The tumor necrosis factor-alpha (TNF-alpha) inhibitor infliximab (IFX) has been proven effective for the treatment of ankylosing spondylitis (AS). The primary objective of this double-blind, placebo-controlled study was to assess the safety and efficacy of low-dose (3 mg/kg q8w) IFX therapy in AS.\nMETHODS: In the 12-week double-blind phase of the study, patients (N = 76) were randomized to infusions of placebo or IFX (3 mg/kg) at Weeks 0, 2, and 6. The primary endpoint was 20% improvement in ASsessments in Ankylosing Spondylitis criteria (ASAS20) at 12 weeks. In the open-label extension phase, all patients received scheduled IFX infusions (q 8 weeks) up to 46 weeks. Patients who did not meet target response criteria (i.e., BASDAI score did not improve by at least 50% and was &gt; 3) at Weeks 22 or 38 had a dose increase to IFX 5 mg/kg.\nRESULTS: At 12 weeks, 53.8% of IFX-treated patients achieved ASAS20, compared with 30.6% of placebo-treated patients (p = 0.042). IFX-treated patients showed significant improvement in measures of di</w:instrText>
            </w:r>
            <w:r>
              <w:rPr>
                <w:rFonts w:ascii="Calibri" w:eastAsia="Times New Roman" w:hAnsi="Calibri" w:cs="Calibri"/>
                <w:color w:val="000000"/>
                <w:lang w:eastAsia="fr-FR"/>
              </w:rPr>
              <w:instrText xml:space="preserve">sease activity, spinal mobility, and quality of life over the course of the study. During the extension phase, 68% of patients in the IFX group did not meet the clinical target and had an increase in the dose of IFX to 5 mg/kg by 38 weeks. In general, IFX was safe and well tolerated. Ten patients withdrew from the study for various reasons, with only 2 (2.6%) attributed to adverse events.\nCONCLUSION: IFX 3 mg/kg was effective in reducing the signs and symptoms of active AS, and was generally safe and well tolerated. Dose escalation to 5 mg/kg every 8 weeks was warranted in most patients to achieve the target clinical response of the study.","container-title":"The Journal of Rheumatology","DOI":"10.3899/jrheum.091042","ISSN":"0315-162X","issue":"6","journalAbbreviation":"J. Rheumatol.","language":"eng","note":"PMID: 20231198","page":"1203-1210","source":"PubMed","title":"A double-blind, placebo-controlled trial of low dose infliximab in ankylosing spondylitis","volume":"37","author":[{"family":"Inman","given":"Robert D."},{"family":"Maksymowych","given":"Walter P."},{"literal":"CANDLE Study Group"}],"issued":{"date-parts":[["2010",6]]}}}],"schema":"https://github.com/citation-style-language/schema/raw/master/csl-citation.json"} </w:instrText>
            </w:r>
            <w:r>
              <w:rPr>
                <w:rFonts w:ascii="Calibri" w:eastAsia="Times New Roman" w:hAnsi="Calibri" w:cs="Calibri"/>
                <w:color w:val="000000"/>
                <w:lang w:eastAsia="fr-FR"/>
              </w:rPr>
              <w:fldChar w:fldCharType="separate"/>
            </w:r>
            <w:r w:rsidRPr="00270408">
              <w:rPr>
                <w:rFonts w:ascii="Calibri" w:hAnsi="Calibri" w:cs="Calibri"/>
                <w:szCs w:val="24"/>
                <w:vertAlign w:val="superscript"/>
              </w:rPr>
              <w:t>21</w:t>
            </w:r>
            <w:r>
              <w:rPr>
                <w:rFonts w:ascii="Calibri" w:eastAsia="Times New Roman" w:hAnsi="Calibri" w:cs="Calibri"/>
                <w:color w:val="000000"/>
                <w:lang w:eastAsia="fr-FR"/>
              </w:rPr>
              <w:fldChar w:fldCharType="end"/>
            </w:r>
          </w:p>
        </w:tc>
        <w:tc>
          <w:tcPr>
            <w:tcW w:w="709" w:type="dxa"/>
            <w:noWrap/>
            <w:vAlign w:val="center"/>
            <w:hideMark/>
          </w:tcPr>
          <w:p w14:paraId="3C6E5167"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2010</w:t>
            </w:r>
          </w:p>
        </w:tc>
        <w:tc>
          <w:tcPr>
            <w:tcW w:w="1559" w:type="dxa"/>
            <w:noWrap/>
            <w:vAlign w:val="center"/>
            <w:hideMark/>
          </w:tcPr>
          <w:p w14:paraId="6F35A5D8"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Infliximab</w:t>
            </w:r>
          </w:p>
        </w:tc>
        <w:tc>
          <w:tcPr>
            <w:tcW w:w="567" w:type="dxa"/>
            <w:noWrap/>
            <w:vAlign w:val="center"/>
            <w:hideMark/>
          </w:tcPr>
          <w:p w14:paraId="78284FF8"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39</w:t>
            </w:r>
          </w:p>
        </w:tc>
        <w:tc>
          <w:tcPr>
            <w:tcW w:w="1276" w:type="dxa"/>
            <w:noWrap/>
            <w:vAlign w:val="center"/>
            <w:hideMark/>
          </w:tcPr>
          <w:p w14:paraId="3D90CAB7"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noWrap/>
            <w:vAlign w:val="center"/>
            <w:hideMark/>
          </w:tcPr>
          <w:p w14:paraId="76BD9E6D"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37</w:t>
            </w:r>
          </w:p>
        </w:tc>
        <w:tc>
          <w:tcPr>
            <w:tcW w:w="2693" w:type="dxa"/>
            <w:vAlign w:val="center"/>
            <w:hideMark/>
          </w:tcPr>
          <w:p w14:paraId="6373B488"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 xml:space="preserve">IFX 3 mg / kg at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t> 0, 2, 6</w:t>
            </w:r>
            <w:r>
              <w:rPr>
                <w:rFonts w:ascii="Calibri" w:eastAsia="Times New Roman" w:hAnsi="Calibri" w:cs="Calibri"/>
                <w:color w:val="000000"/>
                <w:lang w:val="en-029" w:eastAsia="fr-FR"/>
              </w:rPr>
              <w:br/>
              <w:t>Placebo</w:t>
            </w:r>
          </w:p>
        </w:tc>
        <w:tc>
          <w:tcPr>
            <w:tcW w:w="992" w:type="dxa"/>
            <w:tcBorders>
              <w:top w:val="nil"/>
              <w:left w:val="nil"/>
              <w:bottom w:val="nil"/>
              <w:right w:val="single" w:sz="8" w:space="0" w:color="auto"/>
            </w:tcBorders>
            <w:noWrap/>
            <w:vAlign w:val="center"/>
            <w:hideMark/>
          </w:tcPr>
          <w:p w14:paraId="68E1A5D6"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12</w:t>
            </w:r>
          </w:p>
        </w:tc>
      </w:tr>
      <w:tr w:rsidR="00156725" w14:paraId="5211AE03" w14:textId="77777777" w:rsidTr="00B83CF3">
        <w:trPr>
          <w:trHeight w:val="578"/>
        </w:trPr>
        <w:tc>
          <w:tcPr>
            <w:tcW w:w="1266" w:type="dxa"/>
            <w:tcBorders>
              <w:top w:val="nil"/>
              <w:left w:val="single" w:sz="8" w:space="0" w:color="auto"/>
              <w:bottom w:val="nil"/>
              <w:right w:val="nil"/>
            </w:tcBorders>
            <w:shd w:val="clear" w:color="auto" w:fill="F2F2F2" w:themeFill="background1" w:themeFillShade="F2"/>
            <w:noWrap/>
            <w:vAlign w:val="center"/>
            <w:hideMark/>
          </w:tcPr>
          <w:p w14:paraId="34C17EB8"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Marzo-Ortega H.</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{"citationID":"ULcQ2EGl","properties":{"formattedCitation":"\\super 32\\nosupersub{}","plainCitation":"32","noteIndex":0},"citationItems":[{"id":6080,"uris":["http://zotero.org/users/5006036/items/TGKFENK8"],"uri":["http://zotero.org/users/5006036/items/TGKFENK8"],"itemData":{"id":6080,"type":"article-journal","abstract":"OBJECTIVE: To examine the efficacy and safety of infliximab combined with methotrexate compared with methotrexate alone in the treatment of ankylosing spondylitis (AS) using MRI and DXA to monitor its impact on bone.\nMETHODS: In this single centre study 42 subjects with active AS were treated with methotrexate and were randomly assigned, in a ratio of 2:1, to receive five infusions of either 5 mg/kg infliximab or placebo over 30 weeks. The primary outcome was improvement in disease activity as shown by the BASDAI at week 30. MRI was used to assess the effect of treatments on sacroiliac and spinal enthesitis/osteitis and DXA to monitor bone mineral density.\nRESULTS: Both therapeutic agents were well tolerated with no dropouts due to adverse events. A significantly greater improvement in mean BASDAI score was seen in the infliximab arm at week 10 (p = 0.017) than in the placebo arm, but this was not maintained by week 30 (p = 0.195), 8 weeks after the last infusion, at which stage disease flares were reported by some subjects. MRI showed that the mean number of lesions resolving for each subject from week 0 to week 30 was significantly greater in the combination group than in the methotrexate monotherapy group (p = 0.016).\nCONCLUSIONS: Infliximab in combination with methotrexate was a safe and efficacious treatment in AS over 6 months and was associated with significant regression in enthesitis/osteitis as determined by MRI. However, disease flares were reported 8 weeks after the last infusion, indicating that addition of methotrexate failed to extend the infliximab dosing interval.","container-title":"Annals of the Rheumatic Diseases","DOI":"10.1136/ard.2004.022582","ISSN":"0003-4967","issue":"11","journalAbbreviation":"Ann. Rheum. Dis.","language":"eng","note":"PMID: 15829577\nPMCID: PMC1755262","page":"1568-1575","source":"PubMed","title":"Infliximab in combination with methotrexate in active ankylosing spondylitis: a clinical and imaging study","title-short":"Infliximab in combination with methotrexate in active ankylosing spondylitis","volume":"64","author":[{"family":"Marzo-Ortega","given":"H."},{"family":"McGonagle","given":"D."},{"family":"Jarrett","given":"S."},{"family":"Haugeberg","given":"G."},{"family":"Hensor","given":"E."},{"family":"O'connor","given":"P."},{"family":"Tan","given":"A. L."},{"family":"Conaghan","given":"P. G."},{"family":"Greenstein","given":"A."},{"family":"Emery","given":"P."}],"issued":{"date-parts":[["2005",11]]}}}],"schema":"https://github.com/citation-style-language/schema/raw/master/csl-citation.json"} </w:instrText>
            </w:r>
            <w:r>
              <w:rPr>
                <w:rFonts w:ascii="Calibri" w:eastAsia="Times New Roman" w:hAnsi="Calibri" w:cs="Calibri"/>
                <w:color w:val="000000"/>
                <w:lang w:eastAsia="fr-FR"/>
              </w:rPr>
              <w:fldChar w:fldCharType="separate"/>
            </w:r>
            <w:r w:rsidRPr="00270408">
              <w:rPr>
                <w:rFonts w:ascii="Calibri" w:hAnsi="Calibri" w:cs="Calibri"/>
                <w:szCs w:val="24"/>
                <w:vertAlign w:val="superscript"/>
              </w:rPr>
              <w:t>32</w:t>
            </w:r>
            <w:r>
              <w:rPr>
                <w:rFonts w:ascii="Calibri" w:eastAsia="Times New Roman" w:hAnsi="Calibri" w:cs="Calibri"/>
                <w:color w:val="000000"/>
                <w:lang w:eastAsia="fr-FR"/>
              </w:rPr>
              <w:fldChar w:fldCharType="end"/>
            </w:r>
          </w:p>
        </w:tc>
        <w:tc>
          <w:tcPr>
            <w:tcW w:w="709" w:type="dxa"/>
            <w:shd w:val="clear" w:color="auto" w:fill="F2F2F2" w:themeFill="background1" w:themeFillShade="F2"/>
            <w:noWrap/>
            <w:vAlign w:val="center"/>
            <w:hideMark/>
          </w:tcPr>
          <w:p w14:paraId="7E2721AC"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2005</w:t>
            </w:r>
          </w:p>
        </w:tc>
        <w:tc>
          <w:tcPr>
            <w:tcW w:w="1559" w:type="dxa"/>
            <w:shd w:val="clear" w:color="auto" w:fill="F2F2F2" w:themeFill="background1" w:themeFillShade="F2"/>
            <w:noWrap/>
            <w:vAlign w:val="center"/>
            <w:hideMark/>
          </w:tcPr>
          <w:p w14:paraId="3E43B29A"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Infliximab</w:t>
            </w:r>
          </w:p>
        </w:tc>
        <w:tc>
          <w:tcPr>
            <w:tcW w:w="567" w:type="dxa"/>
            <w:shd w:val="clear" w:color="auto" w:fill="F2F2F2" w:themeFill="background1" w:themeFillShade="F2"/>
            <w:noWrap/>
            <w:vAlign w:val="center"/>
            <w:hideMark/>
          </w:tcPr>
          <w:p w14:paraId="4627A62C"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28</w:t>
            </w:r>
          </w:p>
        </w:tc>
        <w:tc>
          <w:tcPr>
            <w:tcW w:w="1276" w:type="dxa"/>
            <w:shd w:val="clear" w:color="auto" w:fill="F2F2F2" w:themeFill="background1" w:themeFillShade="F2"/>
            <w:noWrap/>
            <w:vAlign w:val="center"/>
            <w:hideMark/>
          </w:tcPr>
          <w:p w14:paraId="7A1EB2DC"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shd w:val="clear" w:color="auto" w:fill="F2F2F2" w:themeFill="background1" w:themeFillShade="F2"/>
            <w:noWrap/>
            <w:vAlign w:val="center"/>
            <w:hideMark/>
          </w:tcPr>
          <w:p w14:paraId="06C089B4"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14</w:t>
            </w:r>
          </w:p>
        </w:tc>
        <w:tc>
          <w:tcPr>
            <w:tcW w:w="2693" w:type="dxa"/>
            <w:shd w:val="clear" w:color="auto" w:fill="F2F2F2" w:themeFill="background1" w:themeFillShade="F2"/>
            <w:vAlign w:val="center"/>
            <w:hideMark/>
          </w:tcPr>
          <w:p w14:paraId="236F6189"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 xml:space="preserve">IFX 5 mg / kg at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t> 0, 2, 6, 14 and 22</w:t>
            </w:r>
            <w:r>
              <w:rPr>
                <w:rFonts w:ascii="Calibri" w:eastAsia="Times New Roman" w:hAnsi="Calibri" w:cs="Calibri"/>
                <w:color w:val="000000"/>
                <w:lang w:val="en-029" w:eastAsia="fr-FR"/>
              </w:rPr>
              <w:br/>
              <w:t>Placebo</w:t>
            </w:r>
          </w:p>
        </w:tc>
        <w:tc>
          <w:tcPr>
            <w:tcW w:w="992" w:type="dxa"/>
            <w:tcBorders>
              <w:top w:val="nil"/>
              <w:left w:val="nil"/>
              <w:bottom w:val="nil"/>
              <w:right w:val="single" w:sz="8" w:space="0" w:color="auto"/>
            </w:tcBorders>
            <w:shd w:val="clear" w:color="auto" w:fill="F2F2F2" w:themeFill="background1" w:themeFillShade="F2"/>
            <w:noWrap/>
            <w:vAlign w:val="center"/>
            <w:hideMark/>
          </w:tcPr>
          <w:p w14:paraId="02FD7F84"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30</w:t>
            </w:r>
          </w:p>
        </w:tc>
      </w:tr>
      <w:tr w:rsidR="00156725" w14:paraId="7C696288" w14:textId="77777777" w:rsidTr="00B83CF3">
        <w:trPr>
          <w:trHeight w:val="578"/>
        </w:trPr>
        <w:tc>
          <w:tcPr>
            <w:tcW w:w="1266" w:type="dxa"/>
            <w:tcBorders>
              <w:top w:val="nil"/>
              <w:left w:val="single" w:sz="8" w:space="0" w:color="auto"/>
              <w:bottom w:val="nil"/>
              <w:right w:val="nil"/>
            </w:tcBorders>
            <w:noWrap/>
            <w:vAlign w:val="center"/>
            <w:hideMark/>
          </w:tcPr>
          <w:p w14:paraId="0B4D98BD" w14:textId="77777777" w:rsidR="00156725" w:rsidRDefault="00156725" w:rsidP="00B83CF3">
            <w:pPr>
              <w:spacing w:after="0" w:line="240" w:lineRule="auto"/>
              <w:rPr>
                <w:rFonts w:ascii="Calibri" w:eastAsia="Times New Roman" w:hAnsi="Calibri" w:cs="Calibri"/>
                <w:color w:val="000000"/>
                <w:lang w:eastAsia="fr-FR"/>
              </w:rPr>
            </w:pPr>
            <w:proofErr w:type="spellStart"/>
            <w:r>
              <w:rPr>
                <w:rFonts w:ascii="Calibri" w:eastAsia="Times New Roman" w:hAnsi="Calibri" w:cs="Calibri"/>
                <w:color w:val="000000"/>
                <w:lang w:eastAsia="fr-FR"/>
              </w:rPr>
              <w:t>Sieper</w:t>
            </w:r>
            <w:proofErr w:type="spellEnd"/>
            <w:r>
              <w:rPr>
                <w:rFonts w:ascii="Calibri" w:eastAsia="Times New Roman" w:hAnsi="Calibri" w:cs="Calibri"/>
                <w:color w:val="000000"/>
                <w:lang w:eastAsia="fr-FR"/>
              </w:rPr>
              <w:t xml:space="preserve"> J.</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{"citationID":"89xG7RNi","properties":{"formattedCitation":"\\super 30\\nosupersub{}","plainCitation":"30","noteIndex":0},"citationItems":[{"id":6083,"uris":["http://zotero.org/users/5006036/items/X89PJQLQ"],"uri":["http://zotero.org/users/5006036/items/X89PJQLQ"],"itemData":{"id":6083,"type":"article-journal","abstract":"OBJECTIVES: To assess whether combination therapy with infliximab (IFX) plus nonsteroidal anti-inflammatory drugs (NSAIDs) is superior to NSAID monotherapy for reaching Assessment of SpondyloArthritis international Society (ASAS) partial remission in patients with early, active axial spondyloarthritis (SpA) who were naïve to NSAIDs or received a submaximal dose of NSAIDs.\nMETHODS: Patients were randomised (2 : 1 ratio) to receive naproxen (NPX) 1000 mg daily plus either IFX 5 mg/kg or placebo (PBO) at weeks 0, 2, 6, 12, 18 and 24. The primary efficacy measure was the percentage of patients who met ASAS partial remission criteria at week 28. Several other measures of disease activity, clinical symptoms and patient-rated outcomes were evaluated. Treatment group differences were analysed with Fisher exact tests or analysis of covariance.\nRESULTS: A greater percentage of patients achieved ASAS partial remission in the IFX+NPX group (61.9%; 65/105) than in the PBO+NPX group (35.3%; 18/51) at week 28 (p=0.002) and at all other visits (p&lt;0.05, all comparisons). Results of most other disease activity and patient-reported endpoints (including Ankylosing Spondylitis Disease Activity Score, Bath Ankylosing Spondylitis Disease Activity Index, Bath Ankylosing Spondylitis Functional Index, multiple quality of life measures and pain measures) showed greater improvement in the IFX+NPX group than the PBO+NPX group, with several measures demonstrating early and consistent improvement over 28 weeks of treatment.\nCONCLUSIONS: Patients with early, active axial SpA who received IFX+NPX combination treatment were twice as likely to achieve clinical remission as patients who received NPX alone. NPX alone led to clinical remission in a third of patients.","container-title":"Annals of the Rheumatic Diseases","DOI":"10.1136/annrheumdis-2012-203201","ISSN":"1468-2060","issue":"1","journalAbbreviation":"Ann. Rheum. Dis.","language":"eng","note":"PMID: 23696633\nPMCID: PMC3888606","page":"101-107","source":"PubMed","title":"Efficacy and safety of infliximab plus naproxen versus naproxen alone in patients with early, active axial spondyloarthritis: results from the double-blind, placebo-controlled INFAST study, Part 1","title-short":"Efficacy and safety of infliximab plus naproxen versus naproxen alone in patients with early, active axial spondyloarthritis","volume":"73","author":[{"family":"Sieper","given":"J."},{"family":"Lenaerts","given":"J."},{"family":"Wollenhaupt","given":"J."},{"family":"Rudwaleit","given":"M."},{"family":"Mazurov","given":"V. I."},{"family":"Myasoutova","given":"L."},{"family":"Park","given":"S."},{"family":"Song","given":"Y."},{"family":"Yao","given":"R."},{"family":"Chitkara","given":"D."},{"family":"Vastesaeger","given":"N."},{"literal":"All INFAST Investigators"}],"issued":{"date-parts":[["2014",1]]}}}],"schema":"https://github.com/citation-style-language/schema/raw/master/csl-citation.json"} </w:instrText>
            </w:r>
            <w:r>
              <w:rPr>
                <w:rFonts w:ascii="Calibri" w:eastAsia="Times New Roman" w:hAnsi="Calibri" w:cs="Calibri"/>
                <w:color w:val="000000"/>
                <w:lang w:eastAsia="fr-FR"/>
              </w:rPr>
              <w:fldChar w:fldCharType="separate"/>
            </w:r>
            <w:r w:rsidRPr="00270408">
              <w:rPr>
                <w:rFonts w:ascii="Calibri" w:hAnsi="Calibri" w:cs="Calibri"/>
                <w:szCs w:val="24"/>
                <w:vertAlign w:val="superscript"/>
              </w:rPr>
              <w:t>30</w:t>
            </w:r>
            <w:r>
              <w:rPr>
                <w:rFonts w:ascii="Calibri" w:eastAsia="Times New Roman" w:hAnsi="Calibri" w:cs="Calibri"/>
                <w:color w:val="000000"/>
                <w:lang w:eastAsia="fr-FR"/>
              </w:rPr>
              <w:fldChar w:fldCharType="end"/>
            </w:r>
          </w:p>
        </w:tc>
        <w:tc>
          <w:tcPr>
            <w:tcW w:w="709" w:type="dxa"/>
            <w:noWrap/>
            <w:vAlign w:val="center"/>
            <w:hideMark/>
          </w:tcPr>
          <w:p w14:paraId="3AE94781"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2012</w:t>
            </w:r>
          </w:p>
        </w:tc>
        <w:tc>
          <w:tcPr>
            <w:tcW w:w="1559" w:type="dxa"/>
            <w:noWrap/>
            <w:vAlign w:val="center"/>
            <w:hideMark/>
          </w:tcPr>
          <w:p w14:paraId="2268E639"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Infliximab</w:t>
            </w:r>
          </w:p>
        </w:tc>
        <w:tc>
          <w:tcPr>
            <w:tcW w:w="567" w:type="dxa"/>
            <w:noWrap/>
            <w:vAlign w:val="center"/>
            <w:hideMark/>
          </w:tcPr>
          <w:p w14:paraId="2D54E1B0"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105</w:t>
            </w:r>
          </w:p>
        </w:tc>
        <w:tc>
          <w:tcPr>
            <w:tcW w:w="1276" w:type="dxa"/>
            <w:noWrap/>
            <w:vAlign w:val="center"/>
            <w:hideMark/>
          </w:tcPr>
          <w:p w14:paraId="2C62F3A2"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noWrap/>
            <w:vAlign w:val="center"/>
            <w:hideMark/>
          </w:tcPr>
          <w:p w14:paraId="6B294765"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52</w:t>
            </w:r>
          </w:p>
        </w:tc>
        <w:tc>
          <w:tcPr>
            <w:tcW w:w="2693" w:type="dxa"/>
            <w:vAlign w:val="center"/>
            <w:hideMark/>
          </w:tcPr>
          <w:p w14:paraId="29A4DAB7"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 xml:space="preserve">IFX 5 mg / kg at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t> 0, 2, 6, 12, 18 and 24</w:t>
            </w:r>
            <w:r>
              <w:rPr>
                <w:rFonts w:ascii="Calibri" w:eastAsia="Times New Roman" w:hAnsi="Calibri" w:cs="Calibri"/>
                <w:color w:val="000000"/>
                <w:lang w:val="en-029" w:eastAsia="fr-FR"/>
              </w:rPr>
              <w:br/>
              <w:t>Placebo</w:t>
            </w:r>
          </w:p>
        </w:tc>
        <w:tc>
          <w:tcPr>
            <w:tcW w:w="992" w:type="dxa"/>
            <w:tcBorders>
              <w:top w:val="nil"/>
              <w:left w:val="nil"/>
              <w:bottom w:val="nil"/>
              <w:right w:val="single" w:sz="8" w:space="0" w:color="auto"/>
            </w:tcBorders>
            <w:noWrap/>
            <w:vAlign w:val="center"/>
            <w:hideMark/>
          </w:tcPr>
          <w:p w14:paraId="34675D0C"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28</w:t>
            </w:r>
          </w:p>
        </w:tc>
      </w:tr>
      <w:tr w:rsidR="00156725" w14:paraId="294FE8BE" w14:textId="77777777" w:rsidTr="00B83CF3">
        <w:trPr>
          <w:trHeight w:val="289"/>
        </w:trPr>
        <w:tc>
          <w:tcPr>
            <w:tcW w:w="1266" w:type="dxa"/>
            <w:tcBorders>
              <w:top w:val="nil"/>
              <w:left w:val="single" w:sz="8" w:space="0" w:color="auto"/>
              <w:bottom w:val="single" w:sz="4" w:space="0" w:color="auto"/>
              <w:right w:val="nil"/>
            </w:tcBorders>
            <w:shd w:val="clear" w:color="auto" w:fill="F2F2F2" w:themeFill="background1" w:themeFillShade="F2"/>
            <w:noWrap/>
            <w:vAlign w:val="center"/>
            <w:hideMark/>
          </w:tcPr>
          <w:p w14:paraId="71F5FF0D"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Braun J.</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{"citationID":"uY78eOQZ","properties":{"formattedCitation":"\\super 35\\nosupersub{}","plainCitation":"35","noteIndex":0},"citationItems":[{"id":6086,"uris":["http://zotero.org/users/5006036/items/L3S56AAU"],"uri":["http://zotero.org/users/5006036/items/L3S56AAU"],"itemData":{"id":6086,"type":"article-journal","abstract":"BACKGROUND Treatment options for patients with ankylosing spondylitis are few. We aimed to assess the effectiveness of infliximab, an antibody to tumour necrosis factor (TNF)-alpha, in treatment of such patients.\nMETHODS: In this 12-week placebo-controlled multicentre study, we randomly assigned 35 patients with active ankylosing spondylitis to intravenous infliximab (5 mg/kg) and 35 to placebo at weeks 0, 2, and 6. One patient in the infliximab group was withdrawn from the study. Our primary outcome was regression of disease activity of at least 50%. To assess response, we used validated clinical criteria from the ankylosing spondylitis assessment working group, including disease activity (BASDAI), functional indices (BASFI), metrology (BASMI), and quality of life (short form 36). Analyses were done by intention to treat.\nFINDINGS: 18 (53%) of 34 patients on infliximab had a regression of disease activity at week 12 of at least 50% compared with three (9%) of 35 on placebo (difference 44% [95% CI 23-61], p&lt;0.0001). Function and quality of life also improved significantly on infliximab but not on placebo (p&lt;0.0001 and p&lt;0.0001, respectively). Treatment with infliximab was generally well tolerated, but three patients had to stop treatment because of systemic tuberculosis, allergic granulomatosis of the lung, or mild leucopenia.\nINTERPRETATION: Our results show that treatment with infliximab is effective in patients with active ankylosing spondylitis. Since there are some potentially serious adverse effects, we recommend that this treatment mainly be used in co-operation with rheumatological centres.","container-title":"Lancet (London, England)","DOI":"10.1016/s0140-6736(02)08215-6","ISSN":"0140-6736","issue":"9313","journalAbbreviation":"Lancet","language":"eng","note":"PMID: 11955536","page":"1187-1193","source":"PubMed","title":"Treatment of active ankylosing spondylitis with infliximab: a randomised controlled multicentre trial","title-short":"Treatment of active ankylosing spondylitis with infliximab","volume":"359","author":[{"family":"Braun","given":"J."},{"family":"Brandt","given":"J."},{"family":"Listing","given":"J."},{"family":"Zink","given":"A."},{"family":"Alten","given":"R."},{"family":"Golder","given":"W."},{"family":"Gromnica-Ihle","given":"E."},{"family":"Kellner","given":"H."},{"family":"Krause","given":"A."},{"family":"Schneider","given":"M."},{"family":"Sörensen","given":"H."},{"family":"Zeidler","given":"H."},{"family":"Thriene","given":"W."},{"family":"Sieper","given":"J."}],"issued":{"date-parts":[["2002",4,6]]}}}],"schema":"https://github.com/citation-style-language/schema/raw/master/csl-citation.json"} </w:instrText>
            </w:r>
            <w:r>
              <w:rPr>
                <w:rFonts w:ascii="Calibri" w:eastAsia="Times New Roman" w:hAnsi="Calibri" w:cs="Calibri"/>
                <w:color w:val="000000"/>
                <w:lang w:eastAsia="fr-FR"/>
              </w:rPr>
              <w:fldChar w:fldCharType="separate"/>
            </w:r>
            <w:r w:rsidRPr="00270408">
              <w:rPr>
                <w:rFonts w:ascii="Calibri" w:hAnsi="Calibri" w:cs="Calibri"/>
                <w:szCs w:val="24"/>
                <w:vertAlign w:val="superscript"/>
              </w:rPr>
              <w:t>35</w:t>
            </w:r>
            <w:r>
              <w:rPr>
                <w:rFonts w:ascii="Calibri" w:eastAsia="Times New Roman" w:hAnsi="Calibri" w:cs="Calibri"/>
                <w:color w:val="000000"/>
                <w:lang w:eastAsia="fr-FR"/>
              </w:rPr>
              <w:fldChar w:fldCharType="end"/>
            </w:r>
          </w:p>
        </w:tc>
        <w:tc>
          <w:tcPr>
            <w:tcW w:w="709" w:type="dxa"/>
            <w:tcBorders>
              <w:top w:val="nil"/>
              <w:left w:val="nil"/>
              <w:bottom w:val="single" w:sz="4" w:space="0" w:color="auto"/>
              <w:right w:val="nil"/>
            </w:tcBorders>
            <w:shd w:val="clear" w:color="auto" w:fill="F2F2F2" w:themeFill="background1" w:themeFillShade="F2"/>
            <w:noWrap/>
            <w:vAlign w:val="center"/>
            <w:hideMark/>
          </w:tcPr>
          <w:p w14:paraId="05469B79"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2002</w:t>
            </w:r>
          </w:p>
        </w:tc>
        <w:tc>
          <w:tcPr>
            <w:tcW w:w="1559" w:type="dxa"/>
            <w:tcBorders>
              <w:top w:val="nil"/>
              <w:left w:val="nil"/>
              <w:bottom w:val="single" w:sz="4" w:space="0" w:color="auto"/>
              <w:right w:val="nil"/>
            </w:tcBorders>
            <w:shd w:val="clear" w:color="auto" w:fill="F2F2F2" w:themeFill="background1" w:themeFillShade="F2"/>
            <w:noWrap/>
            <w:vAlign w:val="center"/>
            <w:hideMark/>
          </w:tcPr>
          <w:p w14:paraId="00C72D47"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Infliximab</w:t>
            </w:r>
          </w:p>
        </w:tc>
        <w:tc>
          <w:tcPr>
            <w:tcW w:w="567" w:type="dxa"/>
            <w:tcBorders>
              <w:top w:val="nil"/>
              <w:left w:val="nil"/>
              <w:bottom w:val="single" w:sz="4" w:space="0" w:color="auto"/>
              <w:right w:val="nil"/>
            </w:tcBorders>
            <w:shd w:val="clear" w:color="auto" w:fill="F2F2F2" w:themeFill="background1" w:themeFillShade="F2"/>
            <w:noWrap/>
            <w:vAlign w:val="center"/>
            <w:hideMark/>
          </w:tcPr>
          <w:p w14:paraId="7420B8BC"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34</w:t>
            </w:r>
          </w:p>
        </w:tc>
        <w:tc>
          <w:tcPr>
            <w:tcW w:w="1276" w:type="dxa"/>
            <w:tcBorders>
              <w:top w:val="nil"/>
              <w:left w:val="nil"/>
              <w:bottom w:val="single" w:sz="4" w:space="0" w:color="auto"/>
              <w:right w:val="nil"/>
            </w:tcBorders>
            <w:shd w:val="clear" w:color="auto" w:fill="F2F2F2" w:themeFill="background1" w:themeFillShade="F2"/>
            <w:noWrap/>
            <w:vAlign w:val="center"/>
            <w:hideMark/>
          </w:tcPr>
          <w:p w14:paraId="265BEA21"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tcBorders>
              <w:top w:val="nil"/>
              <w:left w:val="nil"/>
              <w:bottom w:val="single" w:sz="4" w:space="0" w:color="auto"/>
              <w:right w:val="nil"/>
            </w:tcBorders>
            <w:shd w:val="clear" w:color="auto" w:fill="F2F2F2" w:themeFill="background1" w:themeFillShade="F2"/>
            <w:noWrap/>
            <w:vAlign w:val="center"/>
            <w:hideMark/>
          </w:tcPr>
          <w:p w14:paraId="2F31AD4F"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35</w:t>
            </w:r>
          </w:p>
        </w:tc>
        <w:tc>
          <w:tcPr>
            <w:tcW w:w="2693" w:type="dxa"/>
            <w:tcBorders>
              <w:top w:val="nil"/>
              <w:left w:val="nil"/>
              <w:bottom w:val="single" w:sz="4" w:space="0" w:color="auto"/>
              <w:right w:val="nil"/>
            </w:tcBorders>
            <w:shd w:val="clear" w:color="auto" w:fill="F2F2F2" w:themeFill="background1" w:themeFillShade="F2"/>
            <w:noWrap/>
            <w:vAlign w:val="center"/>
            <w:hideMark/>
          </w:tcPr>
          <w:p w14:paraId="1FD287D1"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 xml:space="preserve">IFX 5 mg / kg at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t> 0, 2, 6</w:t>
            </w:r>
          </w:p>
        </w:tc>
        <w:tc>
          <w:tcPr>
            <w:tcW w:w="992" w:type="dxa"/>
            <w:tcBorders>
              <w:top w:val="nil"/>
              <w:left w:val="nil"/>
              <w:bottom w:val="single" w:sz="4" w:space="0" w:color="auto"/>
              <w:right w:val="single" w:sz="8" w:space="0" w:color="auto"/>
            </w:tcBorders>
            <w:shd w:val="clear" w:color="auto" w:fill="F2F2F2" w:themeFill="background1" w:themeFillShade="F2"/>
            <w:noWrap/>
            <w:vAlign w:val="center"/>
            <w:hideMark/>
          </w:tcPr>
          <w:p w14:paraId="6AB127C7"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12</w:t>
            </w:r>
          </w:p>
        </w:tc>
      </w:tr>
      <w:tr w:rsidR="00156725" w14:paraId="63D5D29B" w14:textId="77777777" w:rsidTr="00B83CF3">
        <w:trPr>
          <w:trHeight w:val="578"/>
        </w:trPr>
        <w:tc>
          <w:tcPr>
            <w:tcW w:w="1266" w:type="dxa"/>
            <w:tcBorders>
              <w:top w:val="nil"/>
              <w:left w:val="single" w:sz="8" w:space="0" w:color="auto"/>
              <w:bottom w:val="nil"/>
              <w:right w:val="nil"/>
            </w:tcBorders>
            <w:noWrap/>
            <w:vAlign w:val="center"/>
            <w:hideMark/>
          </w:tcPr>
          <w:p w14:paraId="79A086A1"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Jennifer D.</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{"citationID":"0C4DkljH","properties":{"formattedCitation":"\\super 46\\nosupersub{}","plainCitation":"46","noteIndex":0},"citationItems":[{"id":6094,"uris":["http://zotero.org/users/5006036/items/A7EV7PCA"],"uri":["http://zotero.org/users/5006036/items/A7EV7PCA"],"itemData":{"id":6094,"type":"article-journal","abstract":"BACKGROUND: There are few effective treatments for ankylosing spondylitis, which causes substantial morbidity. Because of the central role of tumor necrosis factor alpha in the spondyloarthritides, we performed a randomized, double-blind, placebo-controlled trial of etanercept, a recombinant human tumor necrosis factor receptor (p75):Fc fusion protein, in patients with ankylosing spondylitis.\nMETHODS: Forty patients with active, inflammatory ankylosing spondylitis were randomly assigned to receive twice-weekly subcutaneous injections of etanercept (25 mg) or placebo for four months. The primary end point was a composite of improvements in measures of morning stiffness, spinal pain, functioning, the patient's global assessment of disease activity, and joint swelling. Patients were allowed to continue taking nonsteroidal antiinflammatory drugs, oral corticosteriods (&lt; or =10 mg per day), and disease-modifying antirheumatic drugs at stable doses during the trial.\nRESULTS: Treatment with etanercept resulted in significant and sustained improvement. At four months, 80 percent of the patients in the etanercept group had a treatment response, as compared with 30 percent of those in the placebo group (P=0.004). Improvements over base-line values for various measures of disease activity, including morning stiffness, spinal pain, functioning, quality of life, enthesitis, chest expansion, erythrocyte sedimentation rate, and C-reactive protein, were significantly greater in the etanercept group. Longitudinal analysis showed that the treatment response was rapid and did not diminish over time. Etanercept was well tolerated, with no significant differences in rates of adverse events between the two groups.\nCONCLUSIONS: Treatment with etanercept for four months resulted in rapid, significant, and sustained improvement in patients with ankylosing spondylitis.","container-title":"The New England Journal of Medicine","DOI":"10.1056/NEJMoa012664","ISSN":"1533-4406","issue":"18","journalAbbreviation":"N. Engl. J. Med.","language":"eng","note":"PMID: 11986408","page":"1349-1356","source":"PubMed","title":"Treatment of ankylosing spondylitis by inhibition of tumor necrosis factor alpha","volume":"346","author":[{"family":"Gorman","given":"Jennifer D."},{"family":"Sack","given":"Kenneth E."},{"family":"Davis","given":"John C."}],"issued":{"date-parts":[["2002",5,2]]}}}],"schema":"https://github.com/citation-style-language/schema/raw/master/csl-citation.json"} </w:instrText>
            </w:r>
            <w:r>
              <w:rPr>
                <w:rFonts w:ascii="Calibri" w:eastAsia="Times New Roman" w:hAnsi="Calibri" w:cs="Calibri"/>
                <w:color w:val="000000"/>
                <w:lang w:eastAsia="fr-FR"/>
              </w:rPr>
              <w:fldChar w:fldCharType="separate"/>
            </w:r>
            <w:r w:rsidRPr="00DE381C">
              <w:rPr>
                <w:rFonts w:ascii="Calibri" w:hAnsi="Calibri" w:cs="Calibri"/>
                <w:szCs w:val="24"/>
                <w:vertAlign w:val="superscript"/>
              </w:rPr>
              <w:t>46</w:t>
            </w:r>
            <w:r>
              <w:rPr>
                <w:rFonts w:ascii="Calibri" w:eastAsia="Times New Roman" w:hAnsi="Calibri" w:cs="Calibri"/>
                <w:color w:val="000000"/>
                <w:lang w:eastAsia="fr-FR"/>
              </w:rPr>
              <w:fldChar w:fldCharType="end"/>
            </w:r>
            <w:r>
              <w:rPr>
                <w:rFonts w:ascii="Calibri" w:eastAsia="Times New Roman" w:hAnsi="Calibri" w:cs="Calibri"/>
                <w:color w:val="000000"/>
                <w:lang w:eastAsia="fr-FR"/>
              </w:rPr>
              <w:t xml:space="preserve"> </w:t>
            </w:r>
          </w:p>
        </w:tc>
        <w:tc>
          <w:tcPr>
            <w:tcW w:w="709" w:type="dxa"/>
            <w:noWrap/>
            <w:vAlign w:val="center"/>
            <w:hideMark/>
          </w:tcPr>
          <w:p w14:paraId="1E59C4E1"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2002</w:t>
            </w:r>
          </w:p>
        </w:tc>
        <w:tc>
          <w:tcPr>
            <w:tcW w:w="1559" w:type="dxa"/>
            <w:noWrap/>
            <w:vAlign w:val="center"/>
            <w:hideMark/>
          </w:tcPr>
          <w:p w14:paraId="74E29EE9"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Etanercept</w:t>
            </w:r>
            <w:proofErr w:type="spellEnd"/>
          </w:p>
        </w:tc>
        <w:tc>
          <w:tcPr>
            <w:tcW w:w="567" w:type="dxa"/>
            <w:noWrap/>
            <w:vAlign w:val="center"/>
            <w:hideMark/>
          </w:tcPr>
          <w:p w14:paraId="34F7532C"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w:t>
            </w:r>
          </w:p>
        </w:tc>
        <w:tc>
          <w:tcPr>
            <w:tcW w:w="1276" w:type="dxa"/>
            <w:noWrap/>
            <w:vAlign w:val="center"/>
            <w:hideMark/>
          </w:tcPr>
          <w:p w14:paraId="0F3E82A6"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noWrap/>
            <w:vAlign w:val="center"/>
            <w:hideMark/>
          </w:tcPr>
          <w:p w14:paraId="6C26CE9A"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w:t>
            </w:r>
          </w:p>
        </w:tc>
        <w:tc>
          <w:tcPr>
            <w:tcW w:w="2693" w:type="dxa"/>
            <w:vAlign w:val="center"/>
            <w:hideMark/>
          </w:tcPr>
          <w:p w14:paraId="27D0E1E8"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ETN 25mg 2x/</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br/>
              <w:t>Placebo</w:t>
            </w:r>
          </w:p>
        </w:tc>
        <w:tc>
          <w:tcPr>
            <w:tcW w:w="992" w:type="dxa"/>
            <w:tcBorders>
              <w:top w:val="nil"/>
              <w:left w:val="nil"/>
              <w:bottom w:val="nil"/>
              <w:right w:val="single" w:sz="8" w:space="0" w:color="auto"/>
            </w:tcBorders>
            <w:noWrap/>
            <w:vAlign w:val="center"/>
            <w:hideMark/>
          </w:tcPr>
          <w:p w14:paraId="137753C8"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16</w:t>
            </w:r>
          </w:p>
        </w:tc>
      </w:tr>
      <w:tr w:rsidR="00156725" w14:paraId="4262D8E2" w14:textId="77777777" w:rsidTr="00B83CF3">
        <w:trPr>
          <w:trHeight w:val="578"/>
        </w:trPr>
        <w:tc>
          <w:tcPr>
            <w:tcW w:w="1266" w:type="dxa"/>
            <w:tcBorders>
              <w:top w:val="nil"/>
              <w:left w:val="single" w:sz="8" w:space="0" w:color="auto"/>
              <w:bottom w:val="nil"/>
              <w:right w:val="nil"/>
            </w:tcBorders>
            <w:shd w:val="clear" w:color="auto" w:fill="F2F2F2" w:themeFill="background1" w:themeFillShade="F2"/>
            <w:noWrap/>
            <w:vAlign w:val="center"/>
            <w:hideMark/>
          </w:tcPr>
          <w:p w14:paraId="1CFD71EE"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Davis J.C.</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{"citationID":"gACAACMr","properties":{"formattedCitation":"\\super 43\\nosupersub{}","plainCitation":"43","noteIndex":0},"citationItems":[{"id":6096,"uris":["http://zotero.org/users/5006036/items/TG6YAS2B"],"uri":["http://zotero.org/users/5006036/items/TG6YAS2B"],"itemData":{"id":6096,"type":"article-journal","abstract":"OBJECTIVE: To determine the safety and efficacy of etanercept in a multicenter, randomized, placebo-controlled, double-blind trial of adults with moderate to severe active ankylosing spondylitis (AS).\nMETHODS: Patients (n = 277) were treated with either etanercept 25 mg (n = 138) or placebo (n = 139) subcutaneously twice weekly for 24 weeks. The primary outcome measures were the percentages of patients achieving the Assessments in Ankylosing Spondylitis 20% response (ASAS20) at weeks 12 and 24. Other outcome measures included the percentage of patients achieving higher ASAS responses, and the safety of etanercept in patients with AS. All outcome measures were assessed at 2, 4, 8, 12, and 24 weeks.\nRESULTS: Treatment with etanercept resulted in dramatic improvement. The ASAS20 was achieved by 59% of patients in the etanercept group and by 28% of patients in the placebo group (P &lt; 0.0001) at week 12, and by 57% and 22% of patients, respectively, at week 24 (P &lt; 0.0001). All individual ASAS components, acute-phase reactant levels, and spinal mobility measures were also significantly improved. The safety profile of etanercept was similar to that reported in studies of patients with rheumatoid arthritis or psoriatic arthritis. The only adverse events that occurred significantly more often in the etanercept group were injection-site reactions, accidental injuries, and upper respiratory tract infections.\nCONCLUSION: Etanercept is a highly effective and well tolerated treatment in patients with active AS.","container-title":"Arthritis and Rheumatism","DOI":"10.1002/art.11325","ISSN":"0004-3591","issue":"11","journalAbbreviation":"Arthritis Rheum.","language":"eng","note":"PMID: 14613288","page":"3230-3236","source":"PubMed","title":"Recombinant human tumor necrosis factor receptor (etanercept) for treating ankylosing spondylitis: a randomized, controlled trial","title-short":"Recombinant human tumor necrosis factor receptor (etanercept) for treating ankylosing spondylitis","volume":"48","author":[{"family":"Davis","given":"John C."},{"family":"Van Der Heijde","given":"Désirée"},{"family":"Braun","given":"Jurgen"},{"family":"Dougados","given":"Maxime"},{"family":"Cush","given":"John"},{"family":"Clegg","given":"Daniel O."},{"family":"Kivitz","given":"Alan"},{"family":"Fleischmann","given":"Roy"},{"family":"Inman","given":"Robert"},{"family":"Tsuji","given":"Wayne"},{"literal":"Enbrel Ankylosing Spondylitis Study Group"}],"issued":{"date-parts":[["2003",11]]}}}],"schema":"https://github.com/citation-style-language/schema/raw/master/csl-citation.json"} </w:instrText>
            </w:r>
            <w:r>
              <w:rPr>
                <w:rFonts w:ascii="Calibri" w:eastAsia="Times New Roman" w:hAnsi="Calibri" w:cs="Calibri"/>
                <w:color w:val="000000"/>
                <w:lang w:eastAsia="fr-FR"/>
              </w:rPr>
              <w:fldChar w:fldCharType="separate"/>
            </w:r>
            <w:r w:rsidRPr="00DE381C">
              <w:rPr>
                <w:rFonts w:ascii="Calibri" w:hAnsi="Calibri" w:cs="Calibri"/>
                <w:szCs w:val="24"/>
                <w:vertAlign w:val="superscript"/>
              </w:rPr>
              <w:t>43</w:t>
            </w:r>
            <w:r>
              <w:rPr>
                <w:rFonts w:ascii="Calibri" w:eastAsia="Times New Roman" w:hAnsi="Calibri" w:cs="Calibri"/>
                <w:color w:val="000000"/>
                <w:lang w:eastAsia="fr-FR"/>
              </w:rPr>
              <w:fldChar w:fldCharType="end"/>
            </w:r>
            <w:r>
              <w:rPr>
                <w:rFonts w:ascii="Calibri" w:eastAsia="Times New Roman" w:hAnsi="Calibri" w:cs="Calibri"/>
                <w:color w:val="000000"/>
                <w:lang w:eastAsia="fr-FR"/>
              </w:rPr>
              <w:t xml:space="preserve">  </w:t>
            </w:r>
          </w:p>
        </w:tc>
        <w:tc>
          <w:tcPr>
            <w:tcW w:w="709" w:type="dxa"/>
            <w:shd w:val="clear" w:color="auto" w:fill="F2F2F2" w:themeFill="background1" w:themeFillShade="F2"/>
            <w:noWrap/>
            <w:vAlign w:val="center"/>
            <w:hideMark/>
          </w:tcPr>
          <w:p w14:paraId="42088756"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2003</w:t>
            </w:r>
          </w:p>
        </w:tc>
        <w:tc>
          <w:tcPr>
            <w:tcW w:w="1559" w:type="dxa"/>
            <w:shd w:val="clear" w:color="auto" w:fill="F2F2F2" w:themeFill="background1" w:themeFillShade="F2"/>
            <w:noWrap/>
            <w:vAlign w:val="center"/>
            <w:hideMark/>
          </w:tcPr>
          <w:p w14:paraId="5C3CB9D8"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Etanercept</w:t>
            </w:r>
            <w:proofErr w:type="spellEnd"/>
          </w:p>
        </w:tc>
        <w:tc>
          <w:tcPr>
            <w:tcW w:w="567" w:type="dxa"/>
            <w:shd w:val="clear" w:color="auto" w:fill="F2F2F2" w:themeFill="background1" w:themeFillShade="F2"/>
            <w:noWrap/>
            <w:vAlign w:val="center"/>
            <w:hideMark/>
          </w:tcPr>
          <w:p w14:paraId="20B277E0"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138</w:t>
            </w:r>
          </w:p>
        </w:tc>
        <w:tc>
          <w:tcPr>
            <w:tcW w:w="1276" w:type="dxa"/>
            <w:shd w:val="clear" w:color="auto" w:fill="F2F2F2" w:themeFill="background1" w:themeFillShade="F2"/>
            <w:noWrap/>
            <w:vAlign w:val="center"/>
            <w:hideMark/>
          </w:tcPr>
          <w:p w14:paraId="79AD8F22"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shd w:val="clear" w:color="auto" w:fill="F2F2F2" w:themeFill="background1" w:themeFillShade="F2"/>
            <w:noWrap/>
            <w:vAlign w:val="center"/>
            <w:hideMark/>
          </w:tcPr>
          <w:p w14:paraId="1259057D"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139</w:t>
            </w:r>
          </w:p>
        </w:tc>
        <w:tc>
          <w:tcPr>
            <w:tcW w:w="2693" w:type="dxa"/>
            <w:shd w:val="clear" w:color="auto" w:fill="F2F2F2" w:themeFill="background1" w:themeFillShade="F2"/>
            <w:vAlign w:val="center"/>
            <w:hideMark/>
          </w:tcPr>
          <w:p w14:paraId="7C3442E1"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ETN 25mg 2x/</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br/>
              <w:t>Placebo</w:t>
            </w:r>
          </w:p>
        </w:tc>
        <w:tc>
          <w:tcPr>
            <w:tcW w:w="992" w:type="dxa"/>
            <w:tcBorders>
              <w:top w:val="nil"/>
              <w:left w:val="nil"/>
              <w:bottom w:val="nil"/>
              <w:right w:val="single" w:sz="8" w:space="0" w:color="auto"/>
            </w:tcBorders>
            <w:shd w:val="clear" w:color="auto" w:fill="F2F2F2" w:themeFill="background1" w:themeFillShade="F2"/>
            <w:noWrap/>
            <w:vAlign w:val="center"/>
            <w:hideMark/>
          </w:tcPr>
          <w:p w14:paraId="7BF6B3F6"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24</w:t>
            </w:r>
          </w:p>
        </w:tc>
      </w:tr>
      <w:tr w:rsidR="00156725" w14:paraId="5050EB99" w14:textId="77777777" w:rsidTr="00B83CF3">
        <w:trPr>
          <w:trHeight w:val="578"/>
        </w:trPr>
        <w:tc>
          <w:tcPr>
            <w:tcW w:w="1266" w:type="dxa"/>
            <w:tcBorders>
              <w:top w:val="nil"/>
              <w:left w:val="single" w:sz="8" w:space="0" w:color="auto"/>
              <w:bottom w:val="nil"/>
              <w:right w:val="nil"/>
            </w:tcBorders>
            <w:noWrap/>
            <w:vAlign w:val="center"/>
            <w:hideMark/>
          </w:tcPr>
          <w:p w14:paraId="65271AF5"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Brandt J.</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{"citationID":"xKCRPJfS","properties":{"formattedCitation":"\\super 44\\nosupersub{}","plainCitation":"44","noteIndex":0},"citationItems":[{"id":6098,"uris":["http://zotero.org/users/5006036/items/K4W9JKRC"],"uri":["http://zotero.org/users/5006036/items/K4W9JKRC"],"itemData":{"id":6098,"type":"article-journal","abstract":"OBJECTIVE: There is increasing evidence that tumor necrosis factor alpha (TNFalpha) is centrally involved in the pathogenesis of ankylosing spondylitis (AS) and other spondylarthritides. This study was designed to investigate the efficacy of anti-TNFalpha therapy with etanercept, a 75-kd receptor fusion protein, in active AS.\nMETHODS: This multicenter trial had 2 phases: an initial placebo-controlled period of 6 weeks' duration and an observational phase lasting 24 weeks. Thirty patients with active AS were included. They were randomized into 2 groups, which received either etanercept (25 mg twice weekly) (n = 14) or placebo (n = 16) for 6 weeks. Then both groups were treated with etanercept. Nonsteroidal antiinflammatory drug (NSAID) treatment could be continued, but disease-modifying antirheumatic drugs (DMARDs) and steroids had to be withdrawn prior to the study. All patients received etanercept for a total of 12 weeks and were followed up for at least 24 weeks. The Bath AS Disease Activity Index (BASDAI), Bath AS Functional Index, Bath AS Metrology Index, pain level on a numeric rating scale, quality of life by the Short Form 36, and C-reactive protein (CRP) level were assessed. The primary outcome parameter was a &gt;or=50% improvement in the BASDAI.\nRESULTS: Treatment with etanercept resulted in at least a 50% regression of disease activity in 57% of these patients at week 6, versus 6% of the placebo-treated patients (P = 0.004). After the placebo-treated patients switched to etanercept, 56% improved. The mean +/- SD BASDAI improved from 6.5 +/- 1.2 at baseline to 3.5 +/- 1.9 at week 6 in the etanercept group, with no improvement in the placebo group (P = 0.003 between groups). Similarly, pain, function, mobility, and quality of life improved with etanercept but not with placebo at week 6 (P &lt; 0.05). Mean CRP levels decreased significantly with etanercept but not with placebo (P = 0.001). There was ongoing improvement in all parameters in both groups until week 12 and week 18, respectively (i.e., throughout the period of etanercept treatment). Disease relapses occurred a mean +/- SD of 6.2 +/- 3.0 weeks after cessation of etanercept. No severe adverse events, including major infections, were observed during the trial.\nCONCLUSION: This study shows that on a short-term basis (3 months), treatment with etanercept is clearly efficacious in patients with active AS who are receiving NSAID therapy but not DMARDs or steroids. After cessation of therapy, almost all patients experienced a relapse within a few weeks. Thus, it seems probable that etanercept must be administered continuously in most AS patients to achieve permanent inhibition of the inflammatory process.","container-title":"Arthritis and Rheumatism","DOI":"10.1002/art.11017","ISSN":"0004-3591","issue":"6","journalAbbreviation":"Arthritis Rheum.","language":"eng","note":"PMID: 12794835","page":"1667-1675","source":"PubMed","title":"Six-month results of a double-blind, placebo-controlled trial of etanercept treatment in patients with active ankylosing spondylitis","volume":"48","author":[{"family":"Brandt","given":"J."},{"family":"Khariouzov","given":"A."},{"family":"Listing","given":"J."},{"family":"Haibel","given":"H."},{"family":"Sörensen","given":"H."},{"family":"Grassnickel","given":"L."},{"family":"Rudwaleit","given":"M."},{"family":"Sieper","given":"J."},{"family":"Braun","given":"J."}],"issued":{"date-parts":[["2003",6]]}}}],"schema":"https://github.com/citation-style-language/schema/raw/master/csl-citation.json"} </w:instrText>
            </w:r>
            <w:r>
              <w:rPr>
                <w:rFonts w:ascii="Calibri" w:eastAsia="Times New Roman" w:hAnsi="Calibri" w:cs="Calibri"/>
                <w:color w:val="000000"/>
                <w:lang w:eastAsia="fr-FR"/>
              </w:rPr>
              <w:fldChar w:fldCharType="separate"/>
            </w:r>
            <w:r w:rsidRPr="00DE381C">
              <w:rPr>
                <w:rFonts w:ascii="Calibri" w:hAnsi="Calibri" w:cs="Calibri"/>
                <w:szCs w:val="24"/>
                <w:vertAlign w:val="superscript"/>
              </w:rPr>
              <w:t>44</w:t>
            </w:r>
            <w:r>
              <w:rPr>
                <w:rFonts w:ascii="Calibri" w:eastAsia="Times New Roman" w:hAnsi="Calibri" w:cs="Calibri"/>
                <w:color w:val="000000"/>
                <w:lang w:eastAsia="fr-FR"/>
              </w:rPr>
              <w:fldChar w:fldCharType="end"/>
            </w:r>
            <w:r>
              <w:rPr>
                <w:rFonts w:ascii="Calibri" w:eastAsia="Times New Roman" w:hAnsi="Calibri" w:cs="Calibri"/>
                <w:color w:val="000000"/>
                <w:lang w:eastAsia="fr-FR"/>
              </w:rPr>
              <w:t xml:space="preserve"> </w:t>
            </w:r>
          </w:p>
        </w:tc>
        <w:tc>
          <w:tcPr>
            <w:tcW w:w="709" w:type="dxa"/>
            <w:noWrap/>
            <w:vAlign w:val="center"/>
            <w:hideMark/>
          </w:tcPr>
          <w:p w14:paraId="28422670"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2003</w:t>
            </w:r>
          </w:p>
        </w:tc>
        <w:tc>
          <w:tcPr>
            <w:tcW w:w="1559" w:type="dxa"/>
            <w:noWrap/>
            <w:vAlign w:val="center"/>
            <w:hideMark/>
          </w:tcPr>
          <w:p w14:paraId="0CC94CB7"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Etanercept</w:t>
            </w:r>
            <w:proofErr w:type="spellEnd"/>
          </w:p>
        </w:tc>
        <w:tc>
          <w:tcPr>
            <w:tcW w:w="567" w:type="dxa"/>
            <w:noWrap/>
            <w:vAlign w:val="center"/>
            <w:hideMark/>
          </w:tcPr>
          <w:p w14:paraId="2190BA89"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14</w:t>
            </w:r>
          </w:p>
        </w:tc>
        <w:tc>
          <w:tcPr>
            <w:tcW w:w="1276" w:type="dxa"/>
            <w:noWrap/>
            <w:vAlign w:val="center"/>
            <w:hideMark/>
          </w:tcPr>
          <w:p w14:paraId="4850DA22"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noWrap/>
            <w:vAlign w:val="center"/>
            <w:hideMark/>
          </w:tcPr>
          <w:p w14:paraId="60CD2550"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16</w:t>
            </w:r>
          </w:p>
        </w:tc>
        <w:tc>
          <w:tcPr>
            <w:tcW w:w="2693" w:type="dxa"/>
            <w:vAlign w:val="center"/>
            <w:hideMark/>
          </w:tcPr>
          <w:p w14:paraId="391D5B89"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ETN 25mg 2x/</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br/>
              <w:t>Placebo</w:t>
            </w:r>
          </w:p>
        </w:tc>
        <w:tc>
          <w:tcPr>
            <w:tcW w:w="992" w:type="dxa"/>
            <w:tcBorders>
              <w:top w:val="nil"/>
              <w:left w:val="nil"/>
              <w:bottom w:val="nil"/>
              <w:right w:val="single" w:sz="8" w:space="0" w:color="auto"/>
            </w:tcBorders>
            <w:noWrap/>
            <w:vAlign w:val="center"/>
            <w:hideMark/>
          </w:tcPr>
          <w:p w14:paraId="364D58B5"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12</w:t>
            </w:r>
          </w:p>
        </w:tc>
      </w:tr>
      <w:tr w:rsidR="00156725" w14:paraId="328D0602" w14:textId="77777777" w:rsidTr="00B83CF3">
        <w:trPr>
          <w:trHeight w:val="578"/>
        </w:trPr>
        <w:tc>
          <w:tcPr>
            <w:tcW w:w="1266" w:type="dxa"/>
            <w:tcBorders>
              <w:top w:val="nil"/>
              <w:left w:val="single" w:sz="8" w:space="0" w:color="auto"/>
              <w:bottom w:val="nil"/>
              <w:right w:val="nil"/>
            </w:tcBorders>
            <w:shd w:val="clear" w:color="auto" w:fill="F2F2F2" w:themeFill="background1" w:themeFillShade="F2"/>
            <w:noWrap/>
            <w:vAlign w:val="center"/>
            <w:hideMark/>
          </w:tcPr>
          <w:p w14:paraId="4B6B303C" w14:textId="77777777" w:rsidR="00156725" w:rsidRDefault="00156725" w:rsidP="00B83CF3">
            <w:pPr>
              <w:spacing w:after="0" w:line="240" w:lineRule="auto"/>
              <w:rPr>
                <w:rFonts w:ascii="Calibri" w:eastAsia="Times New Roman" w:hAnsi="Calibri" w:cs="Calibri"/>
                <w:color w:val="000000"/>
                <w:lang w:eastAsia="fr-FR"/>
              </w:rPr>
            </w:pPr>
            <w:proofErr w:type="spellStart"/>
            <w:r>
              <w:rPr>
                <w:rFonts w:ascii="Calibri" w:eastAsia="Times New Roman" w:hAnsi="Calibri" w:cs="Calibri"/>
                <w:color w:val="000000"/>
                <w:lang w:eastAsia="fr-FR"/>
              </w:rPr>
              <w:t>Calin</w:t>
            </w:r>
            <w:proofErr w:type="spellEnd"/>
            <w:r>
              <w:rPr>
                <w:rFonts w:ascii="Calibri" w:eastAsia="Times New Roman" w:hAnsi="Calibri" w:cs="Calibri"/>
                <w:color w:val="000000"/>
                <w:lang w:eastAsia="fr-FR"/>
              </w:rPr>
              <w:t xml:space="preserve"> A.</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{"citationID":"OziC4ikp","properties":{"formattedCitation":"\\super 42\\nosupersub{}","plainCitation":"42","noteIndex":0},"citationItems":[{"id":6100,"uris":["http://zotero.org/users/5006036/items/LQYRYPAV"],"uri":["http://zotero.org/users/5006036/items/LQYRYPAV"],"itemData":{"id":6100,"type":"article-journal","abstract":"OBJECTIVE: A double blind, randomised, placebo controlled study to evaluate the safety and efficacy of etanercept to treat adult patients with ankylosing spondylitis (AS).\nMETHODS: Adult patients with AS at 14 European sites were randomly assigned to 25 mg injections of etanercept or placebo twice weekly for 12 weeks. The primary efficacy end point was an improvement of at least 20% in patient reported symptoms, based on the multicomponent Assessments in Ankylosing Spondylitis (ASAS) response criteria (ASAS 20). Secondary end points included ASAS 50 and ASAS 70 responses and improved scores on individual components of ASAS, the Bath Ankylosing Spondylitis Disease Activity Index (BASDAI), acute phase reactants, and spinal mobility tests. Safety was evaluated during scheduled visits.\nRESULTS: Of 84 patients enrolled, 45 received etanercept and 39 received placebo. Significantly more etanercept patients than placebo patients responded at the ASAS 20 level as early as week 2, and sustained differences were evident up to week 12. Significantly more etanercept patients reported ASAS 50 responses at all times and ASAS 70 responses at weeks 2, 4, and 8; reported lower composite and fatigue BASDAI scores; had lower acute phase reactant levels; and had improved spinal flexion. Etanercept was well tolerated. Most adverse events were mild to moderate; the only between-group difference was injection site reactions, which occurred significantly more often in etanercept patients.\nCONCLUSIONS: Etanercept is a well tolerated and effective treatment for reducing clinical symptoms and signs of AS.","container-title":"Annals of the Rheumatic Diseases","DOI":"10.1136/ard.2004.020875","ISSN":"0003-4967","issue":"12","journalAbbreviation":"Ann. Rheum. Dis.","language":"eng","note":"PMID: 15345498\nPMCID: PMC1754832","page":"1594-1600","source":"PubMed","title":"Outcomes of a multicentre randomised clinical trial of etanercept to treat ankylosing spondylitis","volume":"63","author":[{"family":"Calin","given":"A."},{"family":"Dijkmans","given":"B. a. C."},{"family":"Emery","given":"P."},{"family":"Hakala","given":"M."},{"family":"Kalden","given":"J."},{"family":"Leirisalo-Repo","given":"M."},{"family":"Mola","given":"E. M."},{"family":"Salvarani","given":"C."},{"family":"Sanmartí","given":"R."},{"family":"Sany","given":"J."},{"family":"Sibilia","given":"J."},{"family":"Sieper","given":"J."},{"family":"Linden","given":"S.","non-dropping-particle":"van der"},{"family":"Veys","given":"E."},{"family":"Appel","given":"A. M."},{"family":"Fatenejad","given":"S."}],"issued":{"date-parts":[["2004",12]]}}}],"schema":"https://github.com/citation-style-language/schema/raw/master/csl-citation.json"} </w:instrText>
            </w:r>
            <w:r>
              <w:rPr>
                <w:rFonts w:ascii="Calibri" w:eastAsia="Times New Roman" w:hAnsi="Calibri" w:cs="Calibri"/>
                <w:color w:val="000000"/>
                <w:lang w:eastAsia="fr-FR"/>
              </w:rPr>
              <w:fldChar w:fldCharType="separate"/>
            </w:r>
            <w:r w:rsidRPr="00DE381C">
              <w:rPr>
                <w:rFonts w:ascii="Calibri" w:hAnsi="Calibri" w:cs="Calibri"/>
                <w:szCs w:val="24"/>
                <w:vertAlign w:val="superscript"/>
              </w:rPr>
              <w:t>42</w:t>
            </w:r>
            <w:r>
              <w:rPr>
                <w:rFonts w:ascii="Calibri" w:eastAsia="Times New Roman" w:hAnsi="Calibri" w:cs="Calibri"/>
                <w:color w:val="000000"/>
                <w:lang w:eastAsia="fr-FR"/>
              </w:rPr>
              <w:fldChar w:fldCharType="end"/>
            </w:r>
            <w:r>
              <w:rPr>
                <w:rFonts w:ascii="Calibri" w:eastAsia="Times New Roman" w:hAnsi="Calibri" w:cs="Calibri"/>
                <w:color w:val="000000"/>
                <w:lang w:eastAsia="fr-FR"/>
              </w:rPr>
              <w:t xml:space="preserve"> </w:t>
            </w:r>
          </w:p>
        </w:tc>
        <w:tc>
          <w:tcPr>
            <w:tcW w:w="709" w:type="dxa"/>
            <w:shd w:val="clear" w:color="auto" w:fill="F2F2F2" w:themeFill="background1" w:themeFillShade="F2"/>
            <w:noWrap/>
            <w:vAlign w:val="center"/>
            <w:hideMark/>
          </w:tcPr>
          <w:p w14:paraId="6A265DF6"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2004</w:t>
            </w:r>
          </w:p>
        </w:tc>
        <w:tc>
          <w:tcPr>
            <w:tcW w:w="1559" w:type="dxa"/>
            <w:shd w:val="clear" w:color="auto" w:fill="F2F2F2" w:themeFill="background1" w:themeFillShade="F2"/>
            <w:noWrap/>
            <w:vAlign w:val="center"/>
            <w:hideMark/>
          </w:tcPr>
          <w:p w14:paraId="5CEFA359"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Etanercept</w:t>
            </w:r>
            <w:proofErr w:type="spellEnd"/>
          </w:p>
        </w:tc>
        <w:tc>
          <w:tcPr>
            <w:tcW w:w="567" w:type="dxa"/>
            <w:shd w:val="clear" w:color="auto" w:fill="F2F2F2" w:themeFill="background1" w:themeFillShade="F2"/>
            <w:noWrap/>
            <w:vAlign w:val="center"/>
            <w:hideMark/>
          </w:tcPr>
          <w:p w14:paraId="705A6645"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45</w:t>
            </w:r>
          </w:p>
        </w:tc>
        <w:tc>
          <w:tcPr>
            <w:tcW w:w="1276" w:type="dxa"/>
            <w:shd w:val="clear" w:color="auto" w:fill="F2F2F2" w:themeFill="background1" w:themeFillShade="F2"/>
            <w:noWrap/>
            <w:vAlign w:val="center"/>
            <w:hideMark/>
          </w:tcPr>
          <w:p w14:paraId="57125635"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shd w:val="clear" w:color="auto" w:fill="F2F2F2" w:themeFill="background1" w:themeFillShade="F2"/>
            <w:noWrap/>
            <w:vAlign w:val="center"/>
            <w:hideMark/>
          </w:tcPr>
          <w:p w14:paraId="758213E1"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39</w:t>
            </w:r>
          </w:p>
        </w:tc>
        <w:tc>
          <w:tcPr>
            <w:tcW w:w="2693" w:type="dxa"/>
            <w:shd w:val="clear" w:color="auto" w:fill="F2F2F2" w:themeFill="background1" w:themeFillShade="F2"/>
            <w:vAlign w:val="center"/>
            <w:hideMark/>
          </w:tcPr>
          <w:p w14:paraId="1A419CC5"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ETN 25mg 2x/</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br/>
              <w:t>Placebo</w:t>
            </w:r>
          </w:p>
        </w:tc>
        <w:tc>
          <w:tcPr>
            <w:tcW w:w="992" w:type="dxa"/>
            <w:tcBorders>
              <w:top w:val="nil"/>
              <w:left w:val="nil"/>
              <w:bottom w:val="nil"/>
              <w:right w:val="single" w:sz="8" w:space="0" w:color="auto"/>
            </w:tcBorders>
            <w:shd w:val="clear" w:color="auto" w:fill="F2F2F2" w:themeFill="background1" w:themeFillShade="F2"/>
            <w:noWrap/>
            <w:vAlign w:val="center"/>
            <w:hideMark/>
          </w:tcPr>
          <w:p w14:paraId="6227F91F"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12</w:t>
            </w:r>
          </w:p>
        </w:tc>
      </w:tr>
      <w:tr w:rsidR="00156725" w14:paraId="6FF489BB" w14:textId="77777777" w:rsidTr="00B83CF3">
        <w:trPr>
          <w:trHeight w:val="868"/>
        </w:trPr>
        <w:tc>
          <w:tcPr>
            <w:tcW w:w="1266" w:type="dxa"/>
            <w:tcBorders>
              <w:top w:val="nil"/>
              <w:left w:val="single" w:sz="8" w:space="0" w:color="auto"/>
              <w:bottom w:val="nil"/>
              <w:right w:val="nil"/>
            </w:tcBorders>
            <w:noWrap/>
            <w:vAlign w:val="center"/>
            <w:hideMark/>
          </w:tcPr>
          <w:p w14:paraId="672C5C35"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lastRenderedPageBreak/>
              <w:t xml:space="preserve">Van der </w:t>
            </w:r>
            <w:proofErr w:type="spellStart"/>
            <w:r>
              <w:rPr>
                <w:rFonts w:ascii="Calibri" w:eastAsia="Times New Roman" w:hAnsi="Calibri" w:cs="Calibri"/>
                <w:color w:val="000000"/>
                <w:lang w:eastAsia="fr-FR"/>
              </w:rPr>
              <w:t>Heijde</w:t>
            </w:r>
            <w:proofErr w:type="spellEnd"/>
            <w:r>
              <w:rPr>
                <w:rFonts w:ascii="Calibri" w:eastAsia="Times New Roman" w:hAnsi="Calibri" w:cs="Calibri"/>
                <w:color w:val="000000"/>
                <w:lang w:eastAsia="fr-FR"/>
              </w:rPr>
              <w:t xml:space="preserve"> D.</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{"citationID":"rWsLrmkv","properties":{"formattedCitation":"\\super 40\\nosupersub{}","plainCitation":"40","noteIndex":0},"citationItems":[{"id":6103,"uris":["http://zotero.org/users/5006036/items/Z65HGQXT"],"uri":["http://zotero.org/users/5006036/items/Z65HGQXT"],"itemData":{"id":6103,"type":"article-journal","abstract":"OBJECTIVE: To compare the efficacy, pharmacokinetics and safety of etanercept 50 mg once weekly with 25 mg twice weekly and placebo in patients with ankylosing spondylitis.\nMETHODS: A 12-week, double-blind, placebo-controlled study compared the effects of etanercept 50 mg once weekly, etanercept 25 mg twice weekly and placebo in 356 patients with active ankylosing spondylitis (3:3:1 randomisation, respectively). The primary end point was the proportion of patients achieving a response at week 12 based on the Assessment in Ankylosing Spondylitis Working Group criteria (ASAS 20). The pharmacokinetics of etanercept 50 mg once weekly and 25 mg twice weekly were analysed.\nRESULTS: Baseline characteristics and disease activity were similar among the three groups: etanercept 50 mg once weekly, etanercept 25 mg twice weekly and placebo. The percentage of patients discontinuing therapy was 9.0%, 9.3% and 13.7% for the three respective groups. ASAS 20 response at 12 weeks was achieved by 74.2% of patients with etanercept 50 mg once weekly and 71.3% of those with etanercept 25 mg twice weekly, both significantly higher than the percentage of patients taking placebo (37.3%, p&lt;0.001). Percentages of patients with ASAS 5/6 response (70.3%, 72.0% and 27.5%, respectively; p&lt;0.001) and those with ASAS 40 response (58.1%, 53.3% and 21.6%, respectively; p&lt;0.001) followed a similar pattern. Significant improvement (p&lt;0.05) was seen in measures of disease activity, back pain, morning stiffness and C reactive protein levels as early as 2 weeks. Serum etanercept exposure was similar between the etanercept groups. Incidence of treatment-emergent adverse events, including infections, was similar among all three groups, and no unexpected safety issues were identified.\nCONCLUSIONS: Patients with ankylosing spondylitis can expect a comparable significant improvement in clinical outcomes with similar safety when treated with etanercept 50 mg once weekly or with 25 mg twice weekly.","container-title":"Annals of the Rheumatic Diseases","DOI":"10.1136/ard.2006.056747","ISSN":"0003-4967","issue":"12","journalAbbreviation":"Ann. Rheum. Dis.","language":"eng","note":"PMID: 16968715\nPMCID: PMC1798458","page":"1572-1577","source":"PubMed","title":"Etanercept 50 mg once weekly is as effective as 25 mg twice weekly in patients with ankylosing spondylitis","volume":"65","author":[{"family":"Heijde","given":"D.","non-dropping-particle":"van der"},{"family":"Da Silva","given":"J. C."},{"family":"Dougados","given":"M."},{"family":"Geher","given":"P."},{"family":"Horst-Bruinsma","given":"I.","non-dropping-particle":"van der"},{"family":"Juanola","given":"X."},{"family":"Olivieri","given":"I."},{"family":"Raeman","given":"F."},{"family":"Settas","given":"L."},{"family":"Sieper","given":"J."},{"family":"Szechinski","given":"J."},{"family":"Walker","given":"D."},{"family":"Boussuge","given":"M.-P."},{"family":"Wajdula","given":"J. S."},{"family":"Paolozzi","given":"L."},{"family":"Fatenejad","given":"S."},{"literal":"Etanercept Study 314 Investigators"}],"issued":{"date-parts":[["2006",12]]}}}],"schema":"https://github.com/citation-style-language/schema/raw/master/csl-citation.json"} </w:instrText>
            </w:r>
            <w:r>
              <w:rPr>
                <w:rFonts w:ascii="Calibri" w:eastAsia="Times New Roman" w:hAnsi="Calibri" w:cs="Calibri"/>
                <w:color w:val="000000"/>
                <w:lang w:eastAsia="fr-FR"/>
              </w:rPr>
              <w:fldChar w:fldCharType="separate"/>
            </w:r>
            <w:r w:rsidRPr="00DE381C">
              <w:rPr>
                <w:rFonts w:ascii="Calibri" w:hAnsi="Calibri" w:cs="Calibri"/>
                <w:szCs w:val="24"/>
                <w:vertAlign w:val="superscript"/>
              </w:rPr>
              <w:t>40</w:t>
            </w:r>
            <w:r>
              <w:rPr>
                <w:rFonts w:ascii="Calibri" w:eastAsia="Times New Roman" w:hAnsi="Calibri" w:cs="Calibri"/>
                <w:color w:val="000000"/>
                <w:lang w:eastAsia="fr-FR"/>
              </w:rPr>
              <w:fldChar w:fldCharType="end"/>
            </w:r>
          </w:p>
        </w:tc>
        <w:tc>
          <w:tcPr>
            <w:tcW w:w="709" w:type="dxa"/>
            <w:noWrap/>
            <w:vAlign w:val="center"/>
            <w:hideMark/>
          </w:tcPr>
          <w:p w14:paraId="2BDA4328"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2006</w:t>
            </w:r>
          </w:p>
        </w:tc>
        <w:tc>
          <w:tcPr>
            <w:tcW w:w="1559" w:type="dxa"/>
            <w:noWrap/>
            <w:vAlign w:val="center"/>
            <w:hideMark/>
          </w:tcPr>
          <w:p w14:paraId="6F4F3091"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Etanercept</w:t>
            </w:r>
            <w:proofErr w:type="spellEnd"/>
          </w:p>
        </w:tc>
        <w:tc>
          <w:tcPr>
            <w:tcW w:w="567" w:type="dxa"/>
            <w:noWrap/>
            <w:vAlign w:val="center"/>
            <w:hideMark/>
          </w:tcPr>
          <w:p w14:paraId="4C071F1D"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305</w:t>
            </w:r>
          </w:p>
        </w:tc>
        <w:tc>
          <w:tcPr>
            <w:tcW w:w="1276" w:type="dxa"/>
            <w:noWrap/>
            <w:vAlign w:val="center"/>
            <w:hideMark/>
          </w:tcPr>
          <w:p w14:paraId="48417FDD"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noWrap/>
            <w:vAlign w:val="center"/>
            <w:hideMark/>
          </w:tcPr>
          <w:p w14:paraId="13D32372"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51</w:t>
            </w:r>
          </w:p>
        </w:tc>
        <w:tc>
          <w:tcPr>
            <w:tcW w:w="2693" w:type="dxa"/>
            <w:vAlign w:val="center"/>
            <w:hideMark/>
          </w:tcPr>
          <w:p w14:paraId="26037DF2" w14:textId="77777777" w:rsidR="00156725" w:rsidRPr="003A7BA3" w:rsidRDefault="00156725" w:rsidP="00B83CF3">
            <w:pPr>
              <w:spacing w:after="0" w:line="240" w:lineRule="auto"/>
              <w:rPr>
                <w:rFonts w:ascii="Calibri" w:eastAsia="Times New Roman" w:hAnsi="Calibri" w:cs="Calibri"/>
                <w:color w:val="000000"/>
                <w:lang w:eastAsia="fr-FR"/>
              </w:rPr>
            </w:pPr>
            <w:r w:rsidRPr="003A7BA3">
              <w:rPr>
                <w:rFonts w:ascii="Calibri" w:eastAsia="Times New Roman" w:hAnsi="Calibri" w:cs="Calibri"/>
                <w:color w:val="000000"/>
                <w:lang w:eastAsia="fr-FR"/>
              </w:rPr>
              <w:t>ETN 50mg/</w:t>
            </w:r>
            <w:proofErr w:type="spellStart"/>
            <w:r w:rsidRPr="003A7BA3">
              <w:rPr>
                <w:rFonts w:ascii="Calibri" w:eastAsia="Times New Roman" w:hAnsi="Calibri" w:cs="Calibri"/>
                <w:color w:val="000000"/>
                <w:lang w:eastAsia="fr-FR"/>
              </w:rPr>
              <w:t>wk</w:t>
            </w:r>
            <w:proofErr w:type="spellEnd"/>
            <w:r w:rsidRPr="003A7BA3">
              <w:rPr>
                <w:rFonts w:ascii="Calibri" w:eastAsia="Times New Roman" w:hAnsi="Calibri" w:cs="Calibri"/>
                <w:color w:val="000000"/>
                <w:lang w:eastAsia="fr-FR"/>
              </w:rPr>
              <w:br/>
              <w:t>ETN 25mg/</w:t>
            </w:r>
            <w:proofErr w:type="spellStart"/>
            <w:r w:rsidRPr="003A7BA3">
              <w:rPr>
                <w:rFonts w:ascii="Calibri" w:eastAsia="Times New Roman" w:hAnsi="Calibri" w:cs="Calibri"/>
                <w:color w:val="000000"/>
                <w:lang w:eastAsia="fr-FR"/>
              </w:rPr>
              <w:t>wk</w:t>
            </w:r>
            <w:proofErr w:type="spellEnd"/>
            <w:r w:rsidRPr="003A7BA3">
              <w:rPr>
                <w:rFonts w:ascii="Calibri" w:eastAsia="Times New Roman" w:hAnsi="Calibri" w:cs="Calibri"/>
                <w:color w:val="000000"/>
                <w:lang w:eastAsia="fr-FR"/>
              </w:rPr>
              <w:br/>
              <w:t>Placebo</w:t>
            </w:r>
          </w:p>
        </w:tc>
        <w:tc>
          <w:tcPr>
            <w:tcW w:w="992" w:type="dxa"/>
            <w:tcBorders>
              <w:top w:val="nil"/>
              <w:left w:val="nil"/>
              <w:bottom w:val="nil"/>
              <w:right w:val="single" w:sz="8" w:space="0" w:color="auto"/>
            </w:tcBorders>
            <w:noWrap/>
            <w:vAlign w:val="center"/>
            <w:hideMark/>
          </w:tcPr>
          <w:p w14:paraId="6F0362DC"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12</w:t>
            </w:r>
          </w:p>
        </w:tc>
      </w:tr>
      <w:tr w:rsidR="00156725" w14:paraId="303635AB" w14:textId="77777777" w:rsidTr="00B83CF3">
        <w:trPr>
          <w:trHeight w:val="578"/>
        </w:trPr>
        <w:tc>
          <w:tcPr>
            <w:tcW w:w="1266" w:type="dxa"/>
            <w:tcBorders>
              <w:top w:val="nil"/>
              <w:left w:val="single" w:sz="8" w:space="0" w:color="auto"/>
              <w:bottom w:val="nil"/>
              <w:right w:val="nil"/>
            </w:tcBorders>
            <w:shd w:val="clear" w:color="auto" w:fill="F2F2F2" w:themeFill="background1" w:themeFillShade="F2"/>
            <w:noWrap/>
            <w:vAlign w:val="center"/>
            <w:hideMark/>
          </w:tcPr>
          <w:p w14:paraId="1354B5DC" w14:textId="77777777" w:rsidR="00156725" w:rsidRDefault="00156725" w:rsidP="00B83CF3">
            <w:pPr>
              <w:spacing w:after="0" w:line="240" w:lineRule="auto"/>
              <w:rPr>
                <w:rFonts w:ascii="Calibri" w:eastAsia="Times New Roman" w:hAnsi="Calibri" w:cs="Calibri"/>
                <w:color w:val="000000"/>
                <w:lang w:eastAsia="fr-FR"/>
              </w:rPr>
            </w:pPr>
            <w:proofErr w:type="spellStart"/>
            <w:r>
              <w:rPr>
                <w:rFonts w:ascii="Calibri" w:eastAsia="Times New Roman" w:hAnsi="Calibri" w:cs="Calibri"/>
                <w:color w:val="000000"/>
                <w:lang w:eastAsia="fr-FR"/>
              </w:rPr>
              <w:t>Barckham</w:t>
            </w:r>
            <w:proofErr w:type="spellEnd"/>
            <w:r>
              <w:rPr>
                <w:rFonts w:ascii="Calibri" w:eastAsia="Times New Roman" w:hAnsi="Calibri" w:cs="Calibri"/>
                <w:color w:val="000000"/>
                <w:lang w:eastAsia="fr-FR"/>
              </w:rPr>
              <w:t xml:space="preserve"> N.</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{"citationID":"pxbcLucW","properties":{"formattedCitation":"\\super 38\\nosupersub{}","plainCitation":"38","noteIndex":0},"citationItems":[{"id":6116,"uris":["http://zotero.org/users/5006036/items/7ZKDJJNL"],"uri":["http://zotero.org/users/5006036/items/7ZKDJJNL"],"itemData":{"id":6116,"type":"article-journal","abstract":"OBJECTIVES: Etanercept has been shown to be rapidly effective in suppressing disease activity in ankylosing spondylitis (AS). The aim of this study was to determine whether etanercept improves work instability as measured by the Ankylosing Spondylitis Work Instability Scale (AS-WIS).\nMETHOD: Forty patients with active AS who were in work but were work unstable were recruited. Patients were randomised to receive 25 mg etanercept or placebo twice weekly for 12 weeks. The primary outcome was change in AS-WIS at week 12. The AS-WIS is a patient-derived outcome measure which allows stratification of the risk of job loss. Secondary outcomes included clinical outcomes and gait parameters.\nRESULTS: The mean improvement in AS-WIS score at week 12 was 2.75 in the etanercept group and 0.68 in the placebo group (p=0.125). The risk of job loss decreased for 11 (55%) of the etanercept group compared with 7 (35%) in the placebo group. Conversely, the risk of job loss increased in 3 (15%) of the placebo group compared with 1 (5%) in the etanercept group. There was no statistically significant difference between treatment groups in change in WIS categories (Mann-Whitney U test=0.153, p=0.160). Significant improvement with etanercept was seen at week 12 in clinical outcomes and gait parameters. Etanercept was well tolerated, with no dropouts due to adverse events.\nCONCLUSION: This small study confirms the efficacy of etanercept on clinical outcome measures in patients with AS and suggests an effect on work instability which needs to be replicated in a larger controlled study.","container-title":"Annals of the Rheumatic Diseases","DOI":"10.1136/ard.2009.121327","ISSN":"1468-2060","issue":"11","journalAbbreviation":"Ann. Rheum. Dis.","language":"eng","note":"PMID: 20511615","page":"1926-1928","source":"PubMed","title":"Double-blind placebo-controlled trial of etanercept in the prevention of work disability in ankylosing spondylitis","volume":"69","author":[{"family":"Barkham","given":"Nick"},{"family":"Coates","given":"Laura C."},{"family":"Keen","given":"Helen"},{"family":"Hensor","given":"Elizabeth"},{"family":"Fraser","given":"Alexander"},{"family":"Redmond","given":"Anthony"},{"family":"Cawkwell","given":"Lorna"},{"family":"Emery","given":"Paul"}],"issued":{"date-parts":[["2010",11]]}}}],"schema":"https://github.com/citation-style-language/schema/raw/master/csl-citation.json"} </w:instrText>
            </w:r>
            <w:r>
              <w:rPr>
                <w:rFonts w:ascii="Calibri" w:eastAsia="Times New Roman" w:hAnsi="Calibri" w:cs="Calibri"/>
                <w:color w:val="000000"/>
                <w:lang w:eastAsia="fr-FR"/>
              </w:rPr>
              <w:fldChar w:fldCharType="separate"/>
            </w:r>
            <w:r w:rsidRPr="00DE381C">
              <w:rPr>
                <w:rFonts w:ascii="Calibri" w:hAnsi="Calibri" w:cs="Calibri"/>
                <w:szCs w:val="24"/>
                <w:vertAlign w:val="superscript"/>
              </w:rPr>
              <w:t>38</w:t>
            </w:r>
            <w:r>
              <w:rPr>
                <w:rFonts w:ascii="Calibri" w:eastAsia="Times New Roman" w:hAnsi="Calibri" w:cs="Calibri"/>
                <w:color w:val="000000"/>
                <w:lang w:eastAsia="fr-FR"/>
              </w:rPr>
              <w:fldChar w:fldCharType="end"/>
            </w:r>
          </w:p>
        </w:tc>
        <w:tc>
          <w:tcPr>
            <w:tcW w:w="709" w:type="dxa"/>
            <w:shd w:val="clear" w:color="auto" w:fill="F2F2F2" w:themeFill="background1" w:themeFillShade="F2"/>
            <w:noWrap/>
            <w:vAlign w:val="center"/>
            <w:hideMark/>
          </w:tcPr>
          <w:p w14:paraId="33D17431"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2010</w:t>
            </w:r>
          </w:p>
        </w:tc>
        <w:tc>
          <w:tcPr>
            <w:tcW w:w="1559" w:type="dxa"/>
            <w:shd w:val="clear" w:color="auto" w:fill="F2F2F2" w:themeFill="background1" w:themeFillShade="F2"/>
            <w:noWrap/>
            <w:vAlign w:val="center"/>
            <w:hideMark/>
          </w:tcPr>
          <w:p w14:paraId="05634948"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Etanercept</w:t>
            </w:r>
            <w:proofErr w:type="spellEnd"/>
          </w:p>
        </w:tc>
        <w:tc>
          <w:tcPr>
            <w:tcW w:w="567" w:type="dxa"/>
            <w:shd w:val="clear" w:color="auto" w:fill="F2F2F2" w:themeFill="background1" w:themeFillShade="F2"/>
            <w:noWrap/>
            <w:vAlign w:val="center"/>
            <w:hideMark/>
          </w:tcPr>
          <w:p w14:paraId="4CFEFB97"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15</w:t>
            </w:r>
          </w:p>
        </w:tc>
        <w:tc>
          <w:tcPr>
            <w:tcW w:w="1276" w:type="dxa"/>
            <w:shd w:val="clear" w:color="auto" w:fill="F2F2F2" w:themeFill="background1" w:themeFillShade="F2"/>
            <w:noWrap/>
            <w:vAlign w:val="center"/>
            <w:hideMark/>
          </w:tcPr>
          <w:p w14:paraId="6D069EAD"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shd w:val="clear" w:color="auto" w:fill="F2F2F2" w:themeFill="background1" w:themeFillShade="F2"/>
            <w:noWrap/>
            <w:vAlign w:val="center"/>
            <w:hideMark/>
          </w:tcPr>
          <w:p w14:paraId="32025659"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17</w:t>
            </w:r>
          </w:p>
        </w:tc>
        <w:tc>
          <w:tcPr>
            <w:tcW w:w="2693" w:type="dxa"/>
            <w:shd w:val="clear" w:color="auto" w:fill="F2F2F2" w:themeFill="background1" w:themeFillShade="F2"/>
            <w:vAlign w:val="center"/>
            <w:hideMark/>
          </w:tcPr>
          <w:p w14:paraId="1EB765C8"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ETN 25mg 2x/</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br/>
              <w:t>Placebo</w:t>
            </w:r>
          </w:p>
        </w:tc>
        <w:tc>
          <w:tcPr>
            <w:tcW w:w="992" w:type="dxa"/>
            <w:tcBorders>
              <w:top w:val="nil"/>
              <w:left w:val="nil"/>
              <w:bottom w:val="nil"/>
              <w:right w:val="single" w:sz="8" w:space="0" w:color="auto"/>
            </w:tcBorders>
            <w:shd w:val="clear" w:color="auto" w:fill="F2F2F2" w:themeFill="background1" w:themeFillShade="F2"/>
            <w:noWrap/>
            <w:vAlign w:val="center"/>
            <w:hideMark/>
          </w:tcPr>
          <w:p w14:paraId="7CC86E23"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12</w:t>
            </w:r>
          </w:p>
        </w:tc>
      </w:tr>
      <w:tr w:rsidR="00156725" w14:paraId="304D95FA" w14:textId="77777777" w:rsidTr="00B83CF3">
        <w:trPr>
          <w:trHeight w:val="578"/>
        </w:trPr>
        <w:tc>
          <w:tcPr>
            <w:tcW w:w="1266" w:type="dxa"/>
            <w:tcBorders>
              <w:top w:val="nil"/>
              <w:left w:val="single" w:sz="8" w:space="0" w:color="auto"/>
              <w:bottom w:val="nil"/>
              <w:right w:val="nil"/>
            </w:tcBorders>
            <w:noWrap/>
            <w:vAlign w:val="center"/>
            <w:hideMark/>
          </w:tcPr>
          <w:p w14:paraId="2AB5ABD4" w14:textId="77777777" w:rsidR="00156725" w:rsidRDefault="00156725" w:rsidP="00B83CF3">
            <w:pPr>
              <w:spacing w:after="0" w:line="240" w:lineRule="auto"/>
              <w:rPr>
                <w:rFonts w:ascii="Calibri" w:eastAsia="Times New Roman" w:hAnsi="Calibri" w:cs="Calibri"/>
                <w:color w:val="000000"/>
                <w:lang w:eastAsia="fr-FR"/>
              </w:rPr>
            </w:pPr>
            <w:proofErr w:type="spellStart"/>
            <w:r>
              <w:rPr>
                <w:rFonts w:ascii="Calibri" w:eastAsia="Times New Roman" w:hAnsi="Calibri" w:cs="Calibri"/>
                <w:color w:val="000000"/>
                <w:lang w:eastAsia="fr-FR"/>
              </w:rPr>
              <w:t>Dougados</w:t>
            </w:r>
            <w:proofErr w:type="spellEnd"/>
            <w:r>
              <w:rPr>
                <w:rFonts w:ascii="Calibri" w:eastAsia="Times New Roman" w:hAnsi="Calibri" w:cs="Calibri"/>
                <w:color w:val="000000"/>
                <w:lang w:eastAsia="fr-FR"/>
              </w:rPr>
              <w:t xml:space="preserve"> M.</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{"citationID":"miLnH6mw","properties":{"formattedCitation":"\\super 39\\nosupersub{}","plainCitation":"39","noteIndex":0},"citationItems":[{"id":6108,"uris":["http://zotero.org/users/5006036/items/QSVMPG8U"],"uri":["http://zotero.org/users/5006036/items/QSVMPG8U"],"itemData":{"id":6108,"type":"article-journal","abstract":"OBJECTIVES: Patients with advanced ankylosing spondylitis (AS) experience disability because of reduced spinal mobility and pulmonary function impairment. This placebo-controlled study evaluated the effect of etanercept (ETN) in patients with advanced AS.\nMETHODS: A multicentre randomised double-blind placebo-controlled trial of 12 weeks' duration was performed. Patients had definite (modified New York criteria), active (Bath AS Disease Activity Index (BASDAI) ≥40), severe (radiological intervertebral bridges) AS refractory to non-steroidal anti-inflammatory drugs and were antitumour necrosis factor naive. They were treated with ETN 50 mg once weekly or identical placebo (PBO).\nRESULTS: Of the 95 patients screened, 82 were randomised to receive ETN (n=39) or PBO (n=43). At baseline the disease was active (mean BASDAI 61.0±13.4, C reactive protein (CRP) 20.7±25.5 mg/l) and severe (mean Bath AS Metrology Index (BASMI) 5.7±1.3, mSASSS 36.5±20.5); forced pulmonary vital capacity (FVC) was 3.3±0.7 l. Improvement in BASDAI (normalised net incremental area under the curve between baseline and week 12, primary end point) was significantly greater in the ETN group than in the PBO group (-19.8±16.5 vs -11.0±16.4, p=0.019). Moreover, at week 12, ETN gave better results than PBO for the BASDAI (-26.4±19.7 vs -14.4±19.7; p=0.008), total back pain (-29.2±24.0 vs -14.9±24.0; p=0.010), BASFI (-21.7±17.6 vs -10.1±17.6; p=0.004), BASMI (-0.6±0.6 vs -0.2±0.6; p=0.011), CRP level (-15.7±14.2 vs -1.3±14.2; p&lt;0.001) and FVC (+160±280 ml vs -20±280 ml; p=0.006).\nCONCLUSIONS: ETN has short-term efficacy for patients with advanced AS, as was previously reported for less advanced disease. The efficacy is observed for the main symptoms (pain) and on markers of inflammation (CRP), as well as disease severity in terms of spinal mobility and pulmonary function.","container-title":"Annals of the Rheumatic Diseases","DOI":"10.1136/ard.2010.139261","ISSN":"1468-2060","issue":"5","journalAbbreviation":"Ann. Rheum. Dis.","language":"eng","note":"PMID: 21317434\nPMCID: PMC3070274","page":"799-804","source":"PubMed","title":"Efficacy of etanercept on rheumatic signs and pulmonary function tests in advanced ankylosing spondylitis: results of a randomised double-blind placebo-controlled study (SPINE)","title-short":"Efficacy of etanercept on rheumatic signs and pulmonary function tests in advanced ankylosing spondylitis","volume":"70","author":[{"family":"Dougados","given":"M."},{"family":"Braun","given":"J."},{"family":"Szanto","given":"S."},{"family":"Combe","given":"B."},{"family":"Elbaz","given":"M."},{"family":"Geher","given":"P."},{"family":"Thabut","given":"G."},{"family":"Leblanc","given":"V."},{"family":"Logeart","given":"I."}],"issued":{"date-parts":[["2011",5]]}}}],"schema":"https://github.com/citation-style-language/schema/raw/master/csl-citation.json"} </w:instrText>
            </w:r>
            <w:r>
              <w:rPr>
                <w:rFonts w:ascii="Calibri" w:eastAsia="Times New Roman" w:hAnsi="Calibri" w:cs="Calibri"/>
                <w:color w:val="000000"/>
                <w:lang w:eastAsia="fr-FR"/>
              </w:rPr>
              <w:fldChar w:fldCharType="separate"/>
            </w:r>
            <w:r w:rsidRPr="00DE381C">
              <w:rPr>
                <w:rFonts w:ascii="Calibri" w:hAnsi="Calibri" w:cs="Calibri"/>
                <w:szCs w:val="24"/>
                <w:vertAlign w:val="superscript"/>
              </w:rPr>
              <w:t>39</w:t>
            </w:r>
            <w:r>
              <w:rPr>
                <w:rFonts w:ascii="Calibri" w:eastAsia="Times New Roman" w:hAnsi="Calibri" w:cs="Calibri"/>
                <w:color w:val="000000"/>
                <w:lang w:eastAsia="fr-FR"/>
              </w:rPr>
              <w:fldChar w:fldCharType="end"/>
            </w:r>
            <w:r>
              <w:rPr>
                <w:rFonts w:ascii="Calibri" w:eastAsia="Times New Roman" w:hAnsi="Calibri" w:cs="Calibri"/>
                <w:color w:val="000000"/>
                <w:lang w:eastAsia="fr-FR"/>
              </w:rPr>
              <w:t xml:space="preserve"> </w:t>
            </w:r>
          </w:p>
        </w:tc>
        <w:tc>
          <w:tcPr>
            <w:tcW w:w="709" w:type="dxa"/>
            <w:noWrap/>
            <w:vAlign w:val="center"/>
            <w:hideMark/>
          </w:tcPr>
          <w:p w14:paraId="168D9B2A"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2011</w:t>
            </w:r>
          </w:p>
        </w:tc>
        <w:tc>
          <w:tcPr>
            <w:tcW w:w="1559" w:type="dxa"/>
            <w:noWrap/>
            <w:vAlign w:val="center"/>
            <w:hideMark/>
          </w:tcPr>
          <w:p w14:paraId="5186681C"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Etanercept</w:t>
            </w:r>
            <w:proofErr w:type="spellEnd"/>
          </w:p>
        </w:tc>
        <w:tc>
          <w:tcPr>
            <w:tcW w:w="567" w:type="dxa"/>
            <w:noWrap/>
            <w:vAlign w:val="center"/>
            <w:hideMark/>
          </w:tcPr>
          <w:p w14:paraId="2C54C973"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39</w:t>
            </w:r>
          </w:p>
        </w:tc>
        <w:tc>
          <w:tcPr>
            <w:tcW w:w="1276" w:type="dxa"/>
            <w:noWrap/>
            <w:vAlign w:val="center"/>
            <w:hideMark/>
          </w:tcPr>
          <w:p w14:paraId="4BC0FAFF"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noWrap/>
            <w:vAlign w:val="center"/>
            <w:hideMark/>
          </w:tcPr>
          <w:p w14:paraId="4569E7A5"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43</w:t>
            </w:r>
          </w:p>
        </w:tc>
        <w:tc>
          <w:tcPr>
            <w:tcW w:w="2693" w:type="dxa"/>
            <w:vAlign w:val="center"/>
            <w:hideMark/>
          </w:tcPr>
          <w:p w14:paraId="0AE88B12"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ETN 50mg/</w:t>
            </w:r>
            <w:proofErr w:type="spellStart"/>
            <w:r>
              <w:rPr>
                <w:rFonts w:ascii="Calibri" w:eastAsia="Times New Roman" w:hAnsi="Calibri" w:cs="Calibri"/>
                <w:color w:val="000000"/>
                <w:lang w:eastAsia="fr-FR"/>
              </w:rPr>
              <w:t>wk</w:t>
            </w:r>
            <w:proofErr w:type="spellEnd"/>
            <w:r>
              <w:rPr>
                <w:rFonts w:ascii="Calibri" w:eastAsia="Times New Roman" w:hAnsi="Calibri" w:cs="Calibri"/>
                <w:color w:val="000000"/>
                <w:lang w:eastAsia="fr-FR"/>
              </w:rPr>
              <w:br/>
              <w:t>Placebo</w:t>
            </w:r>
          </w:p>
        </w:tc>
        <w:tc>
          <w:tcPr>
            <w:tcW w:w="992" w:type="dxa"/>
            <w:tcBorders>
              <w:top w:val="nil"/>
              <w:left w:val="nil"/>
              <w:bottom w:val="nil"/>
              <w:right w:val="single" w:sz="8" w:space="0" w:color="auto"/>
            </w:tcBorders>
            <w:noWrap/>
            <w:vAlign w:val="center"/>
            <w:hideMark/>
          </w:tcPr>
          <w:p w14:paraId="162BFB1F"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12</w:t>
            </w:r>
          </w:p>
        </w:tc>
      </w:tr>
      <w:tr w:rsidR="00156725" w14:paraId="23BA7D76" w14:textId="77777777" w:rsidTr="00B83CF3">
        <w:trPr>
          <w:trHeight w:val="578"/>
        </w:trPr>
        <w:tc>
          <w:tcPr>
            <w:tcW w:w="1266" w:type="dxa"/>
            <w:tcBorders>
              <w:top w:val="nil"/>
              <w:left w:val="single" w:sz="8" w:space="0" w:color="auto"/>
              <w:bottom w:val="nil"/>
              <w:right w:val="nil"/>
            </w:tcBorders>
            <w:shd w:val="clear" w:color="auto" w:fill="F2F2F2" w:themeFill="background1" w:themeFillShade="F2"/>
            <w:noWrap/>
            <w:vAlign w:val="center"/>
            <w:hideMark/>
          </w:tcPr>
          <w:p w14:paraId="2B7F56C3" w14:textId="77777777" w:rsidR="00156725" w:rsidRDefault="00156725" w:rsidP="00B83CF3">
            <w:pPr>
              <w:spacing w:after="0" w:line="240" w:lineRule="auto"/>
              <w:rPr>
                <w:rFonts w:ascii="Calibri" w:eastAsia="Times New Roman" w:hAnsi="Calibri" w:cs="Calibri"/>
                <w:color w:val="000000"/>
                <w:lang w:eastAsia="fr-FR"/>
              </w:rPr>
            </w:pPr>
            <w:proofErr w:type="spellStart"/>
            <w:r>
              <w:rPr>
                <w:rFonts w:ascii="Calibri" w:eastAsia="Times New Roman" w:hAnsi="Calibri" w:cs="Calibri"/>
                <w:color w:val="000000"/>
                <w:lang w:eastAsia="fr-FR"/>
              </w:rPr>
              <w:t>Dougados</w:t>
            </w:r>
            <w:proofErr w:type="spellEnd"/>
            <w:r>
              <w:rPr>
                <w:rFonts w:ascii="Calibri" w:eastAsia="Times New Roman" w:hAnsi="Calibri" w:cs="Calibri"/>
                <w:color w:val="000000"/>
                <w:lang w:eastAsia="fr-FR"/>
              </w:rPr>
              <w:t xml:space="preserve"> M.</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{"citationID":"IFqpcMnN","properties":{"formattedCitation":"\\super 41\\nosupersub{}","plainCitation":"41","noteIndex":0},"citationItems":[{"id":6111,"uris":["http://zotero.org/users/5006036/items/RX5CVL4R"],"uri":["http://zotero.org/users/5006036/items/RX5CVL4R"],"itemData":{"id":6111,"type":"article-journal","abstract":"INTRODUCTION: In clinical practice, nonsteroidal anti-inflammatory drugs (NSAIDs) are commonly discontinued after response to biologic therapy is achieved in patients with axial spondyloarthritis (axSpA), but the impact of NSAID discontinuation has not been assessed in prospective controlled trials. The aim of the SPARSE study was to evaluate the effects of the anti-tumor necrosis factor agent etanercept on NSAID intake and conventional clinical outcomes in axSpA patients.\nMETHODS: In the double-blind, placebo-controlled period, patients with active (mini Bath Ankylosing Spondylitis Disease Activity Index (BASDAI) ≥4) axSpA despite optimal NSAID intake were randomized to receive etanercept 50 mg or placebo once weekly for 8 weeks. All patients were advised to taper/discontinue their NSAID intake during the treatment period. NSAID intake was self-reported by diary and Assessment of SpondyloArthritis International Society (ASAS)-NSAID scores calculated based on ASAS recommendations. The primary endpoint was change from baseline to week 8 in ASAS-NSAID score (analysis of covariance).\nRESULTS: In 90 randomized patients at baseline, mean age (standard deviation) was 38.9 (11.8) years; disease duration, 5.7 (8.1) years; 59/90 (66%) were human leukocyte antigen-B27 positive; 51/90 (57%) had radiographic sacroiliitis; and 45/90 (50%) were magnetic resonance imaging sacroiliitis-positive. Mean ASAS-NSAID scores were similar between etanercept and placebo groups at baseline (98.2 (39.0) versus 93.0 (23.4)), as were BASDAI (6.0 (1.7) versus 5.9 (1.5)), and Bath Ankylosing Spondylitis Functional Index (5.2 (2.1) versus 5.1 (2.2)). Mean changes (SE) in ASAS-NSAID score from baseline to week 8 were -63.9 (6.1) and -36.6 (5.9) in the etanercept and placebo groups (between-group difference, -27.3; P = 0.002). Significantly higher proportions of patients receiving etanercept versus placebo had an ASAS-NSAID score &lt;10 (46% versus 17%; P = 0.008) and ASAS-NSAID score of 0 (41% versus 14%; P = 0.013) at this time point. Significantly more patients in the etanercept versus placebo group achieved BASDAI50 (39% versus 18%; P = 0.032) and ASAS40 (44% versus 21%; P = 0.028) at week 8.\nCONCLUSIONS: In patients with axSpA, etanercept was associated with clinically relevant NSAID-sparing effects in addition to significant improvements in conventional clinical outcomes.\nTRIAL REGISTRATION: ClinicalTrials.gov NCT01298531. Registered 16 February 2011.","container-title":"Arthritis Research &amp; Therapy","DOI":"10.1186/s13075-014-0481-5","ISSN":"1478-6362","issue":"6","journalAbbreviation":"Arthritis Res. Ther.","language":"eng","note":"PMID: 25428762\nPMCID: PMC4282738","page":"481","source":"PubMed","title":"Evaluation of the nonsteroidal anti-inflammatory drug-sparing effect of etanercept in axial spondyloarthritis: results of the multicenter, randomized, double-blind, placebo-controlled SPARSE study","title-short":"Evaluation of the nonsteroidal anti-inflammatory drug-sparing effect of etanercept in axial spondyloarthritis","volume":"16","author":[{"family":"Dougados","given":"Maxime"},{"family":"Wood","given":"Emily"},{"family":"Combe","given":"Bernard"},{"family":"Schaeverbeke","given":"Thierry"},{"family":"Miceli-Richard","given":"Corinne"},{"family":"Berenbaum","given":"Francis"},{"family":"Koppiker","given":"Nandan"},{"family":"Dubanchet","given":"Arnaud"},{"family":"Logeart","given":"Isabelle"}],"issued":{"date-parts":[["2014",11,27]]}}}],"schema":"https://github.com/citation-style-language/schema/raw/master/csl-citation.json"} </w:instrText>
            </w:r>
            <w:r>
              <w:rPr>
                <w:rFonts w:ascii="Calibri" w:eastAsia="Times New Roman" w:hAnsi="Calibri" w:cs="Calibri"/>
                <w:color w:val="000000"/>
                <w:lang w:eastAsia="fr-FR"/>
              </w:rPr>
              <w:fldChar w:fldCharType="separate"/>
            </w:r>
            <w:r w:rsidRPr="00DE381C">
              <w:rPr>
                <w:rFonts w:ascii="Calibri" w:hAnsi="Calibri" w:cs="Calibri"/>
                <w:szCs w:val="24"/>
                <w:vertAlign w:val="superscript"/>
              </w:rPr>
              <w:t>41</w:t>
            </w:r>
            <w:r>
              <w:rPr>
                <w:rFonts w:ascii="Calibri" w:eastAsia="Times New Roman" w:hAnsi="Calibri" w:cs="Calibri"/>
                <w:color w:val="000000"/>
                <w:lang w:eastAsia="fr-FR"/>
              </w:rPr>
              <w:fldChar w:fldCharType="end"/>
            </w:r>
            <w:r>
              <w:rPr>
                <w:rFonts w:ascii="Calibri" w:eastAsia="Times New Roman" w:hAnsi="Calibri" w:cs="Calibri"/>
                <w:color w:val="000000"/>
                <w:lang w:eastAsia="fr-FR"/>
              </w:rPr>
              <w:t xml:space="preserve"> </w:t>
            </w:r>
          </w:p>
        </w:tc>
        <w:tc>
          <w:tcPr>
            <w:tcW w:w="709" w:type="dxa"/>
            <w:shd w:val="clear" w:color="auto" w:fill="F2F2F2" w:themeFill="background1" w:themeFillShade="F2"/>
            <w:noWrap/>
            <w:vAlign w:val="center"/>
            <w:hideMark/>
          </w:tcPr>
          <w:p w14:paraId="4F30407E"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2014</w:t>
            </w:r>
          </w:p>
        </w:tc>
        <w:tc>
          <w:tcPr>
            <w:tcW w:w="1559" w:type="dxa"/>
            <w:shd w:val="clear" w:color="auto" w:fill="F2F2F2" w:themeFill="background1" w:themeFillShade="F2"/>
            <w:noWrap/>
            <w:vAlign w:val="center"/>
            <w:hideMark/>
          </w:tcPr>
          <w:p w14:paraId="092710D2"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Etanercept</w:t>
            </w:r>
            <w:proofErr w:type="spellEnd"/>
          </w:p>
        </w:tc>
        <w:tc>
          <w:tcPr>
            <w:tcW w:w="567" w:type="dxa"/>
            <w:shd w:val="clear" w:color="auto" w:fill="F2F2F2" w:themeFill="background1" w:themeFillShade="F2"/>
            <w:noWrap/>
            <w:vAlign w:val="center"/>
            <w:hideMark/>
          </w:tcPr>
          <w:p w14:paraId="3ABD031C"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42</w:t>
            </w:r>
          </w:p>
        </w:tc>
        <w:tc>
          <w:tcPr>
            <w:tcW w:w="1276" w:type="dxa"/>
            <w:shd w:val="clear" w:color="auto" w:fill="F2F2F2" w:themeFill="background1" w:themeFillShade="F2"/>
            <w:noWrap/>
            <w:vAlign w:val="center"/>
            <w:hideMark/>
          </w:tcPr>
          <w:p w14:paraId="002D1335"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shd w:val="clear" w:color="auto" w:fill="F2F2F2" w:themeFill="background1" w:themeFillShade="F2"/>
            <w:noWrap/>
            <w:vAlign w:val="center"/>
            <w:hideMark/>
          </w:tcPr>
          <w:p w14:paraId="5C46770C"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48</w:t>
            </w:r>
          </w:p>
        </w:tc>
        <w:tc>
          <w:tcPr>
            <w:tcW w:w="2693" w:type="dxa"/>
            <w:shd w:val="clear" w:color="auto" w:fill="F2F2F2" w:themeFill="background1" w:themeFillShade="F2"/>
            <w:vAlign w:val="center"/>
            <w:hideMark/>
          </w:tcPr>
          <w:p w14:paraId="1651FA4E"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ETN 50mg/</w:t>
            </w:r>
            <w:proofErr w:type="spellStart"/>
            <w:r>
              <w:rPr>
                <w:rFonts w:ascii="Calibri" w:eastAsia="Times New Roman" w:hAnsi="Calibri" w:cs="Calibri"/>
                <w:color w:val="000000"/>
                <w:lang w:eastAsia="fr-FR"/>
              </w:rPr>
              <w:t>wk</w:t>
            </w:r>
            <w:proofErr w:type="spellEnd"/>
            <w:r>
              <w:rPr>
                <w:rFonts w:ascii="Calibri" w:eastAsia="Times New Roman" w:hAnsi="Calibri" w:cs="Calibri"/>
                <w:color w:val="000000"/>
                <w:lang w:eastAsia="fr-FR"/>
              </w:rPr>
              <w:br/>
              <w:t>Placebo</w:t>
            </w:r>
          </w:p>
        </w:tc>
        <w:tc>
          <w:tcPr>
            <w:tcW w:w="992" w:type="dxa"/>
            <w:tcBorders>
              <w:top w:val="nil"/>
              <w:left w:val="nil"/>
              <w:bottom w:val="nil"/>
              <w:right w:val="single" w:sz="8" w:space="0" w:color="auto"/>
            </w:tcBorders>
            <w:shd w:val="clear" w:color="auto" w:fill="F2F2F2" w:themeFill="background1" w:themeFillShade="F2"/>
            <w:noWrap/>
            <w:vAlign w:val="center"/>
            <w:hideMark/>
          </w:tcPr>
          <w:p w14:paraId="61FC3642"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8</w:t>
            </w:r>
          </w:p>
        </w:tc>
      </w:tr>
      <w:tr w:rsidR="00156725" w14:paraId="4B442618" w14:textId="77777777" w:rsidTr="00B83CF3">
        <w:trPr>
          <w:trHeight w:val="578"/>
        </w:trPr>
        <w:tc>
          <w:tcPr>
            <w:tcW w:w="1266" w:type="dxa"/>
            <w:tcBorders>
              <w:top w:val="nil"/>
              <w:left w:val="single" w:sz="8" w:space="0" w:color="auto"/>
              <w:bottom w:val="single" w:sz="4" w:space="0" w:color="auto"/>
              <w:right w:val="nil"/>
            </w:tcBorders>
            <w:noWrap/>
            <w:vAlign w:val="center"/>
            <w:hideMark/>
          </w:tcPr>
          <w:p w14:paraId="446BD888" w14:textId="77777777" w:rsidR="00156725" w:rsidRDefault="00156725" w:rsidP="00B83CF3">
            <w:pPr>
              <w:spacing w:after="0" w:line="240" w:lineRule="auto"/>
              <w:rPr>
                <w:rFonts w:ascii="Calibri" w:eastAsia="Times New Roman" w:hAnsi="Calibri" w:cs="Calibri"/>
                <w:color w:val="000000"/>
                <w:lang w:eastAsia="fr-FR"/>
              </w:rPr>
            </w:pPr>
            <w:proofErr w:type="spellStart"/>
            <w:r>
              <w:rPr>
                <w:rFonts w:ascii="Calibri" w:eastAsia="Times New Roman" w:hAnsi="Calibri" w:cs="Calibri"/>
                <w:color w:val="000000"/>
                <w:lang w:eastAsia="fr-FR"/>
              </w:rPr>
              <w:t>Dougados</w:t>
            </w:r>
            <w:proofErr w:type="spellEnd"/>
            <w:r>
              <w:rPr>
                <w:rFonts w:ascii="Calibri" w:eastAsia="Times New Roman" w:hAnsi="Calibri" w:cs="Calibri"/>
                <w:color w:val="000000"/>
                <w:lang w:eastAsia="fr-FR"/>
              </w:rPr>
              <w:t xml:space="preserve"> M.</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{"citationID":"L80ImtVi","properties":{"formattedCitation":"\\super 45\\nosupersub{}","plainCitation":"45","noteIndex":0},"citationItems":[{"id":6114,"uris":["http://zotero.org/users/5006036/items/KIW5QU34"],"uri":["http://zotero.org/users/5006036/items/KIW5QU34"],"itemData":{"id":6114,"type":"article-journal","abstract":"OBJECTIVE: To assess the efficacy of etanercept in the treatment of early active nonsteroidal antiinflammatory drug (NSAID)-refractory nonradiographic axial spondyloarthritis (SpA).\nMETHODS: The study population consisted of patients who met the Assessment of SpondyloArthritis international Society (ASAS) classification criteria for axial SpA but not the modified New York radiographic criteria for ankylosing spondylitis (as assessed by a radiologist at the central trial site), had a symptom duration of &gt;3 months but &lt;5 years, had a score of ≥4 on the Bath Ankylosing Spondylitis Disease Activity Index, and had been treated unsuccessfully with ≥2 NSAIDs. Patients were randomized to receive etanercept 50 mg/week or placebo and continued background NSAID treatment for 12 weeks (double-blind study); during the subsequent open-label period, all patients received etanercept 50 mg/week. The primary study end point was meeting the ASAS criteria for 40% improvement (ASAS40) at week 12. Magnetic resonance imaging (MRI) of the sacroiliac joints and spine was performed at baseline and week 12.\nRESULTS: One hundred six patients were randomized to the etanercept group and 109 to the placebo group. Of the 215 patients, the mean ± SD age at baseline was 32.0 ± 7.8 years, 154 (72%) were HLA-B27 positive, and 174 (81%) had MRI-confirmed sacroiliitis. At 12 weeks, the proportion of patients with improvement according to the ASAS40 was significantly higher in the etanercept group than in the placebo group (34 of 105 [32%] versus 17 of 108 [16%]; P = 0.006). Patients who received etanercept exhibited a greater reduction in MRI-based scores for sacroiliac joint inflammation (-46.9% versus -10.9%; P &lt; 0.001) and spinal inflammation (-45.4% versus -33.4%; P = 0.04) compared with placebo-treated patients at week 12. Post hoc analyses suggested a possible association between higher baseline C-reactive protein levels or MRI sacroiliac joint inflammation scores and higher rates of ASAS40 response to etanercept. At week 24, patients in the placebo group who had switched to etanercept at 12 weeks exhibited improvement similar to that observed in patients who had received etanercept for 24 weeks.\nCONCLUSION: In patients with nonradiographic axial SpA, etanercept treatment was associated with rapid, significant improvement in symptomatic disease activity, function, and systemic and skeletal inflammation over 12 weeks; clinical/functional improvement was sustained over 24 weeks.","container-title":"Arthritis &amp; Rheumatology (Hoboken, N.J.)","DOI":"10.1002/art.38721","ISSN":"2326-5205","issue":"8","language":"eng","note":"PMID: 24891317","page":"2091-2102","source":"PubMed","title":"Symptomatic efficacy of etanercept and its effects on objective signs of inflammation in early nonradiographic axial spondyloarthritis: a multicenter, randomized, double-blind, placebo-controlled trial","title-short":"Symptomatic efficacy of etanercept and its effects on objective signs of inflammation in early nonradiographic axial spondyloarthritis","volume":"66","author":[{"family":"Dougados","given":"Maxime"},{"family":"Heijde","given":"Désirée","non-dropping-particle":"van der"},{"family":"Sieper","given":"Joachim"},{"family":"Braun","given":"Jürgen"},{"family":"Maksymowych","given":"Walter P."},{"family":"Citera","given":"Gustavo"},{"family":"Miceli-Richard","given":"Corinne"},{"family":"Wei","given":"James Cheng-Chung"},{"family":"Pedersen","given":"Ron"},{"family":"Bonin","given":"Randi"},{"family":"Rahman","given":"Mahboob U."},{"family":"Logeart","given":"Isabelle"},{"family":"Wajdula","given":"Joseph"},{"family":"Koenig","given":"Andrew S."},{"family":"Vlahos","given":"Bonnie"},{"family":"Alvarez","given":"Daniel"},{"family":"Bukowski","given":"Jack F."}],"issued":{"date-parts":[["2014",8]]}}}],"schema":"https://github.com/citation-style-language/schema/raw/master/csl-citation.json"} </w:instrText>
            </w:r>
            <w:r>
              <w:rPr>
                <w:rFonts w:ascii="Calibri" w:eastAsia="Times New Roman" w:hAnsi="Calibri" w:cs="Calibri"/>
                <w:color w:val="000000"/>
                <w:lang w:eastAsia="fr-FR"/>
              </w:rPr>
              <w:fldChar w:fldCharType="separate"/>
            </w:r>
            <w:r w:rsidRPr="00DE381C">
              <w:rPr>
                <w:rFonts w:ascii="Calibri" w:hAnsi="Calibri" w:cs="Calibri"/>
                <w:szCs w:val="24"/>
                <w:vertAlign w:val="superscript"/>
              </w:rPr>
              <w:t>45</w:t>
            </w:r>
            <w:r>
              <w:rPr>
                <w:rFonts w:ascii="Calibri" w:eastAsia="Times New Roman" w:hAnsi="Calibri" w:cs="Calibri"/>
                <w:color w:val="000000"/>
                <w:lang w:eastAsia="fr-FR"/>
              </w:rPr>
              <w:fldChar w:fldCharType="end"/>
            </w:r>
          </w:p>
        </w:tc>
        <w:tc>
          <w:tcPr>
            <w:tcW w:w="709" w:type="dxa"/>
            <w:tcBorders>
              <w:top w:val="nil"/>
              <w:left w:val="nil"/>
              <w:bottom w:val="single" w:sz="4" w:space="0" w:color="auto"/>
              <w:right w:val="nil"/>
            </w:tcBorders>
            <w:noWrap/>
            <w:vAlign w:val="center"/>
            <w:hideMark/>
          </w:tcPr>
          <w:p w14:paraId="785EA9E0"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2014</w:t>
            </w:r>
          </w:p>
        </w:tc>
        <w:tc>
          <w:tcPr>
            <w:tcW w:w="1559" w:type="dxa"/>
            <w:tcBorders>
              <w:top w:val="nil"/>
              <w:left w:val="nil"/>
              <w:bottom w:val="single" w:sz="4" w:space="0" w:color="auto"/>
              <w:right w:val="nil"/>
            </w:tcBorders>
            <w:noWrap/>
            <w:vAlign w:val="center"/>
            <w:hideMark/>
          </w:tcPr>
          <w:p w14:paraId="62A7F9B9"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Etanercept</w:t>
            </w:r>
            <w:proofErr w:type="spellEnd"/>
          </w:p>
        </w:tc>
        <w:tc>
          <w:tcPr>
            <w:tcW w:w="567" w:type="dxa"/>
            <w:tcBorders>
              <w:top w:val="nil"/>
              <w:left w:val="nil"/>
              <w:bottom w:val="single" w:sz="4" w:space="0" w:color="auto"/>
              <w:right w:val="nil"/>
            </w:tcBorders>
            <w:noWrap/>
            <w:vAlign w:val="center"/>
            <w:hideMark/>
          </w:tcPr>
          <w:p w14:paraId="61241814"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106</w:t>
            </w:r>
          </w:p>
        </w:tc>
        <w:tc>
          <w:tcPr>
            <w:tcW w:w="1276" w:type="dxa"/>
            <w:tcBorders>
              <w:top w:val="nil"/>
              <w:left w:val="nil"/>
              <w:bottom w:val="single" w:sz="4" w:space="0" w:color="auto"/>
              <w:right w:val="nil"/>
            </w:tcBorders>
            <w:noWrap/>
            <w:vAlign w:val="center"/>
            <w:hideMark/>
          </w:tcPr>
          <w:p w14:paraId="40BCAA5B"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tcBorders>
              <w:top w:val="nil"/>
              <w:left w:val="nil"/>
              <w:bottom w:val="single" w:sz="4" w:space="0" w:color="auto"/>
              <w:right w:val="nil"/>
            </w:tcBorders>
            <w:noWrap/>
            <w:vAlign w:val="center"/>
            <w:hideMark/>
          </w:tcPr>
          <w:p w14:paraId="20E03EE6"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109</w:t>
            </w:r>
          </w:p>
        </w:tc>
        <w:tc>
          <w:tcPr>
            <w:tcW w:w="2693" w:type="dxa"/>
            <w:tcBorders>
              <w:top w:val="nil"/>
              <w:left w:val="nil"/>
              <w:bottom w:val="single" w:sz="4" w:space="0" w:color="auto"/>
              <w:right w:val="nil"/>
            </w:tcBorders>
            <w:vAlign w:val="center"/>
            <w:hideMark/>
          </w:tcPr>
          <w:p w14:paraId="55D9CF3A"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ETN 50mg/</w:t>
            </w:r>
            <w:proofErr w:type="spellStart"/>
            <w:r>
              <w:rPr>
                <w:rFonts w:ascii="Calibri" w:eastAsia="Times New Roman" w:hAnsi="Calibri" w:cs="Calibri"/>
                <w:color w:val="000000"/>
                <w:lang w:eastAsia="fr-FR"/>
              </w:rPr>
              <w:t>wk</w:t>
            </w:r>
            <w:proofErr w:type="spellEnd"/>
            <w:r>
              <w:rPr>
                <w:rFonts w:ascii="Calibri" w:eastAsia="Times New Roman" w:hAnsi="Calibri" w:cs="Calibri"/>
                <w:color w:val="000000"/>
                <w:lang w:eastAsia="fr-FR"/>
              </w:rPr>
              <w:br/>
              <w:t>Placebo</w:t>
            </w:r>
          </w:p>
        </w:tc>
        <w:tc>
          <w:tcPr>
            <w:tcW w:w="992" w:type="dxa"/>
            <w:tcBorders>
              <w:top w:val="nil"/>
              <w:left w:val="nil"/>
              <w:bottom w:val="single" w:sz="4" w:space="0" w:color="auto"/>
              <w:right w:val="single" w:sz="8" w:space="0" w:color="auto"/>
            </w:tcBorders>
            <w:noWrap/>
            <w:vAlign w:val="center"/>
            <w:hideMark/>
          </w:tcPr>
          <w:p w14:paraId="1FEFBD76"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12</w:t>
            </w:r>
          </w:p>
        </w:tc>
      </w:tr>
      <w:tr w:rsidR="00156725" w14:paraId="6D63244F" w14:textId="77777777" w:rsidTr="00B83CF3">
        <w:trPr>
          <w:trHeight w:val="868"/>
        </w:trPr>
        <w:tc>
          <w:tcPr>
            <w:tcW w:w="1266" w:type="dxa"/>
            <w:tcBorders>
              <w:top w:val="nil"/>
              <w:left w:val="single" w:sz="8" w:space="0" w:color="auto"/>
              <w:bottom w:val="nil"/>
              <w:right w:val="nil"/>
            </w:tcBorders>
            <w:shd w:val="clear" w:color="auto" w:fill="F2F2F2" w:themeFill="background1" w:themeFillShade="F2"/>
            <w:noWrap/>
            <w:vAlign w:val="center"/>
            <w:hideMark/>
          </w:tcPr>
          <w:p w14:paraId="10763279" w14:textId="77777777" w:rsidR="00156725" w:rsidRDefault="00156725" w:rsidP="00B83CF3">
            <w:pPr>
              <w:spacing w:after="0" w:line="240" w:lineRule="auto"/>
              <w:rPr>
                <w:rFonts w:ascii="Calibri" w:eastAsia="Times New Roman" w:hAnsi="Calibri" w:cs="Calibri"/>
                <w:color w:val="000000"/>
                <w:lang w:eastAsia="fr-FR"/>
              </w:rPr>
            </w:pPr>
            <w:proofErr w:type="spellStart"/>
            <w:r>
              <w:rPr>
                <w:rFonts w:ascii="Calibri" w:eastAsia="Times New Roman" w:hAnsi="Calibri" w:cs="Calibri"/>
                <w:color w:val="000000"/>
                <w:lang w:eastAsia="fr-FR"/>
              </w:rPr>
              <w:t>Deodhar</w:t>
            </w:r>
            <w:proofErr w:type="spellEnd"/>
            <w:r>
              <w:rPr>
                <w:rFonts w:ascii="Calibri" w:eastAsia="Times New Roman" w:hAnsi="Calibri" w:cs="Calibri"/>
                <w:color w:val="000000"/>
                <w:lang w:eastAsia="fr-FR"/>
              </w:rPr>
              <w:t xml:space="preserve"> A.</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{"citationID":"dq0npDhQ","properties":{"formattedCitation":"\\super 47\\nosupersub{}","plainCitation":"47","noteIndex":0},"citationItems":[{"id":6118,"uris":["http://zotero.org/users/5006036/items/43HW2FCJ"],"uri":["http://zotero.org/users/5006036/items/43HW2FCJ"],"itemData":{"id":6118,"type":"article-journal","abstract":"OBJECTIVE: To investigate the efficacy and safety of ixekizumab in patients with active radiographic axial spondyloarthritis (SpA) and prior inadequate response to or intolerance of 1 or 2 tumor necrosis factor inhibitors (TNFi).\nMETHODS: In this phase III randomized, double-blind, placebo-controlled trial, adult patients with an inadequate response to or intolerance of 1 or 2 TNFi and an established diagnosis of axial SpA (according to the Assessment of SpondyloArthritis international Society [ASAS] criteria for radiographic axial SpA, with radiographic sacroiliitis defined according to the modified New York criteria and ≥1 feature of SpA) were recruited and randomized 1:1:1 to receive placebo or 80-mg subcutaneous ixekizumab every 2 weeks (IXEQ2W) or 4 weeks (IXEQ4W), with an 80-mg or 160-mg starting dose. The primary end point was 40% improvement in disease activity according to the ASAS criteria (ASAS40) at week 16. Secondary outcomes and safety were also assessed.\nRESULTS: A total of 316 patients were randomized to receive placebo (n = 104), IXEQ2W (n = 98), or IXEQ4W (n = 114). At week 16, significantly higher proportions of IXEQ2W patients (n = 30 [30.6%]; P = 0.003) or IXEQ4W patients (n = 29 [25.4%]; P = 0.017) had achieved an ASAS40 response versus the placebo group (n = 13 [12.5%]), with statistically significant differences reported as early as week 1 with ixekizumab treatment. Statistically significant improvements in disease activity, function, quality of life, and spinal magnetic resonance imaging-evident inflammation were observed after 16 weeks of ixekizumab treatment versus placebo. Treatment-emergent adverse events (AEs) with ixekizumab treatment were more frequent than with placebo. Serious AEs were similar across treatment arms. One death was reported (IXEQ2W group).\nCONCLUSION: Ixekizumab treatment for 16 weeks in patients with active radiographic axial SpA and previous inadequate response to or intolerance of 1 or 2 TNFi yields rapid and significant improvements in the signs and symptoms of radiographic axial SpA versus placebo.","container-title":"Arthritis &amp; Rheumatology (Hoboken, N.J.)","DOI":"10.1002/art.40753","ISSN":"2326-5205","issue":"4","language":"eng","note":"PMID: 30343531\nPMCID: PMC6593790","page":"599-611","source":"PubMed","title":"Efficacy and Safety of Ixekizumab in the Treatment of Radiographic Axial Spondyloarthritis: Sixteen-Week Results From a Phase III Randomized, Double-Blind, Placebo-Controlled Trial in Patients With Prior Inadequate Response to or Intolerance of Tumor Necrosis Factor Inhibitors","title-short":"Efficacy and Safety of Ixekizumab in the Treatment of Radiographic Axial Spondyloarthritis","volume":"71","author":[{"family":"Deodhar","given":"Atul"},{"family":"Poddubnyy","given":"Denis"},{"family":"Pacheco-Tena","given":"Cesar"},{"family":"Salvarani","given":"Carlo"},{"family":"Lespessailles","given":"Eric"},{"family":"Rahman","given":"Proton"},{"family":"Järvinen","given":"Pentti"},{"family":"Sanchez-Burson","given":"Juan"},{"family":"Gaffney","given":"Karl"},{"family":"Lee","given":"Eun Bong"},{"family":"Krishnan","given":"Eswar"},{"family":"Santisteban","given":"Silvia"},{"family":"Li","given":"Xiaoqi"},{"family":"Zhao","given":"Fangyi"},{"family":"Carlier","given":"Hilde"},{"family":"Reveille","given":"John D."},{"literal":"COAST-W Study Group"}],"issued":{"date-parts":[["2019"]]}}}],"schema":"https://github.com/citation-style-language/schema/raw/master/csl-citation.json"} </w:instrText>
            </w:r>
            <w:r>
              <w:rPr>
                <w:rFonts w:ascii="Calibri" w:eastAsia="Times New Roman" w:hAnsi="Calibri" w:cs="Calibri"/>
                <w:color w:val="000000"/>
                <w:lang w:eastAsia="fr-FR"/>
              </w:rPr>
              <w:fldChar w:fldCharType="separate"/>
            </w:r>
            <w:r w:rsidRPr="00D3307B">
              <w:rPr>
                <w:rFonts w:ascii="Calibri" w:hAnsi="Calibri" w:cs="Calibri"/>
                <w:szCs w:val="24"/>
                <w:vertAlign w:val="superscript"/>
              </w:rPr>
              <w:t>47</w:t>
            </w:r>
            <w:r>
              <w:rPr>
                <w:rFonts w:ascii="Calibri" w:eastAsia="Times New Roman" w:hAnsi="Calibri" w:cs="Calibri"/>
                <w:color w:val="000000"/>
                <w:lang w:eastAsia="fr-FR"/>
              </w:rPr>
              <w:fldChar w:fldCharType="end"/>
            </w:r>
          </w:p>
        </w:tc>
        <w:tc>
          <w:tcPr>
            <w:tcW w:w="709" w:type="dxa"/>
            <w:shd w:val="clear" w:color="auto" w:fill="F2F2F2" w:themeFill="background1" w:themeFillShade="F2"/>
            <w:noWrap/>
            <w:vAlign w:val="center"/>
            <w:hideMark/>
          </w:tcPr>
          <w:p w14:paraId="217B17F0"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2019</w:t>
            </w:r>
          </w:p>
        </w:tc>
        <w:tc>
          <w:tcPr>
            <w:tcW w:w="1559" w:type="dxa"/>
            <w:shd w:val="clear" w:color="auto" w:fill="F2F2F2" w:themeFill="background1" w:themeFillShade="F2"/>
            <w:noWrap/>
            <w:vAlign w:val="center"/>
            <w:hideMark/>
          </w:tcPr>
          <w:p w14:paraId="0A520CB6"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Ixekizumab</w:t>
            </w:r>
            <w:proofErr w:type="spellEnd"/>
          </w:p>
        </w:tc>
        <w:tc>
          <w:tcPr>
            <w:tcW w:w="567" w:type="dxa"/>
            <w:shd w:val="clear" w:color="auto" w:fill="F2F2F2" w:themeFill="background1" w:themeFillShade="F2"/>
            <w:noWrap/>
            <w:vAlign w:val="center"/>
            <w:hideMark/>
          </w:tcPr>
          <w:p w14:paraId="08BE5047"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212</w:t>
            </w:r>
          </w:p>
        </w:tc>
        <w:tc>
          <w:tcPr>
            <w:tcW w:w="1276" w:type="dxa"/>
            <w:shd w:val="clear" w:color="auto" w:fill="F2F2F2" w:themeFill="background1" w:themeFillShade="F2"/>
            <w:noWrap/>
            <w:vAlign w:val="center"/>
            <w:hideMark/>
          </w:tcPr>
          <w:p w14:paraId="081A6314"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shd w:val="clear" w:color="auto" w:fill="F2F2F2" w:themeFill="background1" w:themeFillShade="F2"/>
            <w:noWrap/>
            <w:vAlign w:val="center"/>
            <w:hideMark/>
          </w:tcPr>
          <w:p w14:paraId="77579AFA"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104</w:t>
            </w:r>
          </w:p>
        </w:tc>
        <w:tc>
          <w:tcPr>
            <w:tcW w:w="2693" w:type="dxa"/>
            <w:shd w:val="clear" w:color="auto" w:fill="F2F2F2" w:themeFill="background1" w:themeFillShade="F2"/>
            <w:vAlign w:val="center"/>
            <w:hideMark/>
          </w:tcPr>
          <w:p w14:paraId="76E1692B"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IXEQ 80mg/2wk</w:t>
            </w:r>
            <w:r>
              <w:rPr>
                <w:rFonts w:ascii="Calibri" w:eastAsia="Times New Roman" w:hAnsi="Calibri" w:cs="Calibri"/>
                <w:color w:val="000000"/>
                <w:lang w:eastAsia="fr-FR"/>
              </w:rPr>
              <w:br/>
              <w:t>IXEQ 80mg/4wk</w:t>
            </w:r>
            <w:r>
              <w:rPr>
                <w:rFonts w:ascii="Calibri" w:eastAsia="Times New Roman" w:hAnsi="Calibri" w:cs="Calibri"/>
                <w:color w:val="000000"/>
                <w:lang w:eastAsia="fr-FR"/>
              </w:rPr>
              <w:br/>
              <w:t>Placebo</w:t>
            </w:r>
          </w:p>
        </w:tc>
        <w:tc>
          <w:tcPr>
            <w:tcW w:w="992" w:type="dxa"/>
            <w:tcBorders>
              <w:top w:val="nil"/>
              <w:left w:val="nil"/>
              <w:bottom w:val="nil"/>
              <w:right w:val="single" w:sz="8" w:space="0" w:color="auto"/>
            </w:tcBorders>
            <w:shd w:val="clear" w:color="auto" w:fill="F2F2F2" w:themeFill="background1" w:themeFillShade="F2"/>
            <w:noWrap/>
            <w:vAlign w:val="center"/>
            <w:hideMark/>
          </w:tcPr>
          <w:p w14:paraId="408C9CAB"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16</w:t>
            </w:r>
          </w:p>
        </w:tc>
      </w:tr>
      <w:tr w:rsidR="00156725" w14:paraId="47E132B4" w14:textId="77777777" w:rsidTr="00B83CF3">
        <w:trPr>
          <w:trHeight w:val="1157"/>
        </w:trPr>
        <w:tc>
          <w:tcPr>
            <w:tcW w:w="1266" w:type="dxa"/>
            <w:tcBorders>
              <w:top w:val="nil"/>
              <w:left w:val="single" w:sz="8" w:space="0" w:color="auto"/>
              <w:right w:val="nil"/>
            </w:tcBorders>
            <w:noWrap/>
            <w:vAlign w:val="center"/>
            <w:hideMark/>
          </w:tcPr>
          <w:p w14:paraId="0F74E2E3"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 xml:space="preserve">Van der </w:t>
            </w:r>
            <w:proofErr w:type="spellStart"/>
            <w:r>
              <w:rPr>
                <w:rFonts w:ascii="Calibri" w:eastAsia="Times New Roman" w:hAnsi="Calibri" w:cs="Calibri"/>
                <w:color w:val="000000"/>
                <w:lang w:eastAsia="fr-FR"/>
              </w:rPr>
              <w:t>Heijde</w:t>
            </w:r>
            <w:proofErr w:type="spellEnd"/>
            <w:r>
              <w:rPr>
                <w:rFonts w:ascii="Calibri" w:eastAsia="Times New Roman" w:hAnsi="Calibri" w:cs="Calibri"/>
                <w:color w:val="000000"/>
                <w:lang w:eastAsia="fr-FR"/>
              </w:rPr>
              <w:t xml:space="preserve"> D.</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{"citationID":"vFdUz8TQ","properties":{"formattedCitation":"\\super 37\\nosupersub{}","plainCitation":"37","noteIndex":0},"citationItems":[{"id":6088,"uris":["http://zotero.org/users/5006036/items/J7VYUAY5"],"uri":["http://zotero.org/users/5006036/items/J7VYUAY5"],"itemData":{"id":6088,"type":"article-journal","abstract":"BACKGROUND: Biological disease-modifying anti-rheumatic drugs (bDMARDs) are recommended for radiographic axial spondyloarthritis, otherwise known as ankylosing spondylitis, when conventional therapies are not effective. We report efficacy and safety data on ixekizumab, a high-affinity monoclonal antibody that selectively targets interleukin-17A (IL-17A), in patients with radiographic axial spondyloarthritis who have not previously been treated with bDMARDs.\nMETHODS: In this phase 3, randomised, double-blind, placebo-controlled superiority study of ixekizumab, adult patients with inadequate response or intolerance to non-steroidal anti-inflammatory drugs, an established diagnosis of radiographic axial spondyloarthritis, radiographic sacroiliitis centrally defined by modified New York criteria, and at least one spondyloarthritis feature according to the Assessment of SpondyloArthritis international Society (ASAS) criteria, were recruited from 84 sites (12 countries) in Europe, Asia, and North America. By use of a computer-generated random sequence, patients were randomly assigned (1:1:1:1) to 80 mg subcutaneous ixekizumab every two (Q2W) or four (Q4W) weeks, 40 mg adalimumab Q2W (active reference group), or placebo. The primary objective was to compare the proportion of patients achieving an ASAS40 response, a composite measure of clinical improvement in axial spondyloarthritis, at week 16 for both ixekizumab treatment groups versus the placebo group. The adalimumab reference group was included as an in-study active reference for comparison with placebo to provide additional context to interpretation of the ixekizumab study results.\nFINDINGS: Between June 20, 2016, and Aug 22, 2017, 341 patients were randomly assigned to either the placebo group (n=87), adalimumab group (n=90), ixekizumab Q2W (n=83), or ixekizumab Q4W (n=81). At week 16, compared with placebo (16 [18%] of 87), more patients achieved ASAS40 with ixekizumab Q2W (43 [52%] of 83; p&lt;0·0001), ixekizumab Q4W (39 [48%] of 81; p&lt;0·0001), and adalimumab (32 [36%] of 90; p=0·0053). One serious infection occurred in each of the ixekizumab Q2W (1%), ixekizumab Q4W (1%), and adalimumab (1%) groups; none were reported with placebo. One (1%) Candida infection occurred in the adalimumab group and one (1%) patient receiving ixekizumab Q2W was adjudicated as having probable Crohn's disease. No treatment-emergent opportunistic infections, malignancies, or deaths occurred.\nINTERPRETATION: Each dosing regimen of ixekizumab was superior to placebo for improving radiographic axial spondyloarthritis signs and symptoms in patients not previously treated with bDMARDs; the safety profile was consistent with previous indications of ixekizumab.\nFUNDING: Eli Lilly and Company.","container-title":"Lancet (London, England)","DOI":"10.1016/S0140-6736(18)31946-9","ISSN":"1474-547X","issue":"10163","journalAbbreviation":"Lancet","language":"eng","note":"PMID: 30360964","page":"2441-2451","source":"PubMed","title":"Ixekizumab, an interleukin-17A antagonist in the treatment of ankylosing spondylitis or radiographic axial spondyloarthritis in patients previously untreated with biological disease-modifying anti-rheumatic drugs (COAST-V): 16 week results of a phase 3 randomised, double-blind, active-controlled and placebo-controlled trial","title-short":"Ixekizumab, an interleukin-17A antagonist in the treatment of ankylosing spondylitis or radiographic axial spondyloarthritis in patients previously untreated with biological disease-modifying anti-rheumatic drugs (COAST-V)","volume":"392","author":[{"family":"Heijde","given":"Désirée","non-dropping-particle":"van der"},{"family":"Cheng-Chung Wei","given":"James"},{"family":"Dougados","given":"Maxime"},{"family":"Mease","given":"Philip"},{"family":"Deodhar","given":"Atul"},{"family":"Maksymowych","given":"Walter P."},{"family":"Van den Bosch","given":"Filip"},{"family":"Sieper","given":"Joachim"},{"family":"Tomita","given":"Tetsuya"},{"family":"Landewé","given":"Robert"},{"family":"Zhao","given":"Fangyi"},{"family":"Krishnan","given":"Eswar"},{"family":"Adams","given":"David H."},{"family":"Pangallo","given":"Beth"},{"family":"Carlier","given":"Hilde"},{"literal":"COAST-V study group"}],"issued":{"date-parts":[["2018"]],"season":"08"}}}],"schema":"https://github.com/citation-style-language/schema/raw/master/csl-citation.json"} </w:instrText>
            </w:r>
            <w:r>
              <w:rPr>
                <w:rFonts w:ascii="Calibri" w:eastAsia="Times New Roman" w:hAnsi="Calibri" w:cs="Calibri"/>
                <w:color w:val="000000"/>
                <w:lang w:eastAsia="fr-FR"/>
              </w:rPr>
              <w:fldChar w:fldCharType="separate"/>
            </w:r>
            <w:r w:rsidRPr="00D3307B">
              <w:rPr>
                <w:rFonts w:ascii="Calibri" w:hAnsi="Calibri" w:cs="Calibri"/>
                <w:szCs w:val="24"/>
                <w:vertAlign w:val="superscript"/>
              </w:rPr>
              <w:t>37</w:t>
            </w:r>
            <w:r>
              <w:rPr>
                <w:rFonts w:ascii="Calibri" w:eastAsia="Times New Roman" w:hAnsi="Calibri" w:cs="Calibri"/>
                <w:color w:val="000000"/>
                <w:lang w:eastAsia="fr-FR"/>
              </w:rPr>
              <w:fldChar w:fldCharType="end"/>
            </w:r>
          </w:p>
        </w:tc>
        <w:tc>
          <w:tcPr>
            <w:tcW w:w="709" w:type="dxa"/>
            <w:tcBorders>
              <w:top w:val="nil"/>
              <w:left w:val="nil"/>
              <w:right w:val="nil"/>
            </w:tcBorders>
            <w:noWrap/>
            <w:vAlign w:val="center"/>
            <w:hideMark/>
          </w:tcPr>
          <w:p w14:paraId="1230DF6E"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2018</w:t>
            </w:r>
          </w:p>
        </w:tc>
        <w:tc>
          <w:tcPr>
            <w:tcW w:w="1559" w:type="dxa"/>
            <w:tcBorders>
              <w:top w:val="nil"/>
              <w:left w:val="nil"/>
              <w:right w:val="nil"/>
            </w:tcBorders>
            <w:noWrap/>
            <w:vAlign w:val="center"/>
            <w:hideMark/>
          </w:tcPr>
          <w:p w14:paraId="77F844F1"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Ixekizumab</w:t>
            </w:r>
            <w:proofErr w:type="spellEnd"/>
            <w:r>
              <w:rPr>
                <w:rFonts w:ascii="Calibri" w:eastAsia="Times New Roman" w:hAnsi="Calibri" w:cs="Calibri"/>
                <w:color w:val="000000"/>
                <w:lang w:eastAsia="fr-FR"/>
              </w:rPr>
              <w:t>/</w:t>
            </w:r>
            <w:r>
              <w:rPr>
                <w:rFonts w:ascii="Calibri" w:eastAsia="Times New Roman" w:hAnsi="Calibri" w:cs="Calibri"/>
                <w:color w:val="000000"/>
                <w:lang w:eastAsia="fr-FR"/>
              </w:rPr>
              <w:br/>
            </w:r>
            <w:proofErr w:type="spellStart"/>
            <w:r>
              <w:rPr>
                <w:rFonts w:ascii="Calibri" w:eastAsia="Times New Roman" w:hAnsi="Calibri" w:cs="Calibri"/>
                <w:color w:val="000000"/>
                <w:lang w:eastAsia="fr-FR"/>
              </w:rPr>
              <w:t>Adalimumab</w:t>
            </w:r>
            <w:proofErr w:type="spellEnd"/>
          </w:p>
        </w:tc>
        <w:tc>
          <w:tcPr>
            <w:tcW w:w="567" w:type="dxa"/>
            <w:tcBorders>
              <w:top w:val="nil"/>
              <w:left w:val="nil"/>
              <w:right w:val="nil"/>
            </w:tcBorders>
            <w:vAlign w:val="center"/>
            <w:hideMark/>
          </w:tcPr>
          <w:p w14:paraId="0A79C46B"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164 IXE</w:t>
            </w:r>
            <w:r>
              <w:rPr>
                <w:rFonts w:ascii="Calibri" w:eastAsia="Times New Roman" w:hAnsi="Calibri" w:cs="Calibri"/>
                <w:color w:val="000000"/>
                <w:lang w:eastAsia="fr-FR"/>
              </w:rPr>
              <w:br/>
              <w:t>90 ADA</w:t>
            </w:r>
          </w:p>
        </w:tc>
        <w:tc>
          <w:tcPr>
            <w:tcW w:w="1276" w:type="dxa"/>
            <w:tcBorders>
              <w:top w:val="nil"/>
              <w:left w:val="nil"/>
              <w:right w:val="nil"/>
            </w:tcBorders>
            <w:noWrap/>
            <w:vAlign w:val="center"/>
            <w:hideMark/>
          </w:tcPr>
          <w:p w14:paraId="7C7101E0"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tcBorders>
              <w:top w:val="nil"/>
              <w:left w:val="nil"/>
              <w:right w:val="nil"/>
            </w:tcBorders>
            <w:noWrap/>
            <w:vAlign w:val="center"/>
            <w:hideMark/>
          </w:tcPr>
          <w:p w14:paraId="1661F9BF"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86</w:t>
            </w:r>
          </w:p>
        </w:tc>
        <w:tc>
          <w:tcPr>
            <w:tcW w:w="2693" w:type="dxa"/>
            <w:tcBorders>
              <w:top w:val="nil"/>
              <w:left w:val="nil"/>
              <w:right w:val="nil"/>
            </w:tcBorders>
            <w:vAlign w:val="center"/>
            <w:hideMark/>
          </w:tcPr>
          <w:p w14:paraId="47B6C22B"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IXEQ 80mg/2wk</w:t>
            </w:r>
            <w:r>
              <w:rPr>
                <w:rFonts w:ascii="Calibri" w:eastAsia="Times New Roman" w:hAnsi="Calibri" w:cs="Calibri"/>
                <w:color w:val="000000"/>
                <w:lang w:eastAsia="fr-FR"/>
              </w:rPr>
              <w:br/>
              <w:t>IXEQ 80mg/4wk</w:t>
            </w:r>
            <w:r>
              <w:rPr>
                <w:rFonts w:ascii="Calibri" w:eastAsia="Times New Roman" w:hAnsi="Calibri" w:cs="Calibri"/>
                <w:color w:val="000000"/>
                <w:lang w:eastAsia="fr-FR"/>
              </w:rPr>
              <w:br/>
              <w:t>ADA 40mg/2wk</w:t>
            </w:r>
            <w:r>
              <w:rPr>
                <w:rFonts w:ascii="Calibri" w:eastAsia="Times New Roman" w:hAnsi="Calibri" w:cs="Calibri"/>
                <w:color w:val="000000"/>
                <w:lang w:eastAsia="fr-FR"/>
              </w:rPr>
              <w:br/>
              <w:t>Placebo</w:t>
            </w:r>
          </w:p>
        </w:tc>
        <w:tc>
          <w:tcPr>
            <w:tcW w:w="992" w:type="dxa"/>
            <w:tcBorders>
              <w:top w:val="nil"/>
              <w:left w:val="nil"/>
              <w:right w:val="single" w:sz="8" w:space="0" w:color="auto"/>
            </w:tcBorders>
            <w:noWrap/>
            <w:vAlign w:val="center"/>
            <w:hideMark/>
          </w:tcPr>
          <w:p w14:paraId="4943C4C9"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16</w:t>
            </w:r>
          </w:p>
        </w:tc>
      </w:tr>
      <w:tr w:rsidR="00156725" w14:paraId="261BEA0D" w14:textId="77777777" w:rsidTr="00B83CF3">
        <w:trPr>
          <w:trHeight w:val="877"/>
        </w:trPr>
        <w:tc>
          <w:tcPr>
            <w:tcW w:w="1266" w:type="dxa"/>
            <w:tcBorders>
              <w:top w:val="nil"/>
              <w:left w:val="single" w:sz="4" w:space="0" w:color="auto"/>
              <w:bottom w:val="single" w:sz="4" w:space="0" w:color="auto"/>
              <w:right w:val="nil"/>
            </w:tcBorders>
            <w:shd w:val="clear" w:color="auto" w:fill="F2F2F2" w:themeFill="background1" w:themeFillShade="F2"/>
            <w:noWrap/>
            <w:vAlign w:val="center"/>
          </w:tcPr>
          <w:p w14:paraId="2562FB82" w14:textId="77777777" w:rsidR="00156725" w:rsidRDefault="00156725" w:rsidP="00B83CF3">
            <w:pPr>
              <w:spacing w:after="0" w:line="240" w:lineRule="auto"/>
              <w:rPr>
                <w:rFonts w:ascii="Calibri" w:eastAsia="Times New Roman" w:hAnsi="Calibri" w:cs="Calibri"/>
                <w:color w:val="000000"/>
                <w:lang w:eastAsia="fr-FR"/>
              </w:rPr>
            </w:pPr>
            <w:proofErr w:type="spellStart"/>
            <w:r>
              <w:rPr>
                <w:rFonts w:ascii="Calibri" w:eastAsia="Times New Roman" w:hAnsi="Calibri" w:cs="Calibri"/>
                <w:color w:val="000000"/>
                <w:lang w:eastAsia="fr-FR"/>
              </w:rPr>
              <w:t>Deodhar</w:t>
            </w:r>
            <w:proofErr w:type="spellEnd"/>
            <w:r>
              <w:rPr>
                <w:rFonts w:ascii="Calibri" w:eastAsia="Times New Roman" w:hAnsi="Calibri" w:cs="Calibri"/>
                <w:color w:val="000000"/>
                <w:lang w:eastAsia="fr-FR"/>
              </w:rPr>
              <w:t xml:space="preserve"> A.</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{"citationID":"5AUlsYfT","properties":{"formattedCitation":"\\super 53\\nosupersub{}","plainCitation":"53","noteIndex":0},"citationItems":[{"id":6147,"uris":["http://zotero.org/users/5006036/items/X7QKZRI9"],"uri":["http://zotero.org/users/5006036/items/X7QKZRI9"],"itemData":{"id":6147,"type":"article-journal","abstract":"BACKGROUND: Ixekizumab, a high-affinity interleukin-17A (IL-17A) monoclonal antibody, has previously shown efficacy in radiographic axial spondyloarthritis (also known as ankylosing spondylitis). We aimed to evaluate the efficacy and safety of ixekizumab, an IL-17 inhibitor, in non-radiographic axial spondyloarthritis. Here, we report the primary results of COAST-X.\nMETHODS: COAST-X was a 52-week, randomised, double-blind, placebo-controlled, parallel-group study done at 107 sites in 15 countries in Europe, Asia, North America, and South America. Eligible participants were adults (aged ≥18 years) with active axial spondyloarthritis without definite radiographic sacroiliitis (non-radiographic axial spondyloarthritis), objective signs of inflammation (via MRI or C-reactive protein), and an inadequate response or intolerance to non-steroidal anti-inflammatory drugs (NSAIDs). Patients were randomly assigned (1:1:1) to receive subcutaneous 80 mg ixekizumab every 4 weeks (Q4W) or every 2 weeks (Q2W), or placebo. Changing background medications or switching to open-label ixekizumab Q2W, or both, was allowed after week 16 at investigator discretion. Primary endpoints were Assessment of SpondyloArthritis international Society-40 (ASAS40) response (defined as an improvement of 40% or more and an absolute improvement from baseline of 2 units or more [range 0-10] in at least three of the four domains [patient global, spinal pain, function, and inflammation] without any worsening in the remaining one domain) at weeks 16 and 52. Patients who switched to open-label ixekizumab were imputed as non-responders in logistic regression analysis. This trial is registered with ClinicalTrials.gov, number NCT02757352.\nFINDINGS: Between Aug 2, 2016, and Jan 29, 2018, 303 patients were enrolled (105 to placebo, 96 to ixekizumab Q4W, and 102 to ixekizumab Q2W). Both primary endpoints were met: ASAS40 at week 16 (ixekizumab Q4W: 34 [35%] of 96, p=0·0094 vs placebo; ixekizumab Q2W: 41 [40%] of 102, p=0·0016; placebo: 20 [19%] of 105) and ASAS40 at week 52 (ixekizumab Q4W: 29 [30%] of 96, p=0·0045; ixekizumab Q2W: 32 [31%] of 102, p=0·0037; placebo: 14 [13%] of 105). 60 (57%) of 104 patients in the placebo group, 63 (66%) of 96 in the ixekizumab Q4W group, and 79 (77%) of 102 in the ixekizumab Q2W group had at least one treatment-emergent adverse event. The most common treatment-emergent adverse events in the ixekizumab groups were nasopharyngitis and injection site reaction. Of the treatment-emergent adverse events of special interest, there was one case of serious infection in the ixekizumab Q4W group. The frequency of serious adverse events was low (four [1%] of 302) and similar across the three groups. There were no malignancies or deaths. No new safety signals were identified.\nINTERPRETATION: Ixekizumab was superior to placebo for improving signs and symptoms in patients with non-radiographic axial spondyloarthritis at weeks 16 and 52. Reports of adverse events were similar to those of previous ixekizumab studies. Ixekizumab offers a potential therapeutic option for patients with non-radiographic axial spondyloarthritis who had an inadequate response or were intolerant to NSAID therapy.\nFUNDING: Eli Lilly and Company.","container-title":"Lancet (London, England)","DOI":"10.1016/S0140-6736(19)32971-X","ISSN":"1474-547X","issue":"10217","journalAbbreviation":"Lancet","language":"eng","note":"PMID: 31813637","page":"53-64","source":"PubMed","title":"Ixekizumab for patients with non-radiographic axial spondyloarthritis (COAST-X): a randomised, placebo-controlled trial","title-short":"Ixekizumab for patients with non-radiographic axial spondyloarthritis (COAST-X)","volume":"395","author":[{"family":"Deodhar","given":"Atul"},{"family":"Heijde","given":"Désirée","non-dropping-particle":"van der"},{"family":"Gensler","given":"Lianne S."},{"family":"Kim","given":"Tae-Hwan"},{"family":"Maksymowych","given":"Walter P."},{"family":"Østergaard","given":"Mikkel"},{"family":"Poddubnyy","given":"Denis"},{"family":"Marzo-Ortega","given":"Helena"},{"family":"Bessette","given":"Louis"},{"family":"Tomita","given":"Tetsuya"},{"family":"Leung","given":"Ann"},{"family":"Hojnik","given":"Maja"},{"family":"Gallo","given":"Gaia"},{"family":"Li","given":"Xiaoqi"},{"family":"Adams","given":"David"},{"family":"Carlier","given":"Hilde"},{"family":"Sieper","given":"Joachim"},{"literal":"COAST-X Study Group"}],"issued":{"date-parts":[["2020"]],"season":"04"}}}],"schema":"https://github.com/citation-style-language/schema/raw/master/csl-citation.json"} </w:instrText>
            </w:r>
            <w:r>
              <w:rPr>
                <w:rFonts w:ascii="Calibri" w:eastAsia="Times New Roman" w:hAnsi="Calibri" w:cs="Calibri"/>
                <w:color w:val="000000"/>
                <w:lang w:eastAsia="fr-FR"/>
              </w:rPr>
              <w:fldChar w:fldCharType="separate"/>
            </w:r>
            <w:r w:rsidRPr="009C1DFE">
              <w:rPr>
                <w:rFonts w:ascii="Calibri" w:hAnsi="Calibri" w:cs="Calibri"/>
                <w:szCs w:val="24"/>
                <w:vertAlign w:val="superscript"/>
              </w:rPr>
              <w:t>53</w:t>
            </w:r>
            <w:r>
              <w:rPr>
                <w:rFonts w:ascii="Calibri" w:eastAsia="Times New Roman" w:hAnsi="Calibri" w:cs="Calibri"/>
                <w:color w:val="000000"/>
                <w:lang w:eastAsia="fr-FR"/>
              </w:rPr>
              <w:fldChar w:fldCharType="end"/>
            </w:r>
          </w:p>
        </w:tc>
        <w:tc>
          <w:tcPr>
            <w:tcW w:w="709" w:type="dxa"/>
            <w:tcBorders>
              <w:top w:val="nil"/>
              <w:left w:val="nil"/>
              <w:bottom w:val="single" w:sz="4" w:space="0" w:color="auto"/>
              <w:right w:val="nil"/>
            </w:tcBorders>
            <w:shd w:val="clear" w:color="auto" w:fill="F2F2F2" w:themeFill="background1" w:themeFillShade="F2"/>
            <w:noWrap/>
            <w:vAlign w:val="center"/>
          </w:tcPr>
          <w:p w14:paraId="61577514"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2019</w:t>
            </w:r>
          </w:p>
        </w:tc>
        <w:tc>
          <w:tcPr>
            <w:tcW w:w="1559" w:type="dxa"/>
            <w:tcBorders>
              <w:top w:val="nil"/>
              <w:left w:val="nil"/>
              <w:bottom w:val="single" w:sz="4" w:space="0" w:color="auto"/>
              <w:right w:val="nil"/>
            </w:tcBorders>
            <w:shd w:val="clear" w:color="auto" w:fill="F2F2F2" w:themeFill="background1" w:themeFillShade="F2"/>
            <w:noWrap/>
            <w:vAlign w:val="center"/>
          </w:tcPr>
          <w:p w14:paraId="73336BB6"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Ixekizumab</w:t>
            </w:r>
            <w:proofErr w:type="spellEnd"/>
          </w:p>
        </w:tc>
        <w:tc>
          <w:tcPr>
            <w:tcW w:w="567" w:type="dxa"/>
            <w:tcBorders>
              <w:top w:val="nil"/>
              <w:left w:val="nil"/>
              <w:bottom w:val="single" w:sz="4" w:space="0" w:color="auto"/>
              <w:right w:val="nil"/>
            </w:tcBorders>
            <w:shd w:val="clear" w:color="auto" w:fill="F2F2F2" w:themeFill="background1" w:themeFillShade="F2"/>
            <w:vAlign w:val="center"/>
          </w:tcPr>
          <w:p w14:paraId="16B81117"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198</w:t>
            </w:r>
          </w:p>
        </w:tc>
        <w:tc>
          <w:tcPr>
            <w:tcW w:w="1276" w:type="dxa"/>
            <w:tcBorders>
              <w:top w:val="nil"/>
              <w:left w:val="nil"/>
              <w:bottom w:val="single" w:sz="4" w:space="0" w:color="auto"/>
              <w:right w:val="nil"/>
            </w:tcBorders>
            <w:shd w:val="clear" w:color="auto" w:fill="F2F2F2" w:themeFill="background1" w:themeFillShade="F2"/>
            <w:noWrap/>
            <w:vAlign w:val="center"/>
          </w:tcPr>
          <w:p w14:paraId="2E746F75"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tcBorders>
              <w:top w:val="nil"/>
              <w:left w:val="nil"/>
              <w:bottom w:val="single" w:sz="4" w:space="0" w:color="auto"/>
              <w:right w:val="nil"/>
            </w:tcBorders>
            <w:shd w:val="clear" w:color="auto" w:fill="F2F2F2" w:themeFill="background1" w:themeFillShade="F2"/>
            <w:noWrap/>
            <w:vAlign w:val="center"/>
          </w:tcPr>
          <w:p w14:paraId="43E495A6"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104</w:t>
            </w:r>
          </w:p>
        </w:tc>
        <w:tc>
          <w:tcPr>
            <w:tcW w:w="2693" w:type="dxa"/>
            <w:tcBorders>
              <w:top w:val="nil"/>
              <w:left w:val="nil"/>
              <w:bottom w:val="single" w:sz="4" w:space="0" w:color="auto"/>
              <w:right w:val="nil"/>
            </w:tcBorders>
            <w:shd w:val="clear" w:color="auto" w:fill="F2F2F2" w:themeFill="background1" w:themeFillShade="F2"/>
            <w:vAlign w:val="center"/>
          </w:tcPr>
          <w:p w14:paraId="334DD959"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IXE 80mg/2wk</w:t>
            </w:r>
          </w:p>
          <w:p w14:paraId="4C97EF37"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IXE 80mg/4wk</w:t>
            </w:r>
          </w:p>
          <w:p w14:paraId="7BC1008C" w14:textId="77777777" w:rsidR="00156725" w:rsidRDefault="00156725" w:rsidP="00B83CF3">
            <w:pPr>
              <w:spacing w:after="0" w:line="240" w:lineRule="auto"/>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992" w:type="dxa"/>
            <w:tcBorders>
              <w:top w:val="nil"/>
              <w:left w:val="nil"/>
              <w:bottom w:val="single" w:sz="4" w:space="0" w:color="auto"/>
              <w:right w:val="single" w:sz="4" w:space="0" w:color="auto"/>
            </w:tcBorders>
            <w:shd w:val="clear" w:color="auto" w:fill="F2F2F2" w:themeFill="background1" w:themeFillShade="F2"/>
            <w:noWrap/>
            <w:vAlign w:val="center"/>
          </w:tcPr>
          <w:p w14:paraId="363EE675"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52</w:t>
            </w:r>
          </w:p>
        </w:tc>
      </w:tr>
      <w:tr w:rsidR="00156725" w:rsidRPr="00830A4F" w14:paraId="09D1E96C" w14:textId="77777777" w:rsidTr="00B83CF3">
        <w:trPr>
          <w:trHeight w:val="1157"/>
        </w:trPr>
        <w:tc>
          <w:tcPr>
            <w:tcW w:w="1266" w:type="dxa"/>
            <w:tcBorders>
              <w:top w:val="single" w:sz="4" w:space="0" w:color="auto"/>
              <w:left w:val="single" w:sz="8" w:space="0" w:color="auto"/>
              <w:right w:val="nil"/>
            </w:tcBorders>
            <w:noWrap/>
            <w:vAlign w:val="center"/>
          </w:tcPr>
          <w:p w14:paraId="17EEBC82" w14:textId="77777777" w:rsidR="00156725" w:rsidRPr="003A7BA3" w:rsidRDefault="00156725" w:rsidP="00B83CF3">
            <w:pPr>
              <w:spacing w:after="0" w:line="240" w:lineRule="auto"/>
              <w:rPr>
                <w:rFonts w:ascii="Calibri" w:eastAsia="Times New Roman" w:hAnsi="Calibri" w:cs="Calibri"/>
                <w:color w:val="000000"/>
                <w:lang w:val="en-US" w:eastAsia="fr-FR"/>
              </w:rPr>
            </w:pPr>
            <w:proofErr w:type="spellStart"/>
            <w:r>
              <w:rPr>
                <w:rFonts w:ascii="Calibri" w:eastAsia="Times New Roman" w:hAnsi="Calibri" w:cs="Calibri"/>
                <w:color w:val="000000"/>
                <w:lang w:eastAsia="fr-FR"/>
              </w:rPr>
              <w:t>Deodhar</w:t>
            </w:r>
            <w:proofErr w:type="spellEnd"/>
            <w:r>
              <w:rPr>
                <w:rFonts w:ascii="Calibri" w:eastAsia="Times New Roman" w:hAnsi="Calibri" w:cs="Calibri"/>
                <w:color w:val="000000"/>
                <w:lang w:eastAsia="fr-FR"/>
              </w:rPr>
              <w:t xml:space="preserve"> A.</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{"citationID":"BxkkSFI8","properties":{"formattedCitation":"\\super 52\\nosupersub{}","plainCitation":"52","noteIndex":0},"citationItems":[{"id":6144,"uris":["http://zotero.org/users/5006036/items/QSJIUV96"],"uri":["http://zotero.org/users/5006036/items/QSJIUV96"],"itemData":{"id":6144,"type":"article-journal","abstract":"OBJECTIVE: To report the primary (1-year) results from PREVENT, the first phase III study evaluating secukinumab in patients with active non-radiographic axial spondyloarthritis (nr-axSpA).\nMETHODS: A total of 555 patients were randomized (1:1:1) to subcutaneous secukinumab 150 mg with loading (LD), without loading (NL), or placebo weekly and then every 4 weeks starting at Week 4. NL group received placebo at Weeks 1, 2, and 3 to maintain blinding. Switch to open-label secukinumab (OL) or standard of care (SoC) was permitted after Week 20. The study had 2 independent analysis plans per EU and non-US (Plan A: Week 16) and US (Plan B: Week 52) regulatory requirements. Primary endpoint was ASAS40 at Week 16 (LD) and at Week 52 (NL) in tumor necrosis factor inhibitor (TNFi)-naïve patients. Safety analyses included all patients who received ≥1 dose of study treatment.\nRESULTS: Overall, 481 patients completed 52 weeks treatment: 84.3% (156/185) LD, 89.7% (165/184) NL, and 86.0% (160/186) placebo. Proportion of patients who switched to OL or SoC between Weeks 20 and 48 was 50.8% LD, 47.3% NL, and 64.0% placebo. Both primary and all secondary endpoints were met at Week 16. </w:instrText>
            </w:r>
            <w:r w:rsidRPr="003A7BA3">
              <w:rPr>
                <w:rFonts w:ascii="Calibri" w:eastAsia="Times New Roman" w:hAnsi="Calibri" w:cs="Calibri"/>
                <w:color w:val="000000"/>
                <w:lang w:val="en-US" w:eastAsia="fr-FR"/>
              </w:rPr>
              <w:instrText xml:space="preserve">ASAS40 in TNFi-naïve patients was significantly higher for LD (41.5%) at Week 16 and NL (39.8%) at Week 52 versus placebo (29.2% at Week 16 and 19.9% at Week 52; both P &lt;0.05). No new safety findings were reported.\nCONCLUSIONS: Secukinumab 150 mg provided significant and sustained improvement in signs and symptoms of patients with nr-axSpA through 52 weeks. Safety was consistent with previous reports.","container-title":"Arthritis &amp; Rheumatology (Hoboken, N.J.)","DOI":"10.1002/art.41477","ISSN":"2326-5205","language":"eng","note":"PMID: 32770640","source":"PubMed","title":"Secukinumab improves signs and symptoms of non-radiographic axial spondyloarthritis: primary results of a randomized controlled phase III study","title-short":"Secukinumab improves signs and symptoms of non-radiographic axial spondyloarthritis","author":[{"family":"Deodhar","given":"Atul"},{"family":"Blanco","given":"Ricardo"},{"family":"Dokoupilová","given":"Eva"},{"family":"Hall","given":"Stephen"},{"family":"Kameda","given":"Hideto"},{"family":"Kivitz","given":"Alan J."},{"family":"Poddubnyy","given":"Denis"},{"family":"Sande","given":"Marleen","non-dropping-particle":"van de"},{"family":"Wiksten","given":"Anna S."},{"family":"Porter","given":"Brian O."},{"family":"Richards","given":"Hanno B."},{"family":"Haemmerle","given":"Sibylle"},{"family":"Braun","given":"Jürgen"}],"issued":{"date-parts":[["2020",8,7]]}}}],"schema":"https://github.com/citation-style-language/schema/raw/master/csl-citation.json"} </w:instrText>
            </w:r>
            <w:r>
              <w:rPr>
                <w:rFonts w:ascii="Calibri" w:eastAsia="Times New Roman" w:hAnsi="Calibri" w:cs="Calibri"/>
                <w:color w:val="000000"/>
                <w:lang w:eastAsia="fr-FR"/>
              </w:rPr>
              <w:fldChar w:fldCharType="separate"/>
            </w:r>
            <w:r w:rsidRPr="003A7BA3">
              <w:rPr>
                <w:rFonts w:ascii="Calibri" w:hAnsi="Calibri" w:cs="Calibri"/>
                <w:szCs w:val="24"/>
                <w:vertAlign w:val="superscript"/>
                <w:lang w:val="en-US"/>
              </w:rPr>
              <w:t>52</w:t>
            </w:r>
            <w:r>
              <w:rPr>
                <w:rFonts w:ascii="Calibri" w:eastAsia="Times New Roman" w:hAnsi="Calibri" w:cs="Calibri"/>
                <w:color w:val="000000"/>
                <w:lang w:eastAsia="fr-FR"/>
              </w:rPr>
              <w:fldChar w:fldCharType="end"/>
            </w:r>
            <w:r w:rsidRPr="003A7BA3">
              <w:rPr>
                <w:rFonts w:ascii="Calibri" w:eastAsia="Times New Roman" w:hAnsi="Calibri" w:cs="Calibri"/>
                <w:color w:val="000000"/>
                <w:lang w:val="en-US" w:eastAsia="fr-FR"/>
              </w:rPr>
              <w:t xml:space="preserve"> </w:t>
            </w:r>
          </w:p>
        </w:tc>
        <w:tc>
          <w:tcPr>
            <w:tcW w:w="709" w:type="dxa"/>
            <w:tcBorders>
              <w:top w:val="single" w:sz="4" w:space="0" w:color="auto"/>
              <w:left w:val="nil"/>
              <w:right w:val="nil"/>
            </w:tcBorders>
            <w:noWrap/>
            <w:vAlign w:val="center"/>
          </w:tcPr>
          <w:p w14:paraId="3CC27B27"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2019</w:t>
            </w:r>
          </w:p>
        </w:tc>
        <w:tc>
          <w:tcPr>
            <w:tcW w:w="1559" w:type="dxa"/>
            <w:tcBorders>
              <w:top w:val="single" w:sz="4" w:space="0" w:color="auto"/>
              <w:left w:val="nil"/>
              <w:right w:val="nil"/>
            </w:tcBorders>
            <w:noWrap/>
            <w:vAlign w:val="center"/>
          </w:tcPr>
          <w:p w14:paraId="0BFB5C4A"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proofErr w:type="spellStart"/>
            <w:r w:rsidRPr="003A7BA3">
              <w:rPr>
                <w:rFonts w:ascii="Calibri" w:eastAsia="Times New Roman" w:hAnsi="Calibri" w:cs="Calibri"/>
                <w:color w:val="000000"/>
                <w:lang w:val="en-US" w:eastAsia="fr-FR"/>
              </w:rPr>
              <w:t>Secukinumab</w:t>
            </w:r>
            <w:proofErr w:type="spellEnd"/>
          </w:p>
        </w:tc>
        <w:tc>
          <w:tcPr>
            <w:tcW w:w="567" w:type="dxa"/>
            <w:tcBorders>
              <w:top w:val="single" w:sz="4" w:space="0" w:color="auto"/>
              <w:left w:val="nil"/>
              <w:right w:val="nil"/>
            </w:tcBorders>
            <w:vAlign w:val="center"/>
          </w:tcPr>
          <w:p w14:paraId="4510438C"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369</w:t>
            </w:r>
          </w:p>
        </w:tc>
        <w:tc>
          <w:tcPr>
            <w:tcW w:w="1276" w:type="dxa"/>
            <w:tcBorders>
              <w:top w:val="single" w:sz="4" w:space="0" w:color="auto"/>
              <w:left w:val="nil"/>
              <w:right w:val="nil"/>
            </w:tcBorders>
            <w:noWrap/>
            <w:vAlign w:val="center"/>
          </w:tcPr>
          <w:p w14:paraId="1BFC2256"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Placebo</w:t>
            </w:r>
          </w:p>
        </w:tc>
        <w:tc>
          <w:tcPr>
            <w:tcW w:w="567" w:type="dxa"/>
            <w:tcBorders>
              <w:top w:val="single" w:sz="4" w:space="0" w:color="auto"/>
              <w:left w:val="nil"/>
              <w:right w:val="nil"/>
            </w:tcBorders>
            <w:noWrap/>
            <w:vAlign w:val="center"/>
          </w:tcPr>
          <w:p w14:paraId="32BDF3DE"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186</w:t>
            </w:r>
          </w:p>
        </w:tc>
        <w:tc>
          <w:tcPr>
            <w:tcW w:w="2693" w:type="dxa"/>
            <w:tcBorders>
              <w:top w:val="single" w:sz="4" w:space="0" w:color="auto"/>
              <w:left w:val="nil"/>
              <w:right w:val="nil"/>
            </w:tcBorders>
            <w:vAlign w:val="center"/>
          </w:tcPr>
          <w:p w14:paraId="3C414F16" w14:textId="77777777" w:rsidR="00156725" w:rsidRPr="0070303A" w:rsidRDefault="00156725" w:rsidP="00B83CF3">
            <w:pPr>
              <w:spacing w:after="0" w:line="240" w:lineRule="auto"/>
              <w:rPr>
                <w:rFonts w:ascii="Calibri" w:eastAsia="Times New Roman" w:hAnsi="Calibri" w:cs="Calibri"/>
                <w:color w:val="000000"/>
                <w:lang w:val="en-US" w:eastAsia="fr-FR"/>
              </w:rPr>
            </w:pPr>
            <w:r w:rsidRPr="0070303A">
              <w:rPr>
                <w:rFonts w:ascii="Calibri" w:eastAsia="Times New Roman" w:hAnsi="Calibri" w:cs="Calibri"/>
                <w:color w:val="000000"/>
                <w:lang w:val="en-US" w:eastAsia="fr-FR"/>
              </w:rPr>
              <w:t>SCK</w:t>
            </w:r>
            <w:r>
              <w:rPr>
                <w:rFonts w:ascii="Calibri" w:eastAsia="Times New Roman" w:hAnsi="Calibri" w:cs="Calibri"/>
                <w:color w:val="000000"/>
                <w:lang w:val="en-US" w:eastAsia="fr-FR"/>
              </w:rPr>
              <w:t> </w:t>
            </w:r>
            <w:r w:rsidRPr="0070303A">
              <w:rPr>
                <w:rFonts w:ascii="Calibri" w:eastAsia="Times New Roman" w:hAnsi="Calibri" w:cs="Calibri"/>
                <w:color w:val="000000"/>
                <w:lang w:val="en-US" w:eastAsia="fr-FR"/>
              </w:rPr>
              <w:t xml:space="preserve">150mg at </w:t>
            </w:r>
            <w:proofErr w:type="spellStart"/>
            <w:r w:rsidRPr="0070303A">
              <w:rPr>
                <w:rFonts w:ascii="Calibri" w:eastAsia="Times New Roman" w:hAnsi="Calibri" w:cs="Calibri"/>
                <w:color w:val="000000"/>
                <w:lang w:val="en-US" w:eastAsia="fr-FR"/>
              </w:rPr>
              <w:t>wk</w:t>
            </w:r>
            <w:proofErr w:type="spellEnd"/>
            <w:r>
              <w:rPr>
                <w:rFonts w:ascii="Calibri" w:eastAsia="Times New Roman" w:hAnsi="Calibri" w:cs="Calibri"/>
                <w:color w:val="000000"/>
                <w:lang w:val="en-US" w:eastAsia="fr-FR"/>
              </w:rPr>
              <w:t> </w:t>
            </w:r>
            <w:r w:rsidRPr="0070303A">
              <w:rPr>
                <w:rFonts w:ascii="Calibri" w:eastAsia="Times New Roman" w:hAnsi="Calibri" w:cs="Calibri"/>
                <w:color w:val="000000"/>
                <w:lang w:val="en-US" w:eastAsia="fr-FR"/>
              </w:rPr>
              <w:t>0,1,2,3 and then /4wk</w:t>
            </w:r>
          </w:p>
          <w:p w14:paraId="3083C4C0" w14:textId="77777777" w:rsidR="00156725" w:rsidRPr="0070303A" w:rsidRDefault="00156725" w:rsidP="00B83CF3">
            <w:pPr>
              <w:spacing w:after="0" w:line="240" w:lineRule="auto"/>
              <w:rPr>
                <w:rFonts w:ascii="Calibri" w:eastAsia="Times New Roman" w:hAnsi="Calibri" w:cs="Calibri"/>
                <w:color w:val="000000"/>
                <w:lang w:val="en-US" w:eastAsia="fr-FR"/>
              </w:rPr>
            </w:pPr>
            <w:r w:rsidRPr="0070303A">
              <w:rPr>
                <w:rFonts w:ascii="Calibri" w:eastAsia="Times New Roman" w:hAnsi="Calibri" w:cs="Calibri"/>
                <w:color w:val="000000"/>
                <w:lang w:val="en-US" w:eastAsia="fr-FR"/>
              </w:rPr>
              <w:t>SCK</w:t>
            </w:r>
            <w:r>
              <w:rPr>
                <w:rFonts w:ascii="Calibri" w:eastAsia="Times New Roman" w:hAnsi="Calibri" w:cs="Calibri"/>
                <w:color w:val="000000"/>
                <w:lang w:val="en-US" w:eastAsia="fr-FR"/>
              </w:rPr>
              <w:t> </w:t>
            </w:r>
            <w:r w:rsidRPr="0070303A">
              <w:rPr>
                <w:rFonts w:ascii="Calibri" w:eastAsia="Times New Roman" w:hAnsi="Calibri" w:cs="Calibri"/>
                <w:color w:val="000000"/>
                <w:lang w:val="en-US" w:eastAsia="fr-FR"/>
              </w:rPr>
              <w:t xml:space="preserve">150mg at </w:t>
            </w:r>
            <w:proofErr w:type="spellStart"/>
            <w:r w:rsidRPr="0070303A">
              <w:rPr>
                <w:rFonts w:ascii="Calibri" w:eastAsia="Times New Roman" w:hAnsi="Calibri" w:cs="Calibri"/>
                <w:color w:val="000000"/>
                <w:lang w:val="en-US" w:eastAsia="fr-FR"/>
              </w:rPr>
              <w:t>wk</w:t>
            </w:r>
            <w:proofErr w:type="spellEnd"/>
            <w:r>
              <w:rPr>
                <w:rFonts w:ascii="Calibri" w:eastAsia="Times New Roman" w:hAnsi="Calibri" w:cs="Calibri"/>
                <w:color w:val="000000"/>
                <w:lang w:val="en-US" w:eastAsia="fr-FR"/>
              </w:rPr>
              <w:t> </w:t>
            </w:r>
            <w:r w:rsidRPr="0070303A">
              <w:rPr>
                <w:rFonts w:ascii="Calibri" w:eastAsia="Times New Roman" w:hAnsi="Calibri" w:cs="Calibri"/>
                <w:color w:val="000000"/>
                <w:lang w:val="en-US" w:eastAsia="fr-FR"/>
              </w:rPr>
              <w:t>0 and then /4wk</w:t>
            </w:r>
          </w:p>
          <w:p w14:paraId="4A1FD7B6" w14:textId="77777777" w:rsidR="00156725" w:rsidRPr="003A7BA3" w:rsidRDefault="00156725" w:rsidP="00B83CF3">
            <w:pPr>
              <w:spacing w:after="0" w:line="240" w:lineRule="auto"/>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Placebo</w:t>
            </w:r>
          </w:p>
        </w:tc>
        <w:tc>
          <w:tcPr>
            <w:tcW w:w="992" w:type="dxa"/>
            <w:tcBorders>
              <w:top w:val="single" w:sz="4" w:space="0" w:color="auto"/>
              <w:left w:val="nil"/>
              <w:right w:val="single" w:sz="8" w:space="0" w:color="auto"/>
            </w:tcBorders>
            <w:noWrap/>
            <w:vAlign w:val="center"/>
          </w:tcPr>
          <w:p w14:paraId="42A3326A"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52</w:t>
            </w:r>
          </w:p>
        </w:tc>
      </w:tr>
      <w:tr w:rsidR="00156725" w:rsidRPr="00830A4F" w14:paraId="55797591" w14:textId="77777777" w:rsidTr="00B83CF3">
        <w:trPr>
          <w:trHeight w:val="289"/>
        </w:trPr>
        <w:tc>
          <w:tcPr>
            <w:tcW w:w="1266" w:type="dxa"/>
            <w:tcBorders>
              <w:left w:val="single" w:sz="8" w:space="0" w:color="auto"/>
              <w:bottom w:val="nil"/>
              <w:right w:val="nil"/>
            </w:tcBorders>
            <w:shd w:val="clear" w:color="auto" w:fill="F2F2F2" w:themeFill="background1" w:themeFillShade="F2"/>
            <w:noWrap/>
            <w:vAlign w:val="center"/>
            <w:hideMark/>
          </w:tcPr>
          <w:p w14:paraId="54F490B3" w14:textId="77777777" w:rsidR="00156725" w:rsidRPr="003A7BA3" w:rsidRDefault="00156725" w:rsidP="00B83CF3">
            <w:pPr>
              <w:spacing w:after="0" w:line="240" w:lineRule="auto"/>
              <w:rPr>
                <w:rFonts w:ascii="Calibri" w:eastAsia="Times New Roman" w:hAnsi="Calibri" w:cs="Calibri"/>
                <w:color w:val="000000"/>
                <w:lang w:val="en-US" w:eastAsia="fr-FR"/>
              </w:rPr>
            </w:pPr>
            <w:proofErr w:type="spellStart"/>
            <w:r w:rsidRPr="003A7BA3">
              <w:rPr>
                <w:rFonts w:ascii="Calibri" w:eastAsia="Times New Roman" w:hAnsi="Calibri" w:cs="Calibri"/>
                <w:color w:val="000000"/>
                <w:lang w:val="en-US" w:eastAsia="fr-FR"/>
              </w:rPr>
              <w:t>Baeten</w:t>
            </w:r>
            <w:proofErr w:type="spellEnd"/>
            <w:r w:rsidRPr="003A7BA3">
              <w:rPr>
                <w:rFonts w:ascii="Calibri" w:eastAsia="Times New Roman" w:hAnsi="Calibri" w:cs="Calibri"/>
                <w:color w:val="000000"/>
                <w:lang w:val="en-US" w:eastAsia="fr-FR"/>
              </w:rPr>
              <w:t xml:space="preserve"> D.</w:t>
            </w:r>
            <w:r>
              <w:rPr>
                <w:rFonts w:ascii="Calibri" w:eastAsia="Times New Roman" w:hAnsi="Calibri" w:cs="Calibri"/>
                <w:color w:val="000000"/>
                <w:lang w:eastAsia="fr-FR"/>
              </w:rPr>
              <w:fldChar w:fldCharType="begin"/>
            </w:r>
            <w:r w:rsidRPr="003A7BA3">
              <w:rPr>
                <w:rFonts w:ascii="Calibri" w:eastAsia="Times New Roman" w:hAnsi="Calibri" w:cs="Calibri"/>
                <w:color w:val="000000"/>
                <w:lang w:val="en-US" w:eastAsia="fr-FR"/>
              </w:rPr>
              <w:instrText xml:space="preserve"> ADDIN ZOTERO_ITEM CSL_CITATION {"citationID":"hcRdkAoB","properties":{"formattedCitation":"\\super 51\\nosupersub{}","plainCitation":"51","noteIndex":0},"citationItems":[{"id":6121,"uris":["http://zotero.org/users/5006036/items/PXGLFGCJ"],"uri":["http://zotero.org/users/5006036/items/PXGLFGCJ"],"itemData":{"id":6121,"type":"article-journal","abstract":"BACKGROUND: Ankylosing spondylitis is a chronic immune-mediated inflammatory disease characterised by spinal inflammation, progressive spinal rigidity, and peripheral arthritis. Interleukin 17 (IL-17) is thought to be a key inflammatory cytokine in the development of ankylosing spondylitis, the prototypical form of spondyloarthritis. We assessed the efficacy and safety of the anti-IL-17A monoclonal antibody secukinumab in treating patients with active ankylosing spondylitis.\nMETHODS: We did a randomised double-blind proof-of-concept study at eight centres in Europe (four in Germany, two in the Netherlands, and two in the UK). Patients aged 18-65 years were randomly assigned (in a 4:1 ratio) to either intravenous secukinumab (2×10 mg/kg) or placebo, given 3 weeks apart. Randomisation was done with a computer-generated block randomisation list without a stratification process. The primary efficacy endpoint was the percentage of patients with a 20% response according to the Assessment of SpondyloArthr</w:instrText>
            </w:r>
            <w:r>
              <w:rPr>
                <w:rFonts w:ascii="Calibri" w:eastAsia="Times New Roman" w:hAnsi="Calibri" w:cs="Calibri"/>
                <w:color w:val="000000"/>
                <w:lang w:eastAsia="fr-FR"/>
              </w:rPr>
              <w:instrText>itis international Society criteria for improvement (ASAS20) at week 6 (Bayesian analysis). Safety was assessed up to week 28. This study is registered with ClinicalTrials.gov, number NCT00809159.\nFINDINGS: 37 patients with moderate-to-severe ankylosing spondylitis were screened, and 30 were randomly assigned to receive either intravenous secukinumab (n=24) or placebo (n=6). The final efficacy analysis included 23 patients receiving secukinumab and six patients receiving placebo, and the safety analysis included all 30 patients. At week 6, ASAS20 response estimates were 59% on secukinumab versus 24% on placebo (99·8% probability that secukinumab is superior to placebo). One serious adverse event (subcutaneous abscess caused by Staphylococcus aureus) occurred in the secukinumab-treated group.\nINTERPRETATION: Secukinumab rapidly reduced clinical or biological signs of active ankylosing spondylitis and was well tolerated. It is the first targeted therapy that we know of that is an alternative to tumour necrosis factor inhibition to reach its primary endpoint in a phase 2 trial.\nFUNDING: Novartis.","container-title":"Lancet (London, England)","DOI":"10.1016/S0140-6736(13)61134-4","ISSN":"</w:instrText>
            </w:r>
            <w:r w:rsidRPr="003A7BA3">
              <w:rPr>
                <w:rFonts w:ascii="Calibri" w:eastAsia="Times New Roman" w:hAnsi="Calibri" w:cs="Calibri"/>
                <w:color w:val="000000"/>
                <w:lang w:val="en-US" w:eastAsia="fr-FR"/>
              </w:rPr>
              <w:instrText xml:space="preserve">1474-547X","issue":"9906","journalAbbreviation":"Lancet","language":"eng","note":"PMID: 24035250","page":"1705-1713","source":"PubMed","title":"Anti-interleukin-17A monoclonal antibody secukinumab in treatment of ankylosing spondylitis: a randomised, double-blind, placebo-controlled trial","title-short":"Anti-interleukin-17A monoclonal antibody secukinumab in treatment of ankylosing spondylitis","volume":"382","author":[{"family":"Baeten","given":"Dominique"},{"family":"Baraliakos","given":"Xenofon"},{"family":"Braun","given":"Jürgen"},{"family":"Sieper","given":"Joachim"},{"family":"Emery","given":"Paul"},{"family":"Heijde","given":"Désirée","non-dropping-particle":"van der"},{"family":"McInnes","given":"Iain"},{"family":"Laar","given":"Jacob M.","non-dropping-particle":"van"},{"family":"Landewé","given":"Robert"},{"family":"Wordsworth","given":"Paul"},{"family":"Wollenhaupt","given":"Jürgen"},{"family":"Kellner","given":"Herbert"},{"family":"Paramarta","given":"Jacqueline"},{"family":"Wei","given":"Jiawei"},{"family":"Brachat","given":"Arndt"},{"family":"Bek","given":"Stephan"},{"family":"Laurent","given":"Didier"},{"family":"Li","given":"Yali"},{"family":"Wang","given":"Ying A."},{"family":"Bertolino","given":"Arthur P."},{"family":"Gsteiger","given":"Sandro"},{"family":"Wright","given":"Andrew M."},{"family":"Hueber","given":"Wolfgang"}],"issued":{"date-parts":[["2013",11,23]]}}}],"schema":"https://github.com/citation-style-language/schema/raw/master/csl-citation.json"} </w:instrText>
            </w:r>
            <w:r>
              <w:rPr>
                <w:rFonts w:ascii="Calibri" w:eastAsia="Times New Roman" w:hAnsi="Calibri" w:cs="Calibri"/>
                <w:color w:val="000000"/>
                <w:lang w:eastAsia="fr-FR"/>
              </w:rPr>
              <w:fldChar w:fldCharType="separate"/>
            </w:r>
            <w:r w:rsidRPr="003A7BA3">
              <w:rPr>
                <w:rFonts w:ascii="Calibri" w:hAnsi="Calibri" w:cs="Calibri"/>
                <w:szCs w:val="24"/>
                <w:vertAlign w:val="superscript"/>
                <w:lang w:val="en-US"/>
              </w:rPr>
              <w:t>51</w:t>
            </w:r>
            <w:r>
              <w:rPr>
                <w:rFonts w:ascii="Calibri" w:eastAsia="Times New Roman" w:hAnsi="Calibri" w:cs="Calibri"/>
                <w:color w:val="000000"/>
                <w:lang w:eastAsia="fr-FR"/>
              </w:rPr>
              <w:fldChar w:fldCharType="end"/>
            </w:r>
          </w:p>
        </w:tc>
        <w:tc>
          <w:tcPr>
            <w:tcW w:w="709" w:type="dxa"/>
            <w:shd w:val="clear" w:color="auto" w:fill="F2F2F2" w:themeFill="background1" w:themeFillShade="F2"/>
            <w:noWrap/>
            <w:vAlign w:val="center"/>
            <w:hideMark/>
          </w:tcPr>
          <w:p w14:paraId="45601345"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2013</w:t>
            </w:r>
          </w:p>
        </w:tc>
        <w:tc>
          <w:tcPr>
            <w:tcW w:w="1559" w:type="dxa"/>
            <w:shd w:val="clear" w:color="auto" w:fill="F2F2F2" w:themeFill="background1" w:themeFillShade="F2"/>
            <w:noWrap/>
            <w:vAlign w:val="center"/>
            <w:hideMark/>
          </w:tcPr>
          <w:p w14:paraId="11D01BA8"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proofErr w:type="spellStart"/>
            <w:r w:rsidRPr="003A7BA3">
              <w:rPr>
                <w:rFonts w:ascii="Calibri" w:eastAsia="Times New Roman" w:hAnsi="Calibri" w:cs="Calibri"/>
                <w:color w:val="000000"/>
                <w:lang w:val="en-US" w:eastAsia="fr-FR"/>
              </w:rPr>
              <w:t>Secukinumab</w:t>
            </w:r>
            <w:proofErr w:type="spellEnd"/>
          </w:p>
        </w:tc>
        <w:tc>
          <w:tcPr>
            <w:tcW w:w="567" w:type="dxa"/>
            <w:shd w:val="clear" w:color="auto" w:fill="F2F2F2" w:themeFill="background1" w:themeFillShade="F2"/>
            <w:noWrap/>
            <w:vAlign w:val="center"/>
            <w:hideMark/>
          </w:tcPr>
          <w:p w14:paraId="77C1AA7C"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24</w:t>
            </w:r>
          </w:p>
        </w:tc>
        <w:tc>
          <w:tcPr>
            <w:tcW w:w="1276" w:type="dxa"/>
            <w:shd w:val="clear" w:color="auto" w:fill="F2F2F2" w:themeFill="background1" w:themeFillShade="F2"/>
            <w:noWrap/>
            <w:vAlign w:val="center"/>
            <w:hideMark/>
          </w:tcPr>
          <w:p w14:paraId="5BB64890"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Placebo</w:t>
            </w:r>
          </w:p>
        </w:tc>
        <w:tc>
          <w:tcPr>
            <w:tcW w:w="567" w:type="dxa"/>
            <w:shd w:val="clear" w:color="auto" w:fill="F2F2F2" w:themeFill="background1" w:themeFillShade="F2"/>
            <w:noWrap/>
            <w:vAlign w:val="center"/>
            <w:hideMark/>
          </w:tcPr>
          <w:p w14:paraId="7B0A9D57"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6</w:t>
            </w:r>
          </w:p>
        </w:tc>
        <w:tc>
          <w:tcPr>
            <w:tcW w:w="2693" w:type="dxa"/>
            <w:shd w:val="clear" w:color="auto" w:fill="F2F2F2" w:themeFill="background1" w:themeFillShade="F2"/>
            <w:noWrap/>
            <w:vAlign w:val="center"/>
            <w:hideMark/>
          </w:tcPr>
          <w:p w14:paraId="61431B6C"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SCK IV 10 mg/kg /3wk</w:t>
            </w:r>
            <w:r>
              <w:rPr>
                <w:rFonts w:ascii="Calibri" w:eastAsia="Times New Roman" w:hAnsi="Calibri" w:cs="Calibri"/>
                <w:color w:val="000000"/>
                <w:lang w:val="en-029" w:eastAsia="fr-FR"/>
              </w:rPr>
              <w:br/>
              <w:t>Placebo</w:t>
            </w:r>
          </w:p>
        </w:tc>
        <w:tc>
          <w:tcPr>
            <w:tcW w:w="992" w:type="dxa"/>
            <w:tcBorders>
              <w:left w:val="nil"/>
              <w:bottom w:val="nil"/>
              <w:right w:val="single" w:sz="8" w:space="0" w:color="auto"/>
            </w:tcBorders>
            <w:shd w:val="clear" w:color="auto" w:fill="F2F2F2" w:themeFill="background1" w:themeFillShade="F2"/>
            <w:noWrap/>
            <w:vAlign w:val="center"/>
            <w:hideMark/>
          </w:tcPr>
          <w:p w14:paraId="667FF225"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28</w:t>
            </w:r>
          </w:p>
        </w:tc>
      </w:tr>
      <w:tr w:rsidR="00156725" w:rsidRPr="00830A4F" w14:paraId="6B41F1C4" w14:textId="77777777" w:rsidTr="00B83CF3">
        <w:trPr>
          <w:trHeight w:val="1447"/>
        </w:trPr>
        <w:tc>
          <w:tcPr>
            <w:tcW w:w="1266" w:type="dxa"/>
            <w:tcBorders>
              <w:top w:val="nil"/>
              <w:left w:val="single" w:sz="8" w:space="0" w:color="auto"/>
              <w:bottom w:val="nil"/>
              <w:right w:val="nil"/>
            </w:tcBorders>
            <w:noWrap/>
            <w:vAlign w:val="center"/>
            <w:hideMark/>
          </w:tcPr>
          <w:p w14:paraId="2FA02CBE" w14:textId="77777777" w:rsidR="00156725" w:rsidRPr="003A7BA3" w:rsidRDefault="00156725" w:rsidP="00B83CF3">
            <w:pPr>
              <w:spacing w:after="0" w:line="240" w:lineRule="auto"/>
              <w:rPr>
                <w:rFonts w:ascii="Calibri" w:eastAsia="Times New Roman" w:hAnsi="Calibri" w:cs="Calibri"/>
                <w:color w:val="000000"/>
                <w:lang w:val="en-US" w:eastAsia="fr-FR"/>
              </w:rPr>
            </w:pPr>
            <w:proofErr w:type="spellStart"/>
            <w:r w:rsidRPr="003A7BA3">
              <w:rPr>
                <w:rFonts w:ascii="Calibri" w:eastAsia="Times New Roman" w:hAnsi="Calibri" w:cs="Calibri"/>
                <w:color w:val="000000"/>
                <w:lang w:val="en-US" w:eastAsia="fr-FR"/>
              </w:rPr>
              <w:t>Baeten</w:t>
            </w:r>
            <w:proofErr w:type="spellEnd"/>
            <w:r w:rsidRPr="003A7BA3">
              <w:rPr>
                <w:rFonts w:ascii="Calibri" w:eastAsia="Times New Roman" w:hAnsi="Calibri" w:cs="Calibri"/>
                <w:color w:val="000000"/>
                <w:lang w:val="en-US" w:eastAsia="fr-FR"/>
              </w:rPr>
              <w:t xml:space="preserve"> D.</w:t>
            </w:r>
            <w:r>
              <w:rPr>
                <w:rFonts w:ascii="Calibri" w:eastAsia="Times New Roman" w:hAnsi="Calibri" w:cs="Calibri"/>
                <w:color w:val="000000"/>
                <w:lang w:eastAsia="fr-FR"/>
              </w:rPr>
              <w:fldChar w:fldCharType="begin"/>
            </w:r>
            <w:r w:rsidRPr="003A7BA3">
              <w:rPr>
                <w:rFonts w:ascii="Calibri" w:eastAsia="Times New Roman" w:hAnsi="Calibri" w:cs="Calibri"/>
                <w:color w:val="000000"/>
                <w:lang w:val="en-US" w:eastAsia="fr-FR"/>
              </w:rPr>
              <w:instrText xml:space="preserve"> ADDIN ZOTERO_ITEM CSL_CITATION {"citationID":"Zcje7qjx","properties":{"formattedCitation":"\\super 50\\nosupersub{}","plainCitation":"50","noteIndex":0},"citationItems":[{"id":6123,"uris":["http://zotero.org/users/5006036/items/JLXGM2SS"],"uri":["http://zotero.org/users/5006036/items/JLXGM2SS"],"itemData":{"id":6123,"type":"article-journal","abstract":"BACKGROUND: Secukinumab is an anti-interleukin-17A monoclonal antibody that has been shown to control the symptoms of ankylosing spondylitis in a phase 2 trial. We conducted two phase 3 trials of secukinumab in patients with active ankylosing spondylitis.\nMETHODS: In two double-blind trials, we randomly assigned patients to receive secukinumab or placebo. In MEASURE 1, a total of 371 patients received intravenous secukinumab (10 mg per kilogram of body weight) or matched placebo at weeks 0, 2, and 4, followed by subcutaneous secukinumab (150 mg or 75 mg) or matched placebo every 4 weeks starting at week 8. In MEASURE 2, a total of 219 patients received subcutaneous secukinumab (150 mg or 75 mg) or matched placebo at baseline; at weeks 1, 2, and 3; and every 4 weeks starting at week 4. At week 16, patients in the placebo group were randomly reassigned to subcutaneous secukinumab at a dose of 150 mg or 75 mg. The primary end point was the proportion of patients with at least 20% improvement in Assessment of Spondyloarthritis International Society (ASAS</w:instrText>
            </w:r>
            <w:r>
              <w:rPr>
                <w:rFonts w:ascii="Calibri" w:eastAsia="Times New Roman" w:hAnsi="Calibri" w:cs="Calibri"/>
                <w:color w:val="000000"/>
                <w:lang w:eastAsia="fr-FR"/>
              </w:rPr>
              <w:instrText>20) response criteria at week 16.\nRESULTS: In MEASURE 1, the ASAS20 response rates at week 16 were 61%, 60%, and 29% for subcutaneous secukinumab at doses of 150 mg and 75 mg and for placebo, respectively (P&lt;0.001 for both comparisons with placebo); in MEASURE 2, the rates were 61%, 41%, and 28% for subcutaneous secukinumab at doses of 150 mg and 75 mg and for placebo, respectively (P&lt;0.001 for the 150-mg dose and P=0.10 for the 75-mg dose). The significant improvements were sustained through 52 weeks. Infections, including candidiasis, were more common with secukinumab than with placebo during the placebo-controlled period of MEASURE 1. During the entire treatment period, pooled exposure-adjusted incidence rates of grade 3 or 4 neutropenia, candida infections, and Crohn's disease were 0.7, 0.9, and 0.7</w:instrText>
            </w:r>
            <w:r w:rsidRPr="003A7BA3">
              <w:rPr>
                <w:rFonts w:ascii="Calibri" w:eastAsia="Times New Roman" w:hAnsi="Calibri" w:cs="Calibri"/>
                <w:color w:val="000000"/>
                <w:lang w:val="en-US" w:eastAsia="fr-FR"/>
              </w:rPr>
              <w:instrText xml:space="preserve"> cases per 100 patient-years, respectively, in secukinumab-treated patients.\nCONCLUSIONS: Secukinumab at a subcutaneous dose of 150 mg, with either subcutaneous or intravenous loading, provided significant reductions in the signs and symptoms of ankylosing spondylitis at week 16. Secukinumab at a subcutaneous dose of 75 mg resulted in significant improvement only with a higher intravenous loading dose. (Funded by Novartis Pharma; ClinicalTrials.gov numbers, NCT01358175 and NCT01649375.).","container-title":"The New England Journal of Medicine","DOI":"10.1056/NEJMoa1505066","ISSN":"1533-4406","issue":"26","journalAbbreviation":"N. Engl. J. Med.","language":"eng","note":"PMID: 26699169","page":"2534-2548","source":"PubMed","title":"Secukinumab, an Interleukin-17A Inhibitor, in Ankylosing Spondylitis","volume":"373","author":[{"family":"Baeten","given":"Dominique"},{"family":"Sieper","given":"Joachim"},{"family":"Braun","given":"Jürgen"},{"family":"Baraliakos","given":"Xenofon"},{"family":"Dougados","given":"Maxime"},{"family":"Emery","given":"Paul"},{"family":"Deodhar","given":"Atul"},{"family":"Porter","given":"Brian"},{"family":"Martin","given":"Ruvie"},{"family":"Andersson","given":"Mats"},{"family":"Mpofu","given":"Shephard"},{"family":"Richards","given":"Hanno B."},{"literal":"MEASURE 1  Study Group"},{"literal":"MEASURE 2 Study Group"}],"issued":{"date-parts":[["2015",12,24]]}}}],"schema":"https://github.com/citation-style-language/schema/raw/master/csl-citation.json"} </w:instrText>
            </w:r>
            <w:r>
              <w:rPr>
                <w:rFonts w:ascii="Calibri" w:eastAsia="Times New Roman" w:hAnsi="Calibri" w:cs="Calibri"/>
                <w:color w:val="000000"/>
                <w:lang w:eastAsia="fr-FR"/>
              </w:rPr>
              <w:fldChar w:fldCharType="separate"/>
            </w:r>
            <w:r w:rsidRPr="003A7BA3">
              <w:rPr>
                <w:rFonts w:ascii="Calibri" w:hAnsi="Calibri" w:cs="Calibri"/>
                <w:szCs w:val="24"/>
                <w:vertAlign w:val="superscript"/>
                <w:lang w:val="en-US"/>
              </w:rPr>
              <w:t>50</w:t>
            </w:r>
            <w:r>
              <w:rPr>
                <w:rFonts w:ascii="Calibri" w:eastAsia="Times New Roman" w:hAnsi="Calibri" w:cs="Calibri"/>
                <w:color w:val="000000"/>
                <w:lang w:eastAsia="fr-FR"/>
              </w:rPr>
              <w:fldChar w:fldCharType="end"/>
            </w:r>
            <w:r w:rsidRPr="003A7BA3">
              <w:rPr>
                <w:rFonts w:ascii="Calibri" w:eastAsia="Times New Roman" w:hAnsi="Calibri" w:cs="Calibri"/>
                <w:color w:val="000000"/>
                <w:lang w:val="en-US" w:eastAsia="fr-FR"/>
              </w:rPr>
              <w:t xml:space="preserve"> </w:t>
            </w:r>
          </w:p>
        </w:tc>
        <w:tc>
          <w:tcPr>
            <w:tcW w:w="709" w:type="dxa"/>
            <w:noWrap/>
            <w:vAlign w:val="center"/>
            <w:hideMark/>
          </w:tcPr>
          <w:p w14:paraId="2EE15289"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2015</w:t>
            </w:r>
          </w:p>
        </w:tc>
        <w:tc>
          <w:tcPr>
            <w:tcW w:w="1559" w:type="dxa"/>
            <w:noWrap/>
            <w:vAlign w:val="center"/>
            <w:hideMark/>
          </w:tcPr>
          <w:p w14:paraId="15281F9F"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proofErr w:type="spellStart"/>
            <w:r w:rsidRPr="003A7BA3">
              <w:rPr>
                <w:rFonts w:ascii="Calibri" w:eastAsia="Times New Roman" w:hAnsi="Calibri" w:cs="Calibri"/>
                <w:color w:val="000000"/>
                <w:lang w:val="en-US" w:eastAsia="fr-FR"/>
              </w:rPr>
              <w:t>Secukinumab</w:t>
            </w:r>
            <w:proofErr w:type="spellEnd"/>
          </w:p>
        </w:tc>
        <w:tc>
          <w:tcPr>
            <w:tcW w:w="567" w:type="dxa"/>
            <w:noWrap/>
            <w:vAlign w:val="center"/>
            <w:hideMark/>
          </w:tcPr>
          <w:p w14:paraId="3F51E609"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394</w:t>
            </w:r>
          </w:p>
        </w:tc>
        <w:tc>
          <w:tcPr>
            <w:tcW w:w="1276" w:type="dxa"/>
            <w:noWrap/>
            <w:vAlign w:val="center"/>
            <w:hideMark/>
          </w:tcPr>
          <w:p w14:paraId="43F2C7DA"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Placebo</w:t>
            </w:r>
          </w:p>
        </w:tc>
        <w:tc>
          <w:tcPr>
            <w:tcW w:w="567" w:type="dxa"/>
            <w:noWrap/>
            <w:vAlign w:val="center"/>
            <w:hideMark/>
          </w:tcPr>
          <w:p w14:paraId="53E9D534"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196</w:t>
            </w:r>
          </w:p>
        </w:tc>
        <w:tc>
          <w:tcPr>
            <w:tcW w:w="2693" w:type="dxa"/>
            <w:vAlign w:val="center"/>
            <w:hideMark/>
          </w:tcPr>
          <w:p w14:paraId="4CA51204"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 xml:space="preserve">SCK IV 10 mg/kg /2wk 3x then </w:t>
            </w:r>
            <w:r>
              <w:rPr>
                <w:rFonts w:ascii="Calibri" w:eastAsia="Times New Roman" w:hAnsi="Calibri" w:cs="Calibri"/>
                <w:color w:val="000000"/>
                <w:lang w:val="en-029" w:eastAsia="fr-FR"/>
              </w:rPr>
              <w:br/>
              <w:t>150 mg/4wk</w:t>
            </w:r>
            <w:r>
              <w:rPr>
                <w:rFonts w:ascii="Calibri" w:eastAsia="Times New Roman" w:hAnsi="Calibri" w:cs="Calibri"/>
                <w:color w:val="000000"/>
                <w:lang w:val="en-029" w:eastAsia="fr-FR"/>
              </w:rPr>
              <w:br/>
              <w:t>SCK IV 10 mg/kg /2wk 3x then 75 mg/4wk</w:t>
            </w:r>
            <w:r>
              <w:rPr>
                <w:rFonts w:ascii="Calibri" w:eastAsia="Times New Roman" w:hAnsi="Calibri" w:cs="Calibri"/>
                <w:color w:val="000000"/>
                <w:lang w:val="en-029" w:eastAsia="fr-FR"/>
              </w:rPr>
              <w:br/>
              <w:t xml:space="preserve">SCK 150 mg at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t> 0,1,2,3 and then /4wk</w:t>
            </w:r>
            <w:r>
              <w:rPr>
                <w:rFonts w:ascii="Calibri" w:eastAsia="Times New Roman" w:hAnsi="Calibri" w:cs="Calibri"/>
                <w:color w:val="000000"/>
                <w:lang w:val="en-029" w:eastAsia="fr-FR"/>
              </w:rPr>
              <w:br/>
              <w:t xml:space="preserve">SCK 75 mg at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t> 0,1,2,3 and then /4wk</w:t>
            </w:r>
            <w:r>
              <w:rPr>
                <w:rFonts w:ascii="Calibri" w:eastAsia="Times New Roman" w:hAnsi="Calibri" w:cs="Calibri"/>
                <w:color w:val="000000"/>
                <w:lang w:val="en-029" w:eastAsia="fr-FR"/>
              </w:rPr>
              <w:br/>
              <w:t>Placebo</w:t>
            </w:r>
          </w:p>
        </w:tc>
        <w:tc>
          <w:tcPr>
            <w:tcW w:w="992" w:type="dxa"/>
            <w:tcBorders>
              <w:top w:val="nil"/>
              <w:left w:val="nil"/>
              <w:bottom w:val="nil"/>
              <w:right w:val="single" w:sz="8" w:space="0" w:color="auto"/>
            </w:tcBorders>
            <w:noWrap/>
            <w:vAlign w:val="center"/>
            <w:hideMark/>
          </w:tcPr>
          <w:p w14:paraId="73B11365"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16</w:t>
            </w:r>
          </w:p>
        </w:tc>
      </w:tr>
      <w:tr w:rsidR="00156725" w14:paraId="63842F37" w14:textId="77777777" w:rsidTr="00B83CF3">
        <w:trPr>
          <w:trHeight w:val="868"/>
        </w:trPr>
        <w:tc>
          <w:tcPr>
            <w:tcW w:w="1266" w:type="dxa"/>
            <w:tcBorders>
              <w:top w:val="nil"/>
              <w:left w:val="single" w:sz="8" w:space="0" w:color="auto"/>
              <w:bottom w:val="nil"/>
              <w:right w:val="nil"/>
            </w:tcBorders>
            <w:shd w:val="clear" w:color="auto" w:fill="F2F2F2" w:themeFill="background1" w:themeFillShade="F2"/>
            <w:noWrap/>
            <w:vAlign w:val="center"/>
            <w:hideMark/>
          </w:tcPr>
          <w:p w14:paraId="5BE4D194" w14:textId="77777777" w:rsidR="00156725" w:rsidRDefault="00156725" w:rsidP="00B83CF3">
            <w:pPr>
              <w:spacing w:after="0" w:line="240" w:lineRule="auto"/>
              <w:rPr>
                <w:rFonts w:ascii="Calibri" w:eastAsia="Times New Roman" w:hAnsi="Calibri" w:cs="Calibri"/>
                <w:color w:val="000000"/>
                <w:lang w:eastAsia="fr-FR"/>
              </w:rPr>
            </w:pPr>
            <w:proofErr w:type="spellStart"/>
            <w:r w:rsidRPr="003A7BA3">
              <w:rPr>
                <w:rFonts w:ascii="Calibri" w:eastAsia="Times New Roman" w:hAnsi="Calibri" w:cs="Calibri"/>
                <w:color w:val="000000"/>
                <w:lang w:val="en-US" w:eastAsia="fr-FR"/>
              </w:rPr>
              <w:t>Pavelka</w:t>
            </w:r>
            <w:proofErr w:type="spellEnd"/>
            <w:r w:rsidRPr="003A7BA3">
              <w:rPr>
                <w:rFonts w:ascii="Calibri" w:eastAsia="Times New Roman" w:hAnsi="Calibri" w:cs="Calibri"/>
                <w:color w:val="000000"/>
                <w:lang w:val="en-US" w:eastAsia="fr-FR"/>
              </w:rPr>
              <w:t xml:space="preserve"> K.</w:t>
            </w:r>
            <w:r>
              <w:rPr>
                <w:rFonts w:ascii="Calibri" w:eastAsia="Times New Roman" w:hAnsi="Calibri" w:cs="Calibri"/>
                <w:color w:val="000000"/>
                <w:lang w:eastAsia="fr-FR"/>
              </w:rPr>
              <w:fldChar w:fldCharType="begin"/>
            </w:r>
            <w:r w:rsidRPr="003A7BA3">
              <w:rPr>
                <w:rFonts w:ascii="Calibri" w:eastAsia="Times New Roman" w:hAnsi="Calibri" w:cs="Calibri"/>
                <w:color w:val="000000"/>
                <w:lang w:val="en-US" w:eastAsia="fr-FR"/>
              </w:rPr>
              <w:instrText xml:space="preserve"> ADDIN ZOTERO_ITEM CSL_CITATION {"citationID":"mWC11axm","properties":{"formattedCitation":"\\super 49\\nosupersub{}","plainCitation":"49","noteIndex":0},"citationItems":[{"id":6126,"uris":["http://zotero.org/users/5006036/items/ZWI4TYLU"],"uri":["http://zotero.org/users/5006036/items/ZWI4TYLU"],"itemData":{"id":6126,"type":"article-journal","abstract":"BACKGROUND: Secukinumab, an anti-interleukin-17A monoclonal antibody, improved the signs and symptoms of ankylosing spondylitis (AS) in two phase 3 studies (MEASURE 1 and MEASURE 2). Here, we present 52-week results from the MEASURE 3 study assessing the efficacy and safety of secukinumab 300 and 150 mg subcutaneous maintenance dosing, following an intravenous loading regimen.\nMETHODS: A total of 226 patients were randomized to intravenous secukinumab 10 mg/kg (baseline, weeks 2 and 4) followed by subcutaneous secukinumab 300 mg (IV-300 mg) or 150 mg (IV-150 mg) every 4 weeks, or matched placebo. Patients in the placebo group were re-randomized to subcutaneous secukinumab at a dose of 300 or 150 mg at week 16. The primary endpoint was the Assessment of SpondyloArthritis international Society criteria for 20% improvement (ASAS20) response rate at week 16 in the IV-300 mg or IV-150 mg versus placebo. Other endpoin</w:instrText>
            </w:r>
            <w:r>
              <w:rPr>
                <w:rFonts w:ascii="Calibri" w:eastAsia="Times New Roman" w:hAnsi="Calibri" w:cs="Calibri"/>
                <w:color w:val="000000"/>
                <w:lang w:eastAsia="fr-FR"/>
              </w:rPr>
              <w:instrText xml:space="preserve">ts assessed through week 52 included improvements in ASAS40, ASAS 5/6, Bath Ankylosing Spondylitis Disease Activity Index, and ASAS partial remission responses, as well as the change from baseline in high-sensitivity C-reactive protein levels. Statistical analyses followed a predefined hierarchical hypothesis testing strategy to adjust for multiplicity of testing, with non-responder imputation used for binary variables and mixed-model repeated measures for continuous variables.\nRESULTS: The primary efficacy endpoint was met; the ASAS20 response rate was significantly greater at week 16 in the IV-300 mg (60.5%; P &lt; 0.01) and IV-150 mg (58.1%; P &lt; 0.05) groups versus placebo (36.8%). All secondary endpoints were met at week 16, except ASAS partial remission in the IV-150 mg group. Improvements achieved with secukinumab in all clinical endpoints at week 16 were also sustained at week 52. Infections, including candidiasis, were more common with secukinumab than with placebo during the placebo-controlled period. During the entire treatment period, pooled incidence rates of Candida infections and grade 3-4 neutropenia were 1.8% for both of these adverse events in secukinumab-treated patients.\nCONCLUSIONS: Secukinumab (300 mg and 150 mg dose groups) provided rapid, significant and sustained improvement through 52 weeks in the signs and symptoms of patients with AS. The safety profile was consistent with previous reports, with no new or unexpected findings.\nTRIAL REGISTRATION: ClinicalTrials.gov, NCT02008916 . Registered on 8 December 2013. EUDRACT 2013-001090-24. Registered on 24 October 2013). The study was not retrospectively registered.","container-title":"Arthritis Research &amp; Therapy","DOI":"10.1186/s13075-017-1490-y","ISSN":"1478-6362","issue":"1","journalAbbreviation":"Arthritis Res. Ther.","language":"eng","note":"PMID: 29273067\nPMCID: PMC5741872","page":"285","source":"PubMed","title":"Efficacy, safety, and tolerability of secukinumab in patients with active ankylosing spondylitis: a randomized, double-blind phase 3 study, MEASURE 3","title-short":"Efficacy, safety, and tolerability of secukinumab in patients with active ankylosing spondylitis","volume":"19","author":[{"family":"Pavelka","given":"Karel"},{"family":"Kivitz","given":"Alan"},{"family":"Dokoupilova","given":"Eva"},{"family":"Blanco","given":"Ricardo"},{"family":"Maradiaga","given":"Marco"},{"family":"Tahir","given":"Hasan"},{"family":"Pricop","given":"Luminita"},{"family":"Andersson","given":"Mats"},{"family":"Readie","given":"Aimee"},{"family":"Porter","given":"Brian"}],"issued":{"date-parts":[["2017"]],"season":"22"}}}],"schema":"https://github.com/citation-style-language/schema/raw/master/csl-citation.json"} </w:instrText>
            </w:r>
            <w:r>
              <w:rPr>
                <w:rFonts w:ascii="Calibri" w:eastAsia="Times New Roman" w:hAnsi="Calibri" w:cs="Calibri"/>
                <w:color w:val="000000"/>
                <w:lang w:eastAsia="fr-FR"/>
              </w:rPr>
              <w:fldChar w:fldCharType="separate"/>
            </w:r>
            <w:r w:rsidRPr="009C1DFE">
              <w:rPr>
                <w:rFonts w:ascii="Calibri" w:hAnsi="Calibri" w:cs="Calibri"/>
                <w:szCs w:val="24"/>
                <w:vertAlign w:val="superscript"/>
              </w:rPr>
              <w:t>49</w:t>
            </w:r>
            <w:r>
              <w:rPr>
                <w:rFonts w:ascii="Calibri" w:eastAsia="Times New Roman" w:hAnsi="Calibri" w:cs="Calibri"/>
                <w:color w:val="000000"/>
                <w:lang w:eastAsia="fr-FR"/>
              </w:rPr>
              <w:fldChar w:fldCharType="end"/>
            </w:r>
            <w:r>
              <w:rPr>
                <w:rFonts w:ascii="Calibri" w:eastAsia="Times New Roman" w:hAnsi="Calibri" w:cs="Calibri"/>
                <w:color w:val="000000"/>
                <w:lang w:eastAsia="fr-FR"/>
              </w:rPr>
              <w:t xml:space="preserve"> </w:t>
            </w:r>
          </w:p>
        </w:tc>
        <w:tc>
          <w:tcPr>
            <w:tcW w:w="709" w:type="dxa"/>
            <w:shd w:val="clear" w:color="auto" w:fill="F2F2F2" w:themeFill="background1" w:themeFillShade="F2"/>
            <w:noWrap/>
            <w:vAlign w:val="center"/>
            <w:hideMark/>
          </w:tcPr>
          <w:p w14:paraId="744911D3"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2017</w:t>
            </w:r>
          </w:p>
        </w:tc>
        <w:tc>
          <w:tcPr>
            <w:tcW w:w="1559" w:type="dxa"/>
            <w:shd w:val="clear" w:color="auto" w:fill="F2F2F2" w:themeFill="background1" w:themeFillShade="F2"/>
            <w:noWrap/>
            <w:vAlign w:val="center"/>
            <w:hideMark/>
          </w:tcPr>
          <w:p w14:paraId="323DBD8B"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Secukinumab</w:t>
            </w:r>
            <w:proofErr w:type="spellEnd"/>
          </w:p>
        </w:tc>
        <w:tc>
          <w:tcPr>
            <w:tcW w:w="567" w:type="dxa"/>
            <w:shd w:val="clear" w:color="auto" w:fill="F2F2F2" w:themeFill="background1" w:themeFillShade="F2"/>
            <w:noWrap/>
            <w:vAlign w:val="center"/>
            <w:hideMark/>
          </w:tcPr>
          <w:p w14:paraId="059D5AF0"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150</w:t>
            </w:r>
          </w:p>
        </w:tc>
        <w:tc>
          <w:tcPr>
            <w:tcW w:w="1276" w:type="dxa"/>
            <w:shd w:val="clear" w:color="auto" w:fill="F2F2F2" w:themeFill="background1" w:themeFillShade="F2"/>
            <w:noWrap/>
            <w:vAlign w:val="center"/>
            <w:hideMark/>
          </w:tcPr>
          <w:p w14:paraId="00B649B6"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Placebo</w:t>
            </w:r>
          </w:p>
        </w:tc>
        <w:tc>
          <w:tcPr>
            <w:tcW w:w="567" w:type="dxa"/>
            <w:shd w:val="clear" w:color="auto" w:fill="F2F2F2" w:themeFill="background1" w:themeFillShade="F2"/>
            <w:noWrap/>
            <w:vAlign w:val="center"/>
            <w:hideMark/>
          </w:tcPr>
          <w:p w14:paraId="6C367826"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75</w:t>
            </w:r>
          </w:p>
        </w:tc>
        <w:tc>
          <w:tcPr>
            <w:tcW w:w="2693" w:type="dxa"/>
            <w:shd w:val="clear" w:color="auto" w:fill="F2F2F2" w:themeFill="background1" w:themeFillShade="F2"/>
            <w:vAlign w:val="center"/>
            <w:hideMark/>
          </w:tcPr>
          <w:p w14:paraId="00AC2A05" w14:textId="77777777" w:rsidR="00156725" w:rsidRPr="003A7BA3" w:rsidRDefault="00156725" w:rsidP="00B83CF3">
            <w:pPr>
              <w:spacing w:after="0" w:line="240" w:lineRule="auto"/>
              <w:rPr>
                <w:rFonts w:ascii="Calibri" w:eastAsia="Times New Roman" w:hAnsi="Calibri" w:cs="Calibri"/>
                <w:color w:val="000000"/>
                <w:lang w:eastAsia="fr-FR"/>
              </w:rPr>
            </w:pPr>
            <w:r w:rsidRPr="003A7BA3">
              <w:rPr>
                <w:rFonts w:ascii="Calibri" w:eastAsia="Times New Roman" w:hAnsi="Calibri" w:cs="Calibri"/>
                <w:color w:val="000000"/>
                <w:lang w:eastAsia="fr-FR"/>
              </w:rPr>
              <w:t xml:space="preserve">SCK IV 10 mg/kg /2wk 3x </w:t>
            </w:r>
            <w:proofErr w:type="spellStart"/>
            <w:r w:rsidRPr="003A7BA3">
              <w:rPr>
                <w:rFonts w:ascii="Calibri" w:eastAsia="Times New Roman" w:hAnsi="Calibri" w:cs="Calibri"/>
                <w:color w:val="000000"/>
                <w:lang w:eastAsia="fr-FR"/>
              </w:rPr>
              <w:t>then</w:t>
            </w:r>
            <w:proofErr w:type="spellEnd"/>
            <w:r w:rsidRPr="003A7BA3">
              <w:rPr>
                <w:rFonts w:ascii="Calibri" w:eastAsia="Times New Roman" w:hAnsi="Calibri" w:cs="Calibri"/>
                <w:color w:val="000000"/>
                <w:lang w:eastAsia="fr-FR"/>
              </w:rPr>
              <w:t xml:space="preserve"> </w:t>
            </w:r>
            <w:r w:rsidRPr="003A7BA3">
              <w:rPr>
                <w:rFonts w:ascii="Calibri" w:eastAsia="Times New Roman" w:hAnsi="Calibri" w:cs="Calibri"/>
                <w:color w:val="000000"/>
                <w:lang w:eastAsia="fr-FR"/>
              </w:rPr>
              <w:br/>
              <w:t>150 mg/4wk</w:t>
            </w:r>
            <w:r w:rsidRPr="003A7BA3">
              <w:rPr>
                <w:rFonts w:ascii="Calibri" w:eastAsia="Times New Roman" w:hAnsi="Calibri" w:cs="Calibri"/>
                <w:color w:val="000000"/>
                <w:lang w:eastAsia="fr-FR"/>
              </w:rPr>
              <w:br/>
              <w:t xml:space="preserve">SCK IV 10 mg/kg /2wk 3x </w:t>
            </w:r>
            <w:proofErr w:type="spellStart"/>
            <w:r w:rsidRPr="003A7BA3">
              <w:rPr>
                <w:rFonts w:ascii="Calibri" w:eastAsia="Times New Roman" w:hAnsi="Calibri" w:cs="Calibri"/>
                <w:color w:val="000000"/>
                <w:lang w:eastAsia="fr-FR"/>
              </w:rPr>
              <w:t>then</w:t>
            </w:r>
            <w:proofErr w:type="spellEnd"/>
            <w:r w:rsidRPr="003A7BA3">
              <w:rPr>
                <w:rFonts w:ascii="Calibri" w:eastAsia="Times New Roman" w:hAnsi="Calibri" w:cs="Calibri"/>
                <w:color w:val="000000"/>
                <w:lang w:eastAsia="fr-FR"/>
              </w:rPr>
              <w:t xml:space="preserve"> 75 mg/4wk</w:t>
            </w:r>
            <w:r w:rsidRPr="003A7BA3">
              <w:rPr>
                <w:rFonts w:ascii="Calibri" w:eastAsia="Times New Roman" w:hAnsi="Calibri" w:cs="Calibri"/>
                <w:color w:val="000000"/>
                <w:lang w:eastAsia="fr-FR"/>
              </w:rPr>
              <w:br/>
              <w:t>Placebo</w:t>
            </w:r>
          </w:p>
        </w:tc>
        <w:tc>
          <w:tcPr>
            <w:tcW w:w="992" w:type="dxa"/>
            <w:tcBorders>
              <w:top w:val="nil"/>
              <w:left w:val="nil"/>
              <w:bottom w:val="nil"/>
              <w:right w:val="single" w:sz="8" w:space="0" w:color="auto"/>
            </w:tcBorders>
            <w:shd w:val="clear" w:color="auto" w:fill="F2F2F2" w:themeFill="background1" w:themeFillShade="F2"/>
            <w:noWrap/>
            <w:vAlign w:val="center"/>
            <w:hideMark/>
          </w:tcPr>
          <w:p w14:paraId="67D4A328"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16</w:t>
            </w:r>
          </w:p>
        </w:tc>
      </w:tr>
      <w:tr w:rsidR="00156725" w:rsidRPr="00830A4F" w14:paraId="276832C1" w14:textId="77777777" w:rsidTr="00B83CF3">
        <w:trPr>
          <w:trHeight w:val="1157"/>
        </w:trPr>
        <w:tc>
          <w:tcPr>
            <w:tcW w:w="1266" w:type="dxa"/>
            <w:tcBorders>
              <w:top w:val="nil"/>
              <w:left w:val="single" w:sz="8" w:space="0" w:color="auto"/>
              <w:bottom w:val="single" w:sz="4" w:space="0" w:color="auto"/>
              <w:right w:val="nil"/>
            </w:tcBorders>
            <w:noWrap/>
            <w:vAlign w:val="center"/>
            <w:hideMark/>
          </w:tcPr>
          <w:p w14:paraId="611435AF" w14:textId="77777777" w:rsidR="00156725" w:rsidRPr="003A7BA3" w:rsidRDefault="00156725" w:rsidP="00B83CF3">
            <w:pPr>
              <w:spacing w:after="0" w:line="240" w:lineRule="auto"/>
              <w:rPr>
                <w:rFonts w:ascii="Calibri" w:eastAsia="Times New Roman" w:hAnsi="Calibri" w:cs="Calibri"/>
                <w:color w:val="000000"/>
                <w:lang w:val="en-US" w:eastAsia="fr-FR"/>
              </w:rPr>
            </w:pPr>
            <w:proofErr w:type="spellStart"/>
            <w:r>
              <w:rPr>
                <w:rFonts w:ascii="Calibri" w:eastAsia="Times New Roman" w:hAnsi="Calibri" w:cs="Calibri"/>
                <w:color w:val="000000"/>
                <w:lang w:eastAsia="fr-FR"/>
              </w:rPr>
              <w:t>Kivitz</w:t>
            </w:r>
            <w:proofErr w:type="spellEnd"/>
            <w:r>
              <w:rPr>
                <w:rFonts w:ascii="Calibri" w:eastAsia="Times New Roman" w:hAnsi="Calibri" w:cs="Calibri"/>
                <w:color w:val="000000"/>
                <w:lang w:eastAsia="fr-FR"/>
              </w:rPr>
              <w:t xml:space="preserve"> A.</w:t>
            </w:r>
            <w:r>
              <w:rPr>
                <w:rFonts w:ascii="Calibri" w:eastAsia="Times New Roman" w:hAnsi="Calibri" w:cs="Calibri"/>
                <w:color w:val="000000"/>
                <w:lang w:eastAsia="fr-FR"/>
              </w:rPr>
              <w:fldChar w:fldCharType="begin"/>
            </w:r>
            <w:r>
              <w:rPr>
                <w:rFonts w:ascii="Calibri" w:eastAsia="Times New Roman" w:hAnsi="Calibri" w:cs="Calibri"/>
                <w:color w:val="000000"/>
                <w:lang w:eastAsia="fr-FR"/>
              </w:rPr>
              <w:instrText xml:space="preserve"> ADDIN ZOTERO_ITEM CSL_CITATION {"citationID":"1vI814AI","properties":{"formattedCitation":"\\super 48\\nosupersub{}","plainCitation":"48","noteIndex":0},"citationItems":[{"id":6129,"uris":["http://zotero.org/users/5006036/items/TNZCCX8T"],"uri":["http://zotero.org/users/5006036/items/TNZCCX8T"],"itemData":{"id":6129,"type":"article-journal","abstract":"INTRODUCTION: To evaluate the efficacy and safety of secukinumab 150 mg, with or without a loading regimen, using a self-administered prefilled syringe in patients with ankylosing spondylitis (AS) over 104 weeks from the MEASURE 4 study.\nMETHODS: Patients (N = 350) with active AS were randomized (1:1:1) to receive subcutaneous secukinumab 150 mg with loading dose (150 mg), without loading dose (150 mg no load), or placebo. All patients received secukinumab or placebo at baseline, weeks 1, 2, and 3 and every 4 weeks starting at week 4. The primary endpoint was the Assessment of SpondyloArthritis international Society criteria for 20% improvement (ASAS20) at week 16.\nRESULTS: A total of 96.9% of patients (339/350) completed 16 weeks and 82.6% (289/350) completed 104 weeks of treatment. The ASAS20 response rate at week 16 was 59.5% and 61.5% with 150 and 150 mg no load groups, respectively, versus placebo (47%; P = 0.057 and 0.054, respectively); the primary endpoint was not met. Increases in response rates achieved with secukinumab for ASAS20 at week 16 were sustained through week 104. The safety profile of secukinumab 150 mg, with or without a loading regimen, show</w:instrText>
            </w:r>
            <w:r w:rsidRPr="003A7BA3">
              <w:rPr>
                <w:rFonts w:ascii="Calibri" w:eastAsia="Times New Roman" w:hAnsi="Calibri" w:cs="Calibri"/>
                <w:color w:val="000000"/>
                <w:lang w:val="en-US" w:eastAsia="fr-FR"/>
              </w:rPr>
              <w:instrText xml:space="preserve">ed no new or unexpected safety signals.\nCONCLUSIONS: Secukinumab 150 mg, with or without loading regimen, provided rapid and sustained decreases in the signs and symptoms of patients with AS, but the differences were not statistically significant at week 16 due to higher than expected placebo responses. The responses and safety profile were consistent with previous phase 3 studies and sustained through 2 years.\nTRIAL REGISTRATION: ClinicalTrials.gov identifier, NCT02159053.\nFUNDING: Novartis Pharma AG, Basel, Switzerland.","container-title":"Rheumatology and Therapy","DOI":"10.1007/s40744-018-0123-5","ISSN":"2198-6576","issue":"2","journalAbbreviation":"Rheumatol Ther","language":"eng","note":"PMID: 30121827\nPMCID: PMC6251842","page":"447-462","source":"PubMed","title":"Efficacy and Safety of Secukinumab 150 mg with and Without Loading Regimen in Ankylosing Spondylitis: 104-week Results from MEASURE 4 Study","title-short":"Efficacy and Safety of Secukinumab 150 mg with and Without Loading Regimen in Ankylosing Spondylitis","volume":"5","author":[{"family":"Kivitz","given":"Alan J."},{"family":"Wagner","given":"Ulf"},{"family":"Dokoupilova","given":"Eva"},{"family":"Supronik","given":"Jerzy"},{"family":"Martin","given":"Ruvie"},{"family":"Talloczy","given":"Zsolt"},{"family":"Richards","given":"Hanno B."},{"family":"Porter","given":"Brian"}],"issued":{"date-parts":[["2018",12]]}}}],"schema":"https://github.com/citation-style-language/schema/raw/master/csl-citation.json"} </w:instrText>
            </w:r>
            <w:r>
              <w:rPr>
                <w:rFonts w:ascii="Calibri" w:eastAsia="Times New Roman" w:hAnsi="Calibri" w:cs="Calibri"/>
                <w:color w:val="000000"/>
                <w:lang w:eastAsia="fr-FR"/>
              </w:rPr>
              <w:fldChar w:fldCharType="separate"/>
            </w:r>
            <w:r w:rsidRPr="003A7BA3">
              <w:rPr>
                <w:rFonts w:ascii="Calibri" w:hAnsi="Calibri" w:cs="Calibri"/>
                <w:szCs w:val="24"/>
                <w:vertAlign w:val="superscript"/>
                <w:lang w:val="en-US"/>
              </w:rPr>
              <w:t>48</w:t>
            </w:r>
            <w:r>
              <w:rPr>
                <w:rFonts w:ascii="Calibri" w:eastAsia="Times New Roman" w:hAnsi="Calibri" w:cs="Calibri"/>
                <w:color w:val="000000"/>
                <w:lang w:eastAsia="fr-FR"/>
              </w:rPr>
              <w:fldChar w:fldCharType="end"/>
            </w:r>
          </w:p>
        </w:tc>
        <w:tc>
          <w:tcPr>
            <w:tcW w:w="709" w:type="dxa"/>
            <w:tcBorders>
              <w:top w:val="nil"/>
              <w:left w:val="nil"/>
              <w:bottom w:val="single" w:sz="4" w:space="0" w:color="auto"/>
              <w:right w:val="nil"/>
            </w:tcBorders>
            <w:noWrap/>
            <w:vAlign w:val="center"/>
            <w:hideMark/>
          </w:tcPr>
          <w:p w14:paraId="5F5C5935"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2018</w:t>
            </w:r>
          </w:p>
        </w:tc>
        <w:tc>
          <w:tcPr>
            <w:tcW w:w="1559" w:type="dxa"/>
            <w:tcBorders>
              <w:top w:val="nil"/>
              <w:left w:val="nil"/>
              <w:bottom w:val="single" w:sz="4" w:space="0" w:color="auto"/>
              <w:right w:val="nil"/>
            </w:tcBorders>
            <w:noWrap/>
            <w:vAlign w:val="center"/>
            <w:hideMark/>
          </w:tcPr>
          <w:p w14:paraId="74D72FE6"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proofErr w:type="spellStart"/>
            <w:r w:rsidRPr="003A7BA3">
              <w:rPr>
                <w:rFonts w:ascii="Calibri" w:eastAsia="Times New Roman" w:hAnsi="Calibri" w:cs="Calibri"/>
                <w:color w:val="000000"/>
                <w:lang w:val="en-US" w:eastAsia="fr-FR"/>
              </w:rPr>
              <w:t>Secukinumab</w:t>
            </w:r>
            <w:proofErr w:type="spellEnd"/>
          </w:p>
        </w:tc>
        <w:tc>
          <w:tcPr>
            <w:tcW w:w="567" w:type="dxa"/>
            <w:tcBorders>
              <w:top w:val="nil"/>
              <w:left w:val="nil"/>
              <w:bottom w:val="single" w:sz="4" w:space="0" w:color="auto"/>
              <w:right w:val="nil"/>
            </w:tcBorders>
            <w:noWrap/>
            <w:vAlign w:val="center"/>
            <w:hideMark/>
          </w:tcPr>
          <w:p w14:paraId="7E558F19"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233</w:t>
            </w:r>
          </w:p>
        </w:tc>
        <w:tc>
          <w:tcPr>
            <w:tcW w:w="1276" w:type="dxa"/>
            <w:tcBorders>
              <w:top w:val="nil"/>
              <w:left w:val="nil"/>
              <w:bottom w:val="single" w:sz="4" w:space="0" w:color="auto"/>
              <w:right w:val="nil"/>
            </w:tcBorders>
            <w:noWrap/>
            <w:vAlign w:val="center"/>
            <w:hideMark/>
          </w:tcPr>
          <w:p w14:paraId="335FBEB9"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Placebo</w:t>
            </w:r>
          </w:p>
        </w:tc>
        <w:tc>
          <w:tcPr>
            <w:tcW w:w="567" w:type="dxa"/>
            <w:tcBorders>
              <w:top w:val="nil"/>
              <w:left w:val="nil"/>
              <w:bottom w:val="single" w:sz="4" w:space="0" w:color="auto"/>
              <w:right w:val="nil"/>
            </w:tcBorders>
            <w:noWrap/>
            <w:vAlign w:val="center"/>
            <w:hideMark/>
          </w:tcPr>
          <w:p w14:paraId="7B2496CB"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117</w:t>
            </w:r>
          </w:p>
        </w:tc>
        <w:tc>
          <w:tcPr>
            <w:tcW w:w="2693" w:type="dxa"/>
            <w:tcBorders>
              <w:top w:val="nil"/>
              <w:left w:val="nil"/>
              <w:bottom w:val="single" w:sz="4" w:space="0" w:color="auto"/>
              <w:right w:val="nil"/>
            </w:tcBorders>
            <w:vAlign w:val="center"/>
            <w:hideMark/>
          </w:tcPr>
          <w:p w14:paraId="45B9F6E9"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 xml:space="preserve">SCK 150 mg at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t> 0,1,2,3 and then /4wk</w:t>
            </w:r>
            <w:r>
              <w:rPr>
                <w:rFonts w:ascii="Calibri" w:eastAsia="Times New Roman" w:hAnsi="Calibri" w:cs="Calibri"/>
                <w:color w:val="000000"/>
                <w:lang w:val="en-029" w:eastAsia="fr-FR"/>
              </w:rPr>
              <w:br/>
              <w:t>with loading dose</w:t>
            </w:r>
            <w:r>
              <w:rPr>
                <w:rFonts w:ascii="Calibri" w:eastAsia="Times New Roman" w:hAnsi="Calibri" w:cs="Calibri"/>
                <w:color w:val="000000"/>
                <w:lang w:val="en-029" w:eastAsia="fr-FR"/>
              </w:rPr>
              <w:br/>
              <w:t xml:space="preserve">SCK 150 mg at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t> 0,1,2,3 and then /4wk</w:t>
            </w:r>
            <w:r>
              <w:rPr>
                <w:rFonts w:ascii="Calibri" w:eastAsia="Times New Roman" w:hAnsi="Calibri" w:cs="Calibri"/>
                <w:color w:val="000000"/>
                <w:lang w:val="en-029" w:eastAsia="fr-FR"/>
              </w:rPr>
              <w:br/>
              <w:t>Placebo</w:t>
            </w:r>
          </w:p>
        </w:tc>
        <w:tc>
          <w:tcPr>
            <w:tcW w:w="992" w:type="dxa"/>
            <w:tcBorders>
              <w:top w:val="nil"/>
              <w:left w:val="nil"/>
              <w:bottom w:val="single" w:sz="4" w:space="0" w:color="auto"/>
              <w:right w:val="single" w:sz="8" w:space="0" w:color="auto"/>
            </w:tcBorders>
            <w:noWrap/>
            <w:vAlign w:val="center"/>
            <w:hideMark/>
          </w:tcPr>
          <w:p w14:paraId="0A422A94" w14:textId="77777777" w:rsidR="00156725" w:rsidRPr="003A7BA3" w:rsidRDefault="00156725" w:rsidP="00B83CF3">
            <w:pPr>
              <w:spacing w:after="0" w:line="240" w:lineRule="auto"/>
              <w:jc w:val="center"/>
              <w:rPr>
                <w:rFonts w:ascii="Calibri" w:eastAsia="Times New Roman" w:hAnsi="Calibri" w:cs="Calibri"/>
                <w:color w:val="000000"/>
                <w:lang w:val="en-US" w:eastAsia="fr-FR"/>
              </w:rPr>
            </w:pPr>
            <w:r w:rsidRPr="003A7BA3">
              <w:rPr>
                <w:rFonts w:ascii="Calibri" w:eastAsia="Times New Roman" w:hAnsi="Calibri" w:cs="Calibri"/>
                <w:color w:val="000000"/>
                <w:lang w:val="en-US" w:eastAsia="fr-FR"/>
              </w:rPr>
              <w:t>16</w:t>
            </w:r>
          </w:p>
        </w:tc>
      </w:tr>
      <w:tr w:rsidR="00156725" w14:paraId="7FC8B081" w14:textId="77777777" w:rsidTr="00B83CF3">
        <w:trPr>
          <w:trHeight w:val="588"/>
        </w:trPr>
        <w:tc>
          <w:tcPr>
            <w:tcW w:w="1266" w:type="dxa"/>
            <w:tcBorders>
              <w:top w:val="nil"/>
              <w:left w:val="single" w:sz="8" w:space="0" w:color="auto"/>
              <w:bottom w:val="single" w:sz="8" w:space="0" w:color="auto"/>
              <w:right w:val="nil"/>
            </w:tcBorders>
            <w:shd w:val="clear" w:color="auto" w:fill="F2F2F2" w:themeFill="background1" w:themeFillShade="F2"/>
            <w:noWrap/>
            <w:vAlign w:val="center"/>
            <w:hideMark/>
          </w:tcPr>
          <w:p w14:paraId="636FD86C" w14:textId="77777777" w:rsidR="00156725" w:rsidRDefault="00156725" w:rsidP="00B83CF3">
            <w:pPr>
              <w:spacing w:after="0" w:line="240" w:lineRule="auto"/>
              <w:rPr>
                <w:rFonts w:ascii="Calibri" w:eastAsia="Times New Roman" w:hAnsi="Calibri" w:cs="Calibri"/>
                <w:color w:val="000000"/>
                <w:lang w:eastAsia="fr-FR"/>
              </w:rPr>
            </w:pPr>
            <w:proofErr w:type="spellStart"/>
            <w:r w:rsidRPr="003A7BA3">
              <w:rPr>
                <w:rFonts w:ascii="Calibri" w:eastAsia="Times New Roman" w:hAnsi="Calibri" w:cs="Calibri"/>
                <w:color w:val="000000"/>
                <w:lang w:val="en-US" w:eastAsia="fr-FR"/>
              </w:rPr>
              <w:t>Giardina</w:t>
            </w:r>
            <w:proofErr w:type="spellEnd"/>
            <w:r w:rsidRPr="003A7BA3">
              <w:rPr>
                <w:rFonts w:ascii="Calibri" w:eastAsia="Times New Roman" w:hAnsi="Calibri" w:cs="Calibri"/>
                <w:color w:val="000000"/>
                <w:lang w:val="en-US" w:eastAsia="fr-FR"/>
              </w:rPr>
              <w:t xml:space="preserve"> A.</w:t>
            </w:r>
            <w:r>
              <w:rPr>
                <w:rFonts w:ascii="Calibri" w:eastAsia="Times New Roman" w:hAnsi="Calibri" w:cs="Calibri"/>
                <w:color w:val="000000"/>
                <w:lang w:eastAsia="fr-FR"/>
              </w:rPr>
              <w:fldChar w:fldCharType="begin"/>
            </w:r>
            <w:r w:rsidRPr="003A7BA3">
              <w:rPr>
                <w:rFonts w:ascii="Calibri" w:eastAsia="Times New Roman" w:hAnsi="Calibri" w:cs="Calibri"/>
                <w:color w:val="000000"/>
                <w:lang w:val="en-US" w:eastAsia="fr-FR"/>
              </w:rPr>
              <w:instrText xml:space="preserve"> ADDIN ZOTERO_ITEM CSL_CITATION {"citationID":"2HKkgsaY","properties":{"formattedCitation":"\\super 36\\nosupersub{}","plainCitation":"36","noteIndex":0},"citationItems":[{"id":6091,"uris":["http://zotero.org/users/5006036/items/Q73I6QIS"],"uri":["http://zotero.org/users/5006036/items/Q73I6QIS"],"itemData":{"id":6091,"type":"article-journal","abstract":"The signs and symptoms of ankylosing spondylitis (AS) respond inadequately to nonsteroidal antiinflammatory drugs, corticosteroids, and disease modifying antirheumatic drugs in quite a number of patients. Tumor necrosis factor inhibitors have demonstrated to be of value in reducing AS disease activity in clinical trials. The efficacy and safety of both etanercept and infliximab in patients with ankylosing spondylitis were compared in a 2-year open label randomised study. Our results are consistent with a significant more rapid clinical improvement in the infliximab treated group. Treatment with both etanercept and infliximab at the end of the study was effective, safe, and well tolerated.","container-title":"Rheumatology International","DOI":"10.1007/s00296-009-1157-3","ISSN":"1437-160X","issue":"11","journalAbbreviation":"Rheumatol. Int.","language":"eng","note":"PMID: 19851772","page":"1437-1440","source":"PubMed","title":"A 2-year comparative open label randomized stud</w:instrText>
            </w:r>
            <w:r w:rsidRPr="00156725">
              <w:rPr>
                <w:rFonts w:ascii="Calibri" w:eastAsia="Times New Roman" w:hAnsi="Calibri" w:cs="Calibri"/>
                <w:color w:val="000000"/>
                <w:lang w:eastAsia="fr-FR"/>
              </w:rPr>
              <w:instrText>y</w:instrText>
            </w:r>
            <w:r>
              <w:rPr>
                <w:rFonts w:ascii="Calibri" w:eastAsia="Times New Roman" w:hAnsi="Calibri" w:cs="Calibri"/>
                <w:color w:val="000000"/>
                <w:lang w:eastAsia="fr-FR"/>
              </w:rPr>
              <w:instrText xml:space="preserve"> of efficacy and safety of etanercept and infliximab in patients with ankylosing spondylitis","volume":"30","author":[{"family":"Giardina","given":"Anna Rita"},{"family":"Ferrante","given":"Angelo"},{"family":"Ciccia","given":"Francesco"},{"family":"Impastato","given":"Rosalia"},{"family":"Miceli","given":"Maria Concetta"},{"family":"Principato","given":"Alfonso"},{"family":"Triolo","given":"Giovanni"}],"issued":{"date-parts":[["2010",9]]}}}],"schema":"https://github.com/citation-style-language/schema/raw/master/csl-citation.json"} </w:instrText>
            </w:r>
            <w:r>
              <w:rPr>
                <w:rFonts w:ascii="Calibri" w:eastAsia="Times New Roman" w:hAnsi="Calibri" w:cs="Calibri"/>
                <w:color w:val="000000"/>
                <w:lang w:eastAsia="fr-FR"/>
              </w:rPr>
              <w:fldChar w:fldCharType="separate"/>
            </w:r>
            <w:r w:rsidRPr="00AE537F">
              <w:rPr>
                <w:rFonts w:ascii="Calibri" w:hAnsi="Calibri" w:cs="Calibri"/>
                <w:szCs w:val="24"/>
                <w:vertAlign w:val="superscript"/>
              </w:rPr>
              <w:t>36</w:t>
            </w:r>
            <w:r>
              <w:rPr>
                <w:rFonts w:ascii="Calibri" w:eastAsia="Times New Roman" w:hAnsi="Calibri" w:cs="Calibri"/>
                <w:color w:val="000000"/>
                <w:lang w:eastAsia="fr-FR"/>
              </w:rPr>
              <w:fldChar w:fldCharType="end"/>
            </w:r>
          </w:p>
        </w:tc>
        <w:tc>
          <w:tcPr>
            <w:tcW w:w="709" w:type="dxa"/>
            <w:tcBorders>
              <w:top w:val="nil"/>
              <w:left w:val="nil"/>
              <w:bottom w:val="single" w:sz="8" w:space="0" w:color="auto"/>
              <w:right w:val="nil"/>
            </w:tcBorders>
            <w:shd w:val="clear" w:color="auto" w:fill="F2F2F2" w:themeFill="background1" w:themeFillShade="F2"/>
            <w:noWrap/>
            <w:vAlign w:val="center"/>
            <w:hideMark/>
          </w:tcPr>
          <w:p w14:paraId="54CE9DEB"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2010</w:t>
            </w:r>
          </w:p>
        </w:tc>
        <w:tc>
          <w:tcPr>
            <w:tcW w:w="1559" w:type="dxa"/>
            <w:tcBorders>
              <w:top w:val="nil"/>
              <w:left w:val="nil"/>
              <w:bottom w:val="single" w:sz="8" w:space="0" w:color="auto"/>
              <w:right w:val="nil"/>
            </w:tcBorders>
            <w:shd w:val="clear" w:color="auto" w:fill="F2F2F2" w:themeFill="background1" w:themeFillShade="F2"/>
            <w:noWrap/>
            <w:vAlign w:val="center"/>
            <w:hideMark/>
          </w:tcPr>
          <w:p w14:paraId="158D35C9"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Infliximab</w:t>
            </w:r>
          </w:p>
        </w:tc>
        <w:tc>
          <w:tcPr>
            <w:tcW w:w="567" w:type="dxa"/>
            <w:tcBorders>
              <w:top w:val="nil"/>
              <w:left w:val="nil"/>
              <w:bottom w:val="single" w:sz="8" w:space="0" w:color="auto"/>
              <w:right w:val="nil"/>
            </w:tcBorders>
            <w:shd w:val="clear" w:color="auto" w:fill="F2F2F2" w:themeFill="background1" w:themeFillShade="F2"/>
            <w:noWrap/>
            <w:vAlign w:val="center"/>
            <w:hideMark/>
          </w:tcPr>
          <w:p w14:paraId="65552BB2"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25</w:t>
            </w:r>
          </w:p>
        </w:tc>
        <w:tc>
          <w:tcPr>
            <w:tcW w:w="1276" w:type="dxa"/>
            <w:tcBorders>
              <w:top w:val="nil"/>
              <w:left w:val="nil"/>
              <w:bottom w:val="single" w:sz="8" w:space="0" w:color="auto"/>
              <w:right w:val="nil"/>
            </w:tcBorders>
            <w:shd w:val="clear" w:color="auto" w:fill="F2F2F2" w:themeFill="background1" w:themeFillShade="F2"/>
            <w:noWrap/>
            <w:vAlign w:val="center"/>
            <w:hideMark/>
          </w:tcPr>
          <w:p w14:paraId="0F7A370A" w14:textId="77777777" w:rsidR="00156725" w:rsidRDefault="00156725" w:rsidP="00B83CF3">
            <w:pPr>
              <w:spacing w:after="0" w:line="240" w:lineRule="auto"/>
              <w:jc w:val="center"/>
              <w:rPr>
                <w:rFonts w:ascii="Calibri" w:eastAsia="Times New Roman" w:hAnsi="Calibri" w:cs="Calibri"/>
                <w:color w:val="000000"/>
                <w:lang w:eastAsia="fr-FR"/>
              </w:rPr>
            </w:pPr>
            <w:proofErr w:type="spellStart"/>
            <w:r>
              <w:rPr>
                <w:rFonts w:ascii="Calibri" w:eastAsia="Times New Roman" w:hAnsi="Calibri" w:cs="Calibri"/>
                <w:color w:val="000000"/>
                <w:lang w:eastAsia="fr-FR"/>
              </w:rPr>
              <w:t>Etanercept</w:t>
            </w:r>
            <w:proofErr w:type="spellEnd"/>
          </w:p>
        </w:tc>
        <w:tc>
          <w:tcPr>
            <w:tcW w:w="567" w:type="dxa"/>
            <w:tcBorders>
              <w:top w:val="nil"/>
              <w:left w:val="nil"/>
              <w:bottom w:val="single" w:sz="8" w:space="0" w:color="auto"/>
              <w:right w:val="nil"/>
            </w:tcBorders>
            <w:shd w:val="clear" w:color="auto" w:fill="F2F2F2" w:themeFill="background1" w:themeFillShade="F2"/>
            <w:noWrap/>
            <w:vAlign w:val="center"/>
            <w:hideMark/>
          </w:tcPr>
          <w:p w14:paraId="5E9E3945"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25</w:t>
            </w:r>
          </w:p>
        </w:tc>
        <w:tc>
          <w:tcPr>
            <w:tcW w:w="2693" w:type="dxa"/>
            <w:tcBorders>
              <w:top w:val="nil"/>
              <w:left w:val="nil"/>
              <w:bottom w:val="single" w:sz="8" w:space="0" w:color="auto"/>
              <w:right w:val="nil"/>
            </w:tcBorders>
            <w:shd w:val="clear" w:color="auto" w:fill="F2F2F2" w:themeFill="background1" w:themeFillShade="F2"/>
            <w:vAlign w:val="center"/>
            <w:hideMark/>
          </w:tcPr>
          <w:p w14:paraId="77080692" w14:textId="77777777" w:rsidR="00156725" w:rsidRDefault="00156725" w:rsidP="00B83CF3">
            <w:pPr>
              <w:spacing w:after="0" w:line="240" w:lineRule="auto"/>
              <w:rPr>
                <w:rFonts w:ascii="Calibri" w:eastAsia="Times New Roman" w:hAnsi="Calibri" w:cs="Calibri"/>
                <w:color w:val="000000"/>
                <w:lang w:val="en-029" w:eastAsia="fr-FR"/>
              </w:rPr>
            </w:pPr>
            <w:r>
              <w:rPr>
                <w:rFonts w:ascii="Calibri" w:eastAsia="Times New Roman" w:hAnsi="Calibri" w:cs="Calibri"/>
                <w:color w:val="000000"/>
                <w:lang w:val="en-029" w:eastAsia="fr-FR"/>
              </w:rPr>
              <w:t>IFX 5 mg/</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t xml:space="preserve"> at </w:t>
            </w:r>
            <w:proofErr w:type="spellStart"/>
            <w:r>
              <w:rPr>
                <w:rFonts w:ascii="Calibri" w:eastAsia="Times New Roman" w:hAnsi="Calibri" w:cs="Calibri"/>
                <w:color w:val="000000"/>
                <w:lang w:val="en-029" w:eastAsia="fr-FR"/>
              </w:rPr>
              <w:t>wk</w:t>
            </w:r>
            <w:proofErr w:type="spellEnd"/>
            <w:r>
              <w:rPr>
                <w:rFonts w:ascii="Calibri" w:eastAsia="Times New Roman" w:hAnsi="Calibri" w:cs="Calibri"/>
                <w:color w:val="000000"/>
                <w:lang w:val="en-029" w:eastAsia="fr-FR"/>
              </w:rPr>
              <w:t> 0,2,6 and /6wk</w:t>
            </w:r>
            <w:r>
              <w:rPr>
                <w:rFonts w:ascii="Calibri" w:eastAsia="Times New Roman" w:hAnsi="Calibri" w:cs="Calibri"/>
                <w:color w:val="000000"/>
                <w:lang w:val="en-029" w:eastAsia="fr-FR"/>
              </w:rPr>
              <w:br/>
              <w:t>ETN 50mg/</w:t>
            </w:r>
            <w:proofErr w:type="spellStart"/>
            <w:r>
              <w:rPr>
                <w:rFonts w:ascii="Calibri" w:eastAsia="Times New Roman" w:hAnsi="Calibri" w:cs="Calibri"/>
                <w:color w:val="000000"/>
                <w:lang w:val="en-029" w:eastAsia="fr-FR"/>
              </w:rPr>
              <w:t>wk</w:t>
            </w:r>
            <w:proofErr w:type="spellEnd"/>
          </w:p>
        </w:tc>
        <w:tc>
          <w:tcPr>
            <w:tcW w:w="992" w:type="dxa"/>
            <w:tcBorders>
              <w:top w:val="nil"/>
              <w:left w:val="nil"/>
              <w:bottom w:val="single" w:sz="8" w:space="0" w:color="auto"/>
              <w:right w:val="single" w:sz="8" w:space="0" w:color="auto"/>
            </w:tcBorders>
            <w:shd w:val="clear" w:color="auto" w:fill="F2F2F2" w:themeFill="background1" w:themeFillShade="F2"/>
            <w:noWrap/>
            <w:vAlign w:val="center"/>
            <w:hideMark/>
          </w:tcPr>
          <w:p w14:paraId="09F10E92" w14:textId="77777777" w:rsidR="00156725" w:rsidRDefault="00156725" w:rsidP="00B83CF3">
            <w:pPr>
              <w:spacing w:after="0" w:line="240" w:lineRule="auto"/>
              <w:jc w:val="center"/>
              <w:rPr>
                <w:rFonts w:ascii="Calibri" w:eastAsia="Times New Roman" w:hAnsi="Calibri" w:cs="Calibri"/>
                <w:color w:val="000000"/>
                <w:lang w:eastAsia="fr-FR"/>
              </w:rPr>
            </w:pPr>
            <w:r>
              <w:rPr>
                <w:rFonts w:ascii="Calibri" w:eastAsia="Times New Roman" w:hAnsi="Calibri" w:cs="Calibri"/>
                <w:color w:val="000000"/>
                <w:lang w:eastAsia="fr-FR"/>
              </w:rPr>
              <w:t>12</w:t>
            </w:r>
          </w:p>
        </w:tc>
      </w:tr>
    </w:tbl>
    <w:p w14:paraId="543AECE0" w14:textId="51285147" w:rsidR="008E2BAE" w:rsidRDefault="008E2BAE"/>
    <w:p w14:paraId="12C2F9EC" w14:textId="561F0F81" w:rsidR="00156725" w:rsidRDefault="00156725">
      <w:proofErr w:type="spellStart"/>
      <w:r>
        <w:t>Wk</w:t>
      </w:r>
      <w:proofErr w:type="spellEnd"/>
      <w:r>
        <w:t> : weeks</w:t>
      </w:r>
    </w:p>
    <w:sectPr w:rsidR="0015672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725"/>
    <w:rsid w:val="00156725"/>
    <w:rsid w:val="008E2BA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955AB"/>
  <w15:chartTrackingRefBased/>
  <w15:docId w15:val="{4D28E4DD-05C5-4EE8-BDF7-59549B829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5672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5672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17830</Words>
  <Characters>98068</Characters>
  <Application>Microsoft Office Word</Application>
  <DocSecurity>0</DocSecurity>
  <Lines>817</Lines>
  <Paragraphs>231</Paragraphs>
  <ScaleCrop>false</ScaleCrop>
  <Company/>
  <LinksUpToDate>false</LinksUpToDate>
  <CharactersWithSpaces>115667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Damien Roche</dc:creator>
  <cp:keywords/>
  <dc:description/>
  <cp:lastModifiedBy>Damien Roche</cp:lastModifiedBy>
  <cp:revision>1</cp:revision>
  <dcterms:created xsi:type="dcterms:W3CDTF">2020-11-04T00:34:00Z</dcterms:created>
  <dcterms:modified xsi:type="dcterms:W3CDTF">2020-11-04T00:36:00Z</dcterms:modified>
</cp:coreProperties>
</file>