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sz w:val="30"/>
        </w:rPr>
        <w:t>Additional file 2: STROBE and RECORD reporting checklist</w:t>
      </w:r>
    </w:p>
    <w:p>
      <w:pPr>
        <w:jc w:val="center"/>
      </w:pPr>
      <w:r>
        <w:rPr>
          <w:i/>
        </w:rPr>
        <w:t>Early bicarbonate normalization and discharge alive from the ICU in adults with diabetic ketoacidosis and high-anion-gap acidosis: a retrospective MIMIC-IV landmark cohort study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1584"/>
          </w:tcPr>
          <w:p>
            <w:r>
              <w:rPr>
                <w:b/>
              </w:rPr>
              <w:t>Item</w:t>
            </w:r>
          </w:p>
        </w:tc>
        <w:tc>
          <w:tcPr>
            <w:tcW w:type="dxa" w:w="6912"/>
          </w:tcPr>
          <w:p>
            <w:r>
              <w:rPr>
                <w:b/>
              </w:rPr>
              <w:t>Recommendation addressed</w:t>
            </w:r>
          </w:p>
        </w:tc>
        <w:tc>
          <w:tcPr>
            <w:tcW w:type="dxa" w:w="2592"/>
          </w:tcPr>
          <w:p>
            <w:r>
              <w:rPr>
                <w:b/>
              </w:rPr>
              <w:t>Location</w:t>
            </w:r>
          </w:p>
        </w:tc>
      </w:tr>
      <w:tr>
        <w:tc>
          <w:tcPr>
            <w:tcW w:type="dxa" w:w="1584"/>
          </w:tcPr>
          <w:p>
            <w:pPr>
              <w:spacing w:line="240" w:lineRule="auto"/>
            </w:pPr>
            <w:r>
              <w:rPr>
                <w:sz w:val="17"/>
              </w:rPr>
              <w:t>STROBE 1</w:t>
            </w:r>
          </w:p>
        </w:tc>
        <w:tc>
          <w:tcPr>
            <w:tcW w:type="dxa" w:w="6912"/>
          </w:tcPr>
          <w:p>
            <w:pPr>
              <w:spacing w:line="240" w:lineRule="auto"/>
            </w:pPr>
            <w:r>
              <w:rPr>
                <w:sz w:val="17"/>
              </w:rPr>
              <w:t>Title and abstract identify the study design and provide a balanced summary.</w:t>
            </w:r>
          </w:p>
        </w:tc>
        <w:tc>
          <w:tcPr>
            <w:tcW w:type="dxa" w:w="2592"/>
          </w:tcPr>
          <w:p>
            <w:pPr>
              <w:spacing w:line="240" w:lineRule="auto"/>
            </w:pPr>
            <w:r>
              <w:rPr>
                <w:sz w:val="17"/>
              </w:rPr>
              <w:t>Title page; Abstract</w:t>
            </w:r>
          </w:p>
        </w:tc>
      </w:tr>
      <w:tr>
        <w:tc>
          <w:tcPr>
            <w:tcW w:type="dxa" w:w="1584"/>
          </w:tcPr>
          <w:p>
            <w:pPr>
              <w:spacing w:line="240" w:lineRule="auto"/>
            </w:pPr>
            <w:r>
              <w:rPr>
                <w:sz w:val="17"/>
              </w:rPr>
              <w:t>STROBE 2-3</w:t>
            </w:r>
          </w:p>
        </w:tc>
        <w:tc>
          <w:tcPr>
            <w:tcW w:type="dxa" w:w="6912"/>
          </w:tcPr>
          <w:p>
            <w:pPr>
              <w:spacing w:line="240" w:lineRule="auto"/>
            </w:pPr>
            <w:r>
              <w:rPr>
                <w:sz w:val="17"/>
              </w:rPr>
              <w:t>Scientific background, rationale, and objectives are stated.</w:t>
            </w:r>
          </w:p>
        </w:tc>
        <w:tc>
          <w:tcPr>
            <w:tcW w:type="dxa" w:w="2592"/>
          </w:tcPr>
          <w:p>
            <w:pPr>
              <w:spacing w:line="240" w:lineRule="auto"/>
            </w:pPr>
            <w:r>
              <w:rPr>
                <w:sz w:val="17"/>
              </w:rPr>
              <w:t>Background</w:t>
            </w:r>
          </w:p>
        </w:tc>
      </w:tr>
      <w:tr>
        <w:tc>
          <w:tcPr>
            <w:tcW w:type="dxa" w:w="1584"/>
          </w:tcPr>
          <w:p>
            <w:pPr>
              <w:spacing w:line="240" w:lineRule="auto"/>
            </w:pPr>
            <w:r>
              <w:rPr>
                <w:sz w:val="17"/>
              </w:rPr>
              <w:t>STROBE 4</w:t>
            </w:r>
          </w:p>
        </w:tc>
        <w:tc>
          <w:tcPr>
            <w:tcW w:type="dxa" w:w="6912"/>
          </w:tcPr>
          <w:p>
            <w:pPr>
              <w:spacing w:line="240" w:lineRule="auto"/>
            </w:pPr>
            <w:r>
              <w:rPr>
                <w:sz w:val="17"/>
              </w:rPr>
              <w:t>Study design is presented early.</w:t>
            </w:r>
          </w:p>
        </w:tc>
        <w:tc>
          <w:tcPr>
            <w:tcW w:type="dxa" w:w="2592"/>
          </w:tcPr>
          <w:p>
            <w:pPr>
              <w:spacing w:line="240" w:lineRule="auto"/>
            </w:pPr>
            <w:r>
              <w:rPr>
                <w:sz w:val="17"/>
              </w:rPr>
              <w:t>Methods - Data source and study design</w:t>
            </w:r>
          </w:p>
        </w:tc>
      </w:tr>
      <w:tr>
        <w:tc>
          <w:tcPr>
            <w:tcW w:type="dxa" w:w="1584"/>
          </w:tcPr>
          <w:p>
            <w:pPr>
              <w:spacing w:line="240" w:lineRule="auto"/>
            </w:pPr>
            <w:r>
              <w:rPr>
                <w:sz w:val="17"/>
              </w:rPr>
              <w:t>STROBE 5</w:t>
            </w:r>
          </w:p>
        </w:tc>
        <w:tc>
          <w:tcPr>
            <w:tcW w:type="dxa" w:w="6912"/>
          </w:tcPr>
          <w:p>
            <w:pPr>
              <w:spacing w:line="240" w:lineRule="auto"/>
            </w:pPr>
            <w:r>
              <w:rPr>
                <w:sz w:val="17"/>
              </w:rPr>
              <w:t>Setting, location, and data source are described.</w:t>
            </w:r>
          </w:p>
        </w:tc>
        <w:tc>
          <w:tcPr>
            <w:tcW w:type="dxa" w:w="2592"/>
          </w:tcPr>
          <w:p>
            <w:pPr>
              <w:spacing w:line="240" w:lineRule="auto"/>
            </w:pPr>
            <w:r>
              <w:rPr>
                <w:sz w:val="17"/>
              </w:rPr>
              <w:t>Methods - Data source and study design</w:t>
            </w:r>
          </w:p>
        </w:tc>
      </w:tr>
      <w:tr>
        <w:tc>
          <w:tcPr>
            <w:tcW w:type="dxa" w:w="1584"/>
          </w:tcPr>
          <w:p>
            <w:pPr>
              <w:spacing w:line="240" w:lineRule="auto"/>
            </w:pPr>
            <w:r>
              <w:rPr>
                <w:sz w:val="17"/>
              </w:rPr>
              <w:t>STROBE 6</w:t>
            </w:r>
          </w:p>
        </w:tc>
        <w:tc>
          <w:tcPr>
            <w:tcW w:type="dxa" w:w="6912"/>
          </w:tcPr>
          <w:p>
            <w:pPr>
              <w:spacing w:line="240" w:lineRule="auto"/>
            </w:pPr>
            <w:r>
              <w:rPr>
                <w:sz w:val="17"/>
              </w:rPr>
              <w:t>Eligibility criteria, first-admission restriction, HHS exclusion, and landmark eligibility are reported.</w:t>
            </w:r>
          </w:p>
        </w:tc>
        <w:tc>
          <w:tcPr>
            <w:tcW w:type="dxa" w:w="2592"/>
          </w:tcPr>
          <w:p>
            <w:pPr>
              <w:spacing w:line="240" w:lineRule="auto"/>
            </w:pPr>
            <w:r>
              <w:rPr>
                <w:sz w:val="17"/>
              </w:rPr>
              <w:t>Methods - Study population</w:t>
            </w:r>
          </w:p>
        </w:tc>
      </w:tr>
      <w:tr>
        <w:tc>
          <w:tcPr>
            <w:tcW w:type="dxa" w:w="1584"/>
          </w:tcPr>
          <w:p>
            <w:pPr>
              <w:spacing w:line="240" w:lineRule="auto"/>
            </w:pPr>
            <w:r>
              <w:rPr>
                <w:sz w:val="17"/>
              </w:rPr>
              <w:t>STROBE 7</w:t>
            </w:r>
          </w:p>
        </w:tc>
        <w:tc>
          <w:tcPr>
            <w:tcW w:type="dxa" w:w="6912"/>
          </w:tcPr>
          <w:p>
            <w:pPr>
              <w:spacing w:line="240" w:lineRule="auto"/>
            </w:pPr>
            <w:r>
              <w:rPr>
                <w:sz w:val="17"/>
              </w:rPr>
              <w:t>Exposure, outcome, covariates, and operational definitions are specified.</w:t>
            </w:r>
          </w:p>
        </w:tc>
        <w:tc>
          <w:tcPr>
            <w:tcW w:type="dxa" w:w="2592"/>
          </w:tcPr>
          <w:p>
            <w:pPr>
              <w:spacing w:line="240" w:lineRule="auto"/>
            </w:pPr>
            <w:r>
              <w:rPr>
                <w:sz w:val="17"/>
              </w:rPr>
              <w:t>Methods - Exposure, Outcome, Covariates</w:t>
            </w:r>
          </w:p>
        </w:tc>
      </w:tr>
      <w:tr>
        <w:tc>
          <w:tcPr>
            <w:tcW w:type="dxa" w:w="1584"/>
          </w:tcPr>
          <w:p>
            <w:pPr>
              <w:spacing w:line="240" w:lineRule="auto"/>
            </w:pPr>
            <w:r>
              <w:rPr>
                <w:sz w:val="17"/>
              </w:rPr>
              <w:t>STROBE 8</w:t>
            </w:r>
          </w:p>
        </w:tc>
        <w:tc>
          <w:tcPr>
            <w:tcW w:type="dxa" w:w="6912"/>
          </w:tcPr>
          <w:p>
            <w:pPr>
              <w:spacing w:line="240" w:lineRule="auto"/>
            </w:pPr>
            <w:r>
              <w:rPr>
                <w:sz w:val="17"/>
              </w:rPr>
              <w:t>Sources and timing of measurements are described.</w:t>
            </w:r>
          </w:p>
        </w:tc>
        <w:tc>
          <w:tcPr>
            <w:tcW w:type="dxa" w:w="2592"/>
          </w:tcPr>
          <w:p>
            <w:pPr>
              <w:spacing w:line="240" w:lineRule="auto"/>
            </w:pPr>
            <w:r>
              <w:rPr>
                <w:sz w:val="17"/>
              </w:rPr>
              <w:t>Methods - Study population and Exposure</w:t>
            </w:r>
          </w:p>
        </w:tc>
      </w:tr>
      <w:tr>
        <w:tc>
          <w:tcPr>
            <w:tcW w:type="dxa" w:w="1584"/>
          </w:tcPr>
          <w:p>
            <w:pPr>
              <w:spacing w:line="240" w:lineRule="auto"/>
            </w:pPr>
            <w:r>
              <w:rPr>
                <w:sz w:val="17"/>
              </w:rPr>
              <w:t>STROBE 9</w:t>
            </w:r>
          </w:p>
        </w:tc>
        <w:tc>
          <w:tcPr>
            <w:tcW w:type="dxa" w:w="6912"/>
          </w:tcPr>
          <w:p>
            <w:pPr>
              <w:spacing w:line="240" w:lineRule="auto"/>
            </w:pPr>
            <w:r>
              <w:rPr>
                <w:sz w:val="17"/>
              </w:rPr>
              <w:t>Selection bias from landmark eligibility and repeat testing is addressed.</w:t>
            </w:r>
          </w:p>
        </w:tc>
        <w:tc>
          <w:tcPr>
            <w:tcW w:type="dxa" w:w="2592"/>
          </w:tcPr>
          <w:p>
            <w:pPr>
              <w:spacing w:line="240" w:lineRule="auto"/>
            </w:pPr>
            <w:r>
              <w:rPr>
                <w:sz w:val="17"/>
              </w:rPr>
              <w:t>Methods - Statistical analysis; Results - Cohort construction</w:t>
            </w:r>
          </w:p>
        </w:tc>
      </w:tr>
      <w:tr>
        <w:tc>
          <w:tcPr>
            <w:tcW w:type="dxa" w:w="1584"/>
          </w:tcPr>
          <w:p>
            <w:pPr>
              <w:spacing w:line="240" w:lineRule="auto"/>
            </w:pPr>
            <w:r>
              <w:rPr>
                <w:sz w:val="17"/>
              </w:rPr>
              <w:t>STROBE 10</w:t>
            </w:r>
          </w:p>
        </w:tc>
        <w:tc>
          <w:tcPr>
            <w:tcW w:type="dxa" w:w="6912"/>
          </w:tcPr>
          <w:p>
            <w:pPr>
              <w:spacing w:line="240" w:lineRule="auto"/>
            </w:pPr>
            <w:r>
              <w:rPr>
                <w:sz w:val="17"/>
              </w:rPr>
              <w:t>All eligible database records were included; no a priori sample-size calculation was used.</w:t>
            </w:r>
          </w:p>
        </w:tc>
        <w:tc>
          <w:tcPr>
            <w:tcW w:type="dxa" w:w="2592"/>
          </w:tcPr>
          <w:p>
            <w:pPr>
              <w:spacing w:line="240" w:lineRule="auto"/>
            </w:pPr>
            <w:r>
              <w:rPr>
                <w:sz w:val="17"/>
              </w:rPr>
              <w:t>Methods - Statistical analysis</w:t>
            </w:r>
          </w:p>
        </w:tc>
      </w:tr>
      <w:tr>
        <w:tc>
          <w:tcPr>
            <w:tcW w:type="dxa" w:w="1584"/>
          </w:tcPr>
          <w:p>
            <w:pPr>
              <w:spacing w:line="240" w:lineRule="auto"/>
            </w:pPr>
            <w:r>
              <w:rPr>
                <w:sz w:val="17"/>
              </w:rPr>
              <w:t>STROBE 11</w:t>
            </w:r>
          </w:p>
        </w:tc>
        <w:tc>
          <w:tcPr>
            <w:tcW w:type="dxa" w:w="6912"/>
          </w:tcPr>
          <w:p>
            <w:pPr>
              <w:spacing w:line="240" w:lineRule="auto"/>
            </w:pPr>
            <w:r>
              <w:rPr>
                <w:sz w:val="17"/>
              </w:rPr>
              <w:t>Quantitative variables and cut points are explained.</w:t>
            </w:r>
          </w:p>
        </w:tc>
        <w:tc>
          <w:tcPr>
            <w:tcW w:type="dxa" w:w="2592"/>
          </w:tcPr>
          <w:p>
            <w:pPr>
              <w:spacing w:line="240" w:lineRule="auto"/>
            </w:pPr>
            <w:r>
              <w:rPr>
                <w:sz w:val="17"/>
              </w:rPr>
              <w:t>Methods - Exposure and Statistical analysis</w:t>
            </w:r>
          </w:p>
        </w:tc>
      </w:tr>
      <w:tr>
        <w:tc>
          <w:tcPr>
            <w:tcW w:type="dxa" w:w="1584"/>
          </w:tcPr>
          <w:p>
            <w:pPr>
              <w:spacing w:line="240" w:lineRule="auto"/>
            </w:pPr>
            <w:r>
              <w:rPr>
                <w:sz w:val="17"/>
              </w:rPr>
              <w:t>STROBE 12</w:t>
            </w:r>
          </w:p>
        </w:tc>
        <w:tc>
          <w:tcPr>
            <w:tcW w:type="dxa" w:w="6912"/>
          </w:tcPr>
          <w:p>
            <w:pPr>
              <w:spacing w:line="240" w:lineRule="auto"/>
            </w:pPr>
            <w:r>
              <w:rPr>
                <w:sz w:val="17"/>
              </w:rPr>
              <w:t>Regression methods, complete-case analysis, weighting, and sensitivity analyses are described.</w:t>
            </w:r>
          </w:p>
        </w:tc>
        <w:tc>
          <w:tcPr>
            <w:tcW w:type="dxa" w:w="2592"/>
          </w:tcPr>
          <w:p>
            <w:pPr>
              <w:spacing w:line="240" w:lineRule="auto"/>
            </w:pPr>
            <w:r>
              <w:rPr>
                <w:sz w:val="17"/>
              </w:rPr>
              <w:t>Methods - Statistical analysis</w:t>
            </w:r>
          </w:p>
        </w:tc>
      </w:tr>
      <w:tr>
        <w:tc>
          <w:tcPr>
            <w:tcW w:type="dxa" w:w="1584"/>
          </w:tcPr>
          <w:p>
            <w:pPr>
              <w:spacing w:line="240" w:lineRule="auto"/>
            </w:pPr>
            <w:r>
              <w:rPr>
                <w:sz w:val="17"/>
              </w:rPr>
              <w:t>STROBE 13</w:t>
            </w:r>
          </w:p>
        </w:tc>
        <w:tc>
          <w:tcPr>
            <w:tcW w:type="dxa" w:w="6912"/>
          </w:tcPr>
          <w:p>
            <w:pPr>
              <w:spacing w:line="240" w:lineRule="auto"/>
            </w:pPr>
            <w:r>
              <w:rPr>
                <w:sz w:val="17"/>
              </w:rPr>
              <w:t>Participant flow and exclusions are reported.</w:t>
            </w:r>
          </w:p>
        </w:tc>
        <w:tc>
          <w:tcPr>
            <w:tcW w:type="dxa" w:w="2592"/>
          </w:tcPr>
          <w:p>
            <w:pPr>
              <w:spacing w:line="240" w:lineRule="auto"/>
            </w:pPr>
            <w:r>
              <w:rPr>
                <w:sz w:val="17"/>
              </w:rPr>
              <w:t>Results - Cohort construction; Figure 1</w:t>
            </w:r>
          </w:p>
        </w:tc>
      </w:tr>
      <w:tr>
        <w:tc>
          <w:tcPr>
            <w:tcW w:type="dxa" w:w="1584"/>
          </w:tcPr>
          <w:p>
            <w:pPr>
              <w:spacing w:line="240" w:lineRule="auto"/>
            </w:pPr>
            <w:r>
              <w:rPr>
                <w:sz w:val="17"/>
              </w:rPr>
              <w:t>STROBE 14</w:t>
            </w:r>
          </w:p>
        </w:tc>
        <w:tc>
          <w:tcPr>
            <w:tcW w:type="dxa" w:w="6912"/>
          </w:tcPr>
          <w:p>
            <w:pPr>
              <w:spacing w:line="240" w:lineRule="auto"/>
            </w:pPr>
            <w:r>
              <w:rPr>
                <w:sz w:val="17"/>
              </w:rPr>
              <w:t>Baseline characteristics and missingness are reported.</w:t>
            </w:r>
          </w:p>
        </w:tc>
        <w:tc>
          <w:tcPr>
            <w:tcW w:type="dxa" w:w="2592"/>
          </w:tcPr>
          <w:p>
            <w:pPr>
              <w:spacing w:line="240" w:lineRule="auto"/>
            </w:pPr>
            <w:r>
              <w:rPr>
                <w:sz w:val="17"/>
              </w:rPr>
              <w:t>Table 1; Results - Bicarbonate status</w:t>
            </w:r>
          </w:p>
        </w:tc>
      </w:tr>
      <w:tr>
        <w:tc>
          <w:tcPr>
            <w:tcW w:type="dxa" w:w="1584"/>
          </w:tcPr>
          <w:p>
            <w:pPr>
              <w:spacing w:line="240" w:lineRule="auto"/>
            </w:pPr>
            <w:r>
              <w:rPr>
                <w:sz w:val="17"/>
              </w:rPr>
              <w:t>STROBE 15-16</w:t>
            </w:r>
          </w:p>
        </w:tc>
        <w:tc>
          <w:tcPr>
            <w:tcW w:type="dxa" w:w="6912"/>
          </w:tcPr>
          <w:p>
            <w:pPr>
              <w:spacing w:line="240" w:lineRule="auto"/>
            </w:pPr>
            <w:r>
              <w:rPr>
                <w:sz w:val="17"/>
              </w:rPr>
              <w:t>Outcome events and adjusted/unadjusted estimates with 95% confidence intervals are reported.</w:t>
            </w:r>
          </w:p>
        </w:tc>
        <w:tc>
          <w:tcPr>
            <w:tcW w:type="dxa" w:w="2592"/>
          </w:tcPr>
          <w:p>
            <w:pPr>
              <w:spacing w:line="240" w:lineRule="auto"/>
            </w:pPr>
            <w:r>
              <w:rPr>
                <w:sz w:val="17"/>
              </w:rPr>
              <w:t>Results - Primary association; Table 2</w:t>
            </w:r>
          </w:p>
        </w:tc>
      </w:tr>
      <w:tr>
        <w:tc>
          <w:tcPr>
            <w:tcW w:type="dxa" w:w="1584"/>
          </w:tcPr>
          <w:p>
            <w:pPr>
              <w:spacing w:line="240" w:lineRule="auto"/>
            </w:pPr>
            <w:r>
              <w:rPr>
                <w:sz w:val="17"/>
              </w:rPr>
              <w:t>STROBE 17</w:t>
            </w:r>
          </w:p>
        </w:tc>
        <w:tc>
          <w:tcPr>
            <w:tcW w:type="dxa" w:w="6912"/>
          </w:tcPr>
          <w:p>
            <w:pPr>
              <w:spacing w:line="240" w:lineRule="auto"/>
            </w:pPr>
            <w:r>
              <w:rPr>
                <w:sz w:val="17"/>
              </w:rPr>
              <w:t>Sensitivity and boundary analyses are reported.</w:t>
            </w:r>
          </w:p>
        </w:tc>
        <w:tc>
          <w:tcPr>
            <w:tcW w:type="dxa" w:w="2592"/>
          </w:tcPr>
          <w:p>
            <w:pPr>
              <w:spacing w:line="240" w:lineRule="auto"/>
            </w:pPr>
            <w:r>
              <w:rPr>
                <w:sz w:val="17"/>
              </w:rPr>
              <w:t>Results - Robustness and boundaries; Figure 2; Additional file 1</w:t>
            </w:r>
          </w:p>
        </w:tc>
      </w:tr>
      <w:tr>
        <w:tc>
          <w:tcPr>
            <w:tcW w:type="dxa" w:w="1584"/>
          </w:tcPr>
          <w:p>
            <w:pPr>
              <w:spacing w:line="240" w:lineRule="auto"/>
            </w:pPr>
            <w:r>
              <w:rPr>
                <w:sz w:val="17"/>
              </w:rPr>
              <w:t>STROBE 18-21</w:t>
            </w:r>
          </w:p>
        </w:tc>
        <w:tc>
          <w:tcPr>
            <w:tcW w:type="dxa" w:w="6912"/>
          </w:tcPr>
          <w:p>
            <w:pPr>
              <w:spacing w:line="240" w:lineRule="auto"/>
            </w:pPr>
            <w:r>
              <w:rPr>
                <w:sz w:val="17"/>
              </w:rPr>
              <w:t>Key findings, limitations, interpretation, and generalizability are discussed.</w:t>
            </w:r>
          </w:p>
        </w:tc>
        <w:tc>
          <w:tcPr>
            <w:tcW w:type="dxa" w:w="2592"/>
          </w:tcPr>
          <w:p>
            <w:pPr>
              <w:spacing w:line="240" w:lineRule="auto"/>
            </w:pPr>
            <w:r>
              <w:rPr>
                <w:sz w:val="17"/>
              </w:rPr>
              <w:t>Discussion</w:t>
            </w:r>
          </w:p>
        </w:tc>
      </w:tr>
      <w:tr>
        <w:tc>
          <w:tcPr>
            <w:tcW w:type="dxa" w:w="1584"/>
          </w:tcPr>
          <w:p>
            <w:pPr>
              <w:spacing w:line="240" w:lineRule="auto"/>
            </w:pPr>
            <w:r>
              <w:rPr>
                <w:sz w:val="17"/>
              </w:rPr>
              <w:t>STROBE 22</w:t>
            </w:r>
          </w:p>
        </w:tc>
        <w:tc>
          <w:tcPr>
            <w:tcW w:type="dxa" w:w="6912"/>
          </w:tcPr>
          <w:p>
            <w:pPr>
              <w:spacing w:line="240" w:lineRule="auto"/>
            </w:pPr>
            <w:r>
              <w:rPr>
                <w:sz w:val="17"/>
              </w:rPr>
              <w:t>Funding is reported.</w:t>
            </w:r>
          </w:p>
        </w:tc>
        <w:tc>
          <w:tcPr>
            <w:tcW w:type="dxa" w:w="2592"/>
          </w:tcPr>
          <w:p>
            <w:pPr>
              <w:spacing w:line="240" w:lineRule="auto"/>
            </w:pPr>
            <w:r>
              <w:rPr>
                <w:sz w:val="17"/>
              </w:rPr>
              <w:t>Declarations - Funding</w:t>
            </w:r>
          </w:p>
        </w:tc>
      </w:tr>
      <w:tr>
        <w:tc>
          <w:tcPr>
            <w:tcW w:type="dxa" w:w="1584"/>
          </w:tcPr>
          <w:p>
            <w:pPr>
              <w:spacing w:line="240" w:lineRule="auto"/>
            </w:pPr>
            <w:r>
              <w:rPr>
                <w:sz w:val="17"/>
              </w:rPr>
              <w:t>RECORD 1.1</w:t>
            </w:r>
          </w:p>
        </w:tc>
        <w:tc>
          <w:tcPr>
            <w:tcW w:type="dxa" w:w="6912"/>
          </w:tcPr>
          <w:p>
            <w:pPr>
              <w:spacing w:line="240" w:lineRule="auto"/>
            </w:pPr>
            <w:r>
              <w:rPr>
                <w:sz w:val="17"/>
              </w:rPr>
              <w:t>Use of routinely collected electronic health record data is identified.</w:t>
            </w:r>
          </w:p>
        </w:tc>
        <w:tc>
          <w:tcPr>
            <w:tcW w:type="dxa" w:w="2592"/>
          </w:tcPr>
          <w:p>
            <w:pPr>
              <w:spacing w:line="240" w:lineRule="auto"/>
            </w:pPr>
            <w:r>
              <w:rPr>
                <w:sz w:val="17"/>
              </w:rPr>
              <w:t>Title; Methods - Data source</w:t>
            </w:r>
          </w:p>
        </w:tc>
      </w:tr>
      <w:tr>
        <w:tc>
          <w:tcPr>
            <w:tcW w:type="dxa" w:w="1584"/>
          </w:tcPr>
          <w:p>
            <w:pPr>
              <w:spacing w:line="240" w:lineRule="auto"/>
            </w:pPr>
            <w:r>
              <w:rPr>
                <w:sz w:val="17"/>
              </w:rPr>
              <w:t>RECORD 1.2</w:t>
            </w:r>
          </w:p>
        </w:tc>
        <w:tc>
          <w:tcPr>
            <w:tcW w:type="dxa" w:w="6912"/>
          </w:tcPr>
          <w:p>
            <w:pPr>
              <w:spacing w:line="240" w:lineRule="auto"/>
            </w:pPr>
            <w:r>
              <w:rPr>
                <w:sz w:val="17"/>
              </w:rPr>
              <w:t>Database name is included in the title and abstract.</w:t>
            </w:r>
          </w:p>
        </w:tc>
        <w:tc>
          <w:tcPr>
            <w:tcW w:type="dxa" w:w="2592"/>
          </w:tcPr>
          <w:p>
            <w:pPr>
              <w:spacing w:line="240" w:lineRule="auto"/>
            </w:pPr>
            <w:r>
              <w:rPr>
                <w:sz w:val="17"/>
              </w:rPr>
              <w:t>Title; Abstract</w:t>
            </w:r>
          </w:p>
        </w:tc>
      </w:tr>
      <w:tr>
        <w:tc>
          <w:tcPr>
            <w:tcW w:type="dxa" w:w="1584"/>
          </w:tcPr>
          <w:p>
            <w:pPr>
              <w:spacing w:line="240" w:lineRule="auto"/>
            </w:pPr>
            <w:r>
              <w:rPr>
                <w:sz w:val="17"/>
              </w:rPr>
              <w:t>RECORD 6.1</w:t>
            </w:r>
          </w:p>
        </w:tc>
        <w:tc>
          <w:tcPr>
            <w:tcW w:type="dxa" w:w="6912"/>
          </w:tcPr>
          <w:p>
            <w:pPr>
              <w:spacing w:line="240" w:lineRule="auto"/>
            </w:pPr>
            <w:r>
              <w:rPr>
                <w:sz w:val="17"/>
              </w:rPr>
              <w:t>Code-based case identification and phenotype restrictions are described.</w:t>
            </w:r>
          </w:p>
        </w:tc>
        <w:tc>
          <w:tcPr>
            <w:tcW w:type="dxa" w:w="2592"/>
          </w:tcPr>
          <w:p>
            <w:pPr>
              <w:spacing w:line="240" w:lineRule="auto"/>
            </w:pPr>
            <w:r>
              <w:rPr>
                <w:sz w:val="17"/>
              </w:rPr>
              <w:t>Methods - Study population; Additional file 1</w:t>
            </w:r>
          </w:p>
        </w:tc>
      </w:tr>
      <w:tr>
        <w:tc>
          <w:tcPr>
            <w:tcW w:type="dxa" w:w="1584"/>
          </w:tcPr>
          <w:p>
            <w:pPr>
              <w:spacing w:line="240" w:lineRule="auto"/>
            </w:pPr>
            <w:r>
              <w:rPr>
                <w:sz w:val="17"/>
              </w:rPr>
              <w:t>RECORD 6.2</w:t>
            </w:r>
          </w:p>
        </w:tc>
        <w:tc>
          <w:tcPr>
            <w:tcW w:type="dxa" w:w="6912"/>
          </w:tcPr>
          <w:p>
            <w:pPr>
              <w:spacing w:line="240" w:lineRule="auto"/>
            </w:pPr>
            <w:r>
              <w:rPr>
                <w:sz w:val="17"/>
              </w:rPr>
              <w:t>Diagnosis-code lists are provided.</w:t>
            </w:r>
          </w:p>
        </w:tc>
        <w:tc>
          <w:tcPr>
            <w:tcW w:type="dxa" w:w="2592"/>
          </w:tcPr>
          <w:p>
            <w:pPr>
              <w:spacing w:line="240" w:lineRule="auto"/>
            </w:pPr>
            <w:r>
              <w:rPr>
                <w:sz w:val="17"/>
              </w:rPr>
              <w:t>Additional file 1</w:t>
            </w:r>
          </w:p>
        </w:tc>
      </w:tr>
      <w:tr>
        <w:tc>
          <w:tcPr>
            <w:tcW w:type="dxa" w:w="1584"/>
          </w:tcPr>
          <w:p>
            <w:pPr>
              <w:spacing w:line="240" w:lineRule="auto"/>
            </w:pPr>
            <w:r>
              <w:rPr>
                <w:sz w:val="17"/>
              </w:rPr>
              <w:t>RECORD 7.1</w:t>
            </w:r>
          </w:p>
        </w:tc>
        <w:tc>
          <w:tcPr>
            <w:tcW w:type="dxa" w:w="6912"/>
          </w:tcPr>
          <w:p>
            <w:pPr>
              <w:spacing w:line="240" w:lineRule="auto"/>
            </w:pPr>
            <w:r>
              <w:rPr>
                <w:sz w:val="17"/>
              </w:rPr>
              <w:t>Exposure and covariate algorithms and time windows are described.</w:t>
            </w:r>
          </w:p>
        </w:tc>
        <w:tc>
          <w:tcPr>
            <w:tcW w:type="dxa" w:w="2592"/>
          </w:tcPr>
          <w:p>
            <w:pPr>
              <w:spacing w:line="240" w:lineRule="auto"/>
            </w:pPr>
            <w:r>
              <w:rPr>
                <w:sz w:val="17"/>
              </w:rPr>
              <w:t>Methods; Additional file 1</w:t>
            </w:r>
          </w:p>
        </w:tc>
      </w:tr>
      <w:tr>
        <w:tc>
          <w:tcPr>
            <w:tcW w:type="dxa" w:w="1584"/>
          </w:tcPr>
          <w:p>
            <w:pPr>
              <w:spacing w:line="240" w:lineRule="auto"/>
            </w:pPr>
            <w:r>
              <w:rPr>
                <w:sz w:val="17"/>
              </w:rPr>
              <w:t>RECORD 12.1</w:t>
            </w:r>
          </w:p>
        </w:tc>
        <w:tc>
          <w:tcPr>
            <w:tcW w:type="dxa" w:w="6912"/>
          </w:tcPr>
          <w:p>
            <w:pPr>
              <w:spacing w:line="240" w:lineRule="auto"/>
            </w:pPr>
            <w:r>
              <w:rPr>
                <w:sz w:val="17"/>
              </w:rPr>
              <w:t>Data cleaning, complete-case handling, and weighting are described.</w:t>
            </w:r>
          </w:p>
        </w:tc>
        <w:tc>
          <w:tcPr>
            <w:tcW w:type="dxa" w:w="2592"/>
          </w:tcPr>
          <w:p>
            <w:pPr>
              <w:spacing w:line="240" w:lineRule="auto"/>
            </w:pPr>
            <w:r>
              <w:rPr>
                <w:sz w:val="17"/>
              </w:rPr>
              <w:t>Methods - Statistical analysis</w:t>
            </w:r>
          </w:p>
        </w:tc>
      </w:tr>
      <w:tr>
        <w:tc>
          <w:tcPr>
            <w:tcW w:type="dxa" w:w="1584"/>
          </w:tcPr>
          <w:p>
            <w:pPr>
              <w:spacing w:line="240" w:lineRule="auto"/>
            </w:pPr>
            <w:r>
              <w:rPr>
                <w:sz w:val="17"/>
              </w:rPr>
              <w:t>RECORD 13.1</w:t>
            </w:r>
          </w:p>
        </w:tc>
        <w:tc>
          <w:tcPr>
            <w:tcW w:type="dxa" w:w="6912"/>
          </w:tcPr>
          <w:p>
            <w:pPr>
              <w:spacing w:line="240" w:lineRule="auto"/>
            </w:pPr>
            <w:r>
              <w:rPr>
                <w:sz w:val="17"/>
              </w:rPr>
              <w:t>Selection of the study population is shown.</w:t>
            </w:r>
          </w:p>
        </w:tc>
        <w:tc>
          <w:tcPr>
            <w:tcW w:type="dxa" w:w="2592"/>
          </w:tcPr>
          <w:p>
            <w:pPr>
              <w:spacing w:line="240" w:lineRule="auto"/>
            </w:pPr>
            <w:r>
              <w:rPr>
                <w:sz w:val="17"/>
              </w:rPr>
              <w:t>Figure 1</w:t>
            </w:r>
          </w:p>
        </w:tc>
      </w:tr>
      <w:tr>
        <w:tc>
          <w:tcPr>
            <w:tcW w:type="dxa" w:w="1584"/>
          </w:tcPr>
          <w:p>
            <w:pPr>
              <w:spacing w:line="240" w:lineRule="auto"/>
            </w:pPr>
            <w:r>
              <w:rPr>
                <w:sz w:val="17"/>
              </w:rPr>
              <w:t>RECORD 19.1</w:t>
            </w:r>
          </w:p>
        </w:tc>
        <w:tc>
          <w:tcPr>
            <w:tcW w:type="dxa" w:w="6912"/>
          </w:tcPr>
          <w:p>
            <w:pPr>
              <w:spacing w:line="240" w:lineRule="auto"/>
            </w:pPr>
            <w:r>
              <w:rPr>
                <w:sz w:val="17"/>
              </w:rPr>
              <w:t>Limitations of coded data, missing ketones, timestamps, treatment data, and single-center scope are discussed.</w:t>
            </w:r>
          </w:p>
        </w:tc>
        <w:tc>
          <w:tcPr>
            <w:tcW w:type="dxa" w:w="2592"/>
          </w:tcPr>
          <w:p>
            <w:pPr>
              <w:spacing w:line="240" w:lineRule="auto"/>
            </w:pPr>
            <w:r>
              <w:rPr>
                <w:sz w:val="17"/>
              </w:rPr>
              <w:t>Discussion - Strengths and limitations</w:t>
            </w:r>
          </w:p>
        </w:tc>
      </w:tr>
      <w:tr>
        <w:tc>
          <w:tcPr>
            <w:tcW w:type="dxa" w:w="1584"/>
          </w:tcPr>
          <w:p>
            <w:pPr>
              <w:spacing w:line="240" w:lineRule="auto"/>
            </w:pPr>
            <w:r>
              <w:rPr>
                <w:sz w:val="17"/>
              </w:rPr>
              <w:t>RECORD 22.1</w:t>
            </w:r>
          </w:p>
        </w:tc>
        <w:tc>
          <w:tcPr>
            <w:tcW w:type="dxa" w:w="6912"/>
          </w:tcPr>
          <w:p>
            <w:pPr>
              <w:spacing w:line="240" w:lineRule="auto"/>
            </w:pPr>
            <w:r>
              <w:rPr>
                <w:sz w:val="17"/>
              </w:rPr>
              <w:t>Access restrictions and data availability are reported.</w:t>
            </w:r>
          </w:p>
        </w:tc>
        <w:tc>
          <w:tcPr>
            <w:tcW w:type="dxa" w:w="2592"/>
          </w:tcPr>
          <w:p>
            <w:pPr>
              <w:spacing w:line="240" w:lineRule="auto"/>
            </w:pPr>
            <w:r>
              <w:rPr>
                <w:sz w:val="17"/>
              </w:rPr>
              <w:t>Declarations - Availability of data and materials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1008" w:right="1008" w:bottom="1008" w:left="1008" w:header="720" w:footer="720" w:gutter="0"/>
      <w:cols w:space="720"/>
      <w:docGrid w:linePitch="360"/>
      <w:lnNumType w:countBy="1" w:restart="continuous" w:distance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40"/>
    </w:pPr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