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line="360" w:lineRule="auto" w:after="0"/>
        <w:jc w:val="center"/>
      </w:pPr>
      <w:r>
        <w:rPr>
          <w:rFonts w:ascii="Arial" w:hAnsi="Arial"/>
          <w:b/>
          <w:sz w:val="28"/>
        </w:rPr>
        <w:t>Additional file 1: Supplementary methods and tables</w:t>
      </w:r>
    </w:p>
    <w:p>
      <w:pPr>
        <w:pageBreakBefore w:val="0"/>
        <w:spacing w:line="360" w:lineRule="auto" w:after="0"/>
        <w:jc w:val="center"/>
      </w:pPr>
      <w:r>
        <w:rPr>
          <w:rFonts w:ascii="Arial" w:hAnsi="Arial"/>
          <w:b w:val="0"/>
          <w:sz w:val="20"/>
        </w:rPr>
        <w:t>Early bicarbonate normalization and discharge alive from the ICU in adults with diabetic ketoacidosis and high-anion-gap acidosis: a retrospective MIMIC-IV landmark cohort study</w:t>
      </w:r>
    </w:p>
    <w:p>
      <w:pPr>
        <w:pageBreakBefore w:val="0"/>
        <w:spacing w:line="360" w:lineRule="auto" w:after="0"/>
        <w:jc w:val="center"/>
      </w:pPr>
      <w:r>
        <w:t>Yao Zheng, MBBS</w:t>
      </w:r>
    </w:p>
    <w:p>
      <w:pPr>
        <w:pageBreakBefore w:val="0"/>
        <w:spacing w:line="360" w:lineRule="auto" w:after="0"/>
        <w:jc w:val="center"/>
      </w:pPr>
      <w:r>
        <w:t>Jiaxiang County People's Hospital, Jining, Shandong, China</w:t>
      </w:r>
    </w:p>
    <w:p>
      <w:pPr>
        <w:pStyle w:val="Heading1"/>
        <w:pageBreakBefore w:val="0"/>
        <w:spacing w:line="360" w:lineRule="auto" w:after="0"/>
      </w:pPr>
      <w:r>
        <w:t>Supplementary Methods</w:t>
      </w:r>
    </w:p>
    <w:p>
      <w:pPr>
        <w:pStyle w:val="Heading2"/>
        <w:pageBreakBefore w:val="0"/>
        <w:spacing w:line="360" w:lineRule="auto" w:after="0"/>
      </w:pPr>
      <w:r>
        <w:t>Diagnosis codes</w:t>
      </w:r>
    </w:p>
    <w:p>
      <w:pPr>
        <w:pageBreakBefore w:val="0"/>
        <w:spacing w:line="360" w:lineRule="auto" w:after="0"/>
      </w:pPr>
      <w:r>
        <w:t>Adults with DKA were identified using the prespecified diagnosis codes listed below. The first eligible hospitalization and ICU stay were retained, and encounters with hyperosmolar hyperglycemic state codes were excluded.</w:t>
      </w:r>
    </w:p>
    <w:p>
      <w:pPr>
        <w:pageBreakBefore w:val="0"/>
        <w:spacing w:line="360" w:lineRule="auto" w:after="0"/>
      </w:pPr>
      <w:r>
        <w:rPr>
          <w:i w:val="0"/>
        </w:rPr>
        <w:t>ICD-9-CM DKA codes: 24910, 24911, 25010, 25011, 25012, and 25013.</w:t>
      </w:r>
    </w:p>
    <w:p>
      <w:pPr>
        <w:pageBreakBefore w:val="0"/>
        <w:spacing w:line="360" w:lineRule="auto" w:after="0"/>
      </w:pPr>
      <w:r>
        <w:rPr>
          <w:i w:val="0"/>
        </w:rPr>
        <w:t>ICD-10-CM DKA codes: E0810, E0811, E0910, E0911, E1010, E1011, E1110, E1111, E1310, and E1311.</w:t>
      </w:r>
    </w:p>
    <w:p>
      <w:pPr>
        <w:pageBreakBefore w:val="0"/>
        <w:spacing w:line="360" w:lineRule="auto" w:after="0"/>
      </w:pPr>
      <w:r>
        <w:rPr>
          <w:i w:val="0"/>
        </w:rPr>
        <w:t>Hyperosmolar hyperglycemic state codes were excluded during cohort construction.</w:t>
      </w:r>
    </w:p>
    <w:p>
      <w:pPr>
        <w:pStyle w:val="Heading2"/>
        <w:pageBreakBefore w:val="0"/>
        <w:spacing w:line="360" w:lineRule="auto" w:after="0"/>
      </w:pPr>
      <w:r>
        <w:t>Temporal windows</w:t>
      </w:r>
    </w:p>
    <w:p>
      <w:pPr>
        <w:pageBreakBefore w:val="0"/>
        <w:spacing w:line="360" w:lineRule="auto" w:after="0"/>
      </w:pPr>
      <w:r>
        <w:rPr>
          <w:i w:val="0"/>
        </w:rPr>
        <w:t>Baseline: ICU admission −6 to +6 hours; first values were used in the primary phenotype and adjustment.</w:t>
      </w:r>
    </w:p>
    <w:p>
      <w:pPr>
        <w:pageBreakBefore w:val="0"/>
        <w:spacing w:line="360" w:lineRule="auto" w:after="0"/>
      </w:pPr>
      <w:r>
        <w:rPr>
          <w:i w:val="0"/>
        </w:rPr>
        <w:t>Exposure: ICU admission +6 to +12 hours; the last bicarbonate value was used.</w:t>
      </w:r>
    </w:p>
    <w:p>
      <w:pPr>
        <w:pageBreakBefore w:val="0"/>
        <w:spacing w:line="360" w:lineRule="auto" w:after="0"/>
      </w:pPr>
      <w:r>
        <w:rPr>
          <w:i w:val="0"/>
        </w:rPr>
        <w:t>Alternative baseline sensitivity: the last bicarbonate in the initial −6 to +6-hour window replaced the first value.</w:t>
      </w:r>
    </w:p>
    <w:p>
      <w:pPr>
        <w:pStyle w:val="Heading2"/>
        <w:pageBreakBefore w:val="0"/>
        <w:spacing w:line="360" w:lineRule="auto" w:after="0"/>
      </w:pPr>
      <w:r>
        <w:t>Observation weighting</w:t>
      </w:r>
    </w:p>
    <w:p>
      <w:pPr>
        <w:pageBreakBefore w:val="0"/>
        <w:spacing w:line="360" w:lineRule="auto" w:after="0"/>
      </w:pPr>
      <w:r>
        <w:rPr>
          <w:i w:val="0"/>
        </w:rPr>
        <w:t>A logistic model estimated the probability of landmark inclusion among patients with active high-anion-gap acidosis. The model included the same baseline covariates as the primary outcome model. Stabilized inverse-probability-of-observation weights were truncated at the 1st and 99th percentiles.</w:t>
      </w:r>
    </w:p>
    <w:p>
      <w:pPr>
        <w:pStyle w:val="Heading1"/>
        <w:pageBreakBefore w:val="0"/>
        <w:spacing w:line="360" w:lineRule="auto" w:after="0"/>
      </w:pPr>
      <w:r>
        <w:t>Table S1. Included and excluded patients with active high-anion-gap acidosis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3672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Characteristic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Landmark included</w:t>
              <w:br/>
              <w:t>(n=569)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Excluded</w:t>
              <w:br/>
              <w:t>(n=61)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Absolute SMD</w:t>
            </w:r>
          </w:p>
        </w:tc>
      </w:tr>
      <w:tr>
        <w:tc>
          <w:tcPr>
            <w:tcW w:type="dxa" w:w="3672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Age, years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48.6 [32.1, 63.4]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56.4 [35.1, 72.6]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0.239</w:t>
            </w:r>
          </w:p>
        </w:tc>
      </w:tr>
      <w:tr>
        <w:tc>
          <w:tcPr>
            <w:tcW w:type="dxa" w:w="3672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Male sex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295 (51.8%)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27 (44.3%)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0.152</w:t>
            </w:r>
          </w:p>
        </w:tc>
      </w:tr>
      <w:tr>
        <w:tc>
          <w:tcPr>
            <w:tcW w:type="dxa" w:w="3672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Diagnosis-derived renal disease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114 (20.0%)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18 (29.5%)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0.219</w:t>
            </w:r>
          </w:p>
        </w:tc>
      </w:tr>
      <w:tr>
        <w:tc>
          <w:tcPr>
            <w:tcW w:type="dxa" w:w="3672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Sepsis diagnosis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192 (33.7%)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26 (42.6%)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0.183</w:t>
            </w:r>
          </w:p>
        </w:tc>
      </w:tr>
      <w:tr>
        <w:tc>
          <w:tcPr>
            <w:tcW w:type="dxa" w:w="3672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Baseline bicarbonate, mmol/L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12.0 [9.0, 15.0]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15.0 [12.0, 17.0]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0.600</w:t>
            </w:r>
          </w:p>
        </w:tc>
      </w:tr>
      <w:tr>
        <w:tc>
          <w:tcPr>
            <w:tcW w:type="dxa" w:w="3672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Baseline anion gap, mmol/L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23.0 [19.0, 27.0]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20.0 [16.0, 24.0]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0.570</w:t>
            </w:r>
          </w:p>
        </w:tc>
      </w:tr>
      <w:tr>
        <w:tc>
          <w:tcPr>
            <w:tcW w:type="dxa" w:w="3672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Baseline glucose, mg/dL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292.5 [209.8, 423.2]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275.0 [203.0, 394.0]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0.063</w:t>
            </w:r>
          </w:p>
        </w:tc>
      </w:tr>
      <w:tr>
        <w:tc>
          <w:tcPr>
            <w:tcW w:type="dxa" w:w="3672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ICU length of stay, days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1.8 [1.2, 2.8]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1.0 [0.6, 1.9]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0.367</w:t>
            </w:r>
          </w:p>
        </w:tc>
      </w:tr>
      <w:tr>
        <w:tc>
          <w:tcPr>
            <w:tcW w:type="dxa" w:w="3672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ICU death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21 (3.7%)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7 (11.5%)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0.294</w:t>
            </w:r>
          </w:p>
        </w:tc>
      </w:tr>
      <w:tr>
        <w:tc>
          <w:tcPr>
            <w:tcW w:type="dxa" w:w="3672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In-hospital death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35 (6.2%)</w:t>
            </w:r>
          </w:p>
        </w:tc>
        <w:tc>
          <w:tcPr>
            <w:tcW w:type="dxa" w:w="223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7 (11.5%)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0.188</w:t>
            </w:r>
          </w:p>
        </w:tc>
      </w:tr>
    </w:tbl>
    <w:p>
      <w:pPr>
        <w:pageBreakBefore w:val="0"/>
        <w:spacing w:line="360" w:lineRule="auto" w:after="0"/>
      </w:pPr>
      <w:r>
        <w:rPr>
          <w:i/>
        </w:rPr>
        <w:t>Values are median [IQR] or n (%).</w:t>
      </w:r>
    </w:p>
    <w:p>
      <w:pPr>
        <w:pStyle w:val="Heading1"/>
        <w:pageBreakBefore w:val="0"/>
        <w:spacing w:line="360" w:lineRule="auto" w:after="0"/>
      </w:pPr>
      <w:r>
        <w:t>Table S2. Full sensitivity analyses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</w:trPr>
        <w:tc>
          <w:tcPr>
            <w:tcW w:type="dxa" w:w="4248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Analysis</w:t>
            </w:r>
          </w:p>
        </w:tc>
        <w:tc>
          <w:tcPr>
            <w:tcW w:type="dxa" w:w="936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N</w:t>
            </w:r>
          </w:p>
        </w:tc>
        <w:tc>
          <w:tcPr>
            <w:tcW w:type="dxa" w:w="1008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Events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Adjusted OR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95% CI</w:t>
            </w:r>
          </w:p>
        </w:tc>
        <w:tc>
          <w:tcPr>
            <w:tcW w:type="dxa" w:w="1080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P value</w:t>
            </w:r>
          </w:p>
        </w:tc>
      </w:tr>
      <w:tr>
        <w:tc>
          <w:tcPr>
            <w:tcW w:type="dxa" w:w="4248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Primary active HAGA cohort</w:t>
            </w:r>
          </w:p>
        </w:tc>
        <w:tc>
          <w:tcPr>
            <w:tcW w:type="dxa" w:w="936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558</w:t>
            </w:r>
          </w:p>
        </w:tc>
        <w:tc>
          <w:tcPr>
            <w:tcW w:type="dxa" w:w="1008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136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0.46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0.28–0.78</w:t>
            </w:r>
          </w:p>
        </w:tc>
        <w:tc>
          <w:tcPr>
            <w:tcW w:type="dxa" w:w="1080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0.004</w:t>
            </w:r>
          </w:p>
        </w:tc>
      </w:tr>
      <w:tr>
        <w:tc>
          <w:tcPr>
            <w:tcW w:type="dxa" w:w="4248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Baseline glucose ≥200 mg/dL</w:t>
            </w:r>
          </w:p>
        </w:tc>
        <w:tc>
          <w:tcPr>
            <w:tcW w:type="dxa" w:w="936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435</w:t>
            </w:r>
          </w:p>
        </w:tc>
        <w:tc>
          <w:tcPr>
            <w:tcW w:type="dxa" w:w="1008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108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0.60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0.34–1.05</w:t>
            </w:r>
          </w:p>
        </w:tc>
        <w:tc>
          <w:tcPr>
            <w:tcW w:type="dxa" w:w="1080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0.075</w:t>
            </w:r>
          </w:p>
        </w:tc>
      </w:tr>
      <w:tr>
        <w:tc>
          <w:tcPr>
            <w:tcW w:type="dxa" w:w="4248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Excluding renal disease</w:t>
            </w:r>
          </w:p>
        </w:tc>
        <w:tc>
          <w:tcPr>
            <w:tcW w:type="dxa" w:w="936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447</w:t>
            </w:r>
          </w:p>
        </w:tc>
        <w:tc>
          <w:tcPr>
            <w:tcW w:type="dxa" w:w="1008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90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0.49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0.26–0.92</w:t>
            </w:r>
          </w:p>
        </w:tc>
        <w:tc>
          <w:tcPr>
            <w:tcW w:type="dxa" w:w="1080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0.027</w:t>
            </w:r>
          </w:p>
        </w:tc>
      </w:tr>
      <w:tr>
        <w:tc>
          <w:tcPr>
            <w:tcW w:type="dxa" w:w="4248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Excluding septic shock</w:t>
            </w:r>
          </w:p>
        </w:tc>
        <w:tc>
          <w:tcPr>
            <w:tcW w:type="dxa" w:w="936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503</w:t>
            </w:r>
          </w:p>
        </w:tc>
        <w:tc>
          <w:tcPr>
            <w:tcW w:type="dxa" w:w="1008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88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0.46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0.25–0.83</w:t>
            </w:r>
          </w:p>
        </w:tc>
        <w:tc>
          <w:tcPr>
            <w:tcW w:type="dxa" w:w="1080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0.011</w:t>
            </w:r>
          </w:p>
        </w:tc>
      </w:tr>
      <w:tr>
        <w:tc>
          <w:tcPr>
            <w:tcW w:type="dxa" w:w="4248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Excluding sodium bicarbonate therapy</w:t>
            </w:r>
          </w:p>
        </w:tc>
        <w:tc>
          <w:tcPr>
            <w:tcW w:type="dxa" w:w="936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499</w:t>
            </w:r>
          </w:p>
        </w:tc>
        <w:tc>
          <w:tcPr>
            <w:tcW w:type="dxa" w:w="1008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103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0.41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0.23–0.76</w:t>
            </w:r>
          </w:p>
        </w:tc>
        <w:tc>
          <w:tcPr>
            <w:tcW w:type="dxa" w:w="1080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0.004</w:t>
            </w:r>
          </w:p>
        </w:tc>
      </w:tr>
      <w:tr>
        <w:tc>
          <w:tcPr>
            <w:tcW w:type="dxa" w:w="4248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Inverse-probability-of-observation weighted</w:t>
            </w:r>
          </w:p>
        </w:tc>
        <w:tc>
          <w:tcPr>
            <w:tcW w:type="dxa" w:w="936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558</w:t>
            </w:r>
          </w:p>
        </w:tc>
        <w:tc>
          <w:tcPr>
            <w:tcW w:type="dxa" w:w="1008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136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0.47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0.28–0.78</w:t>
            </w:r>
          </w:p>
        </w:tc>
        <w:tc>
          <w:tcPr>
            <w:tcW w:type="dxa" w:w="1080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0.004</w:t>
            </w:r>
          </w:p>
        </w:tc>
      </w:tr>
      <w:tr>
        <w:tc>
          <w:tcPr>
            <w:tcW w:type="dxa" w:w="4248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Last initial-window bicarbonate adjustment</w:t>
            </w:r>
          </w:p>
        </w:tc>
        <w:tc>
          <w:tcPr>
            <w:tcW w:type="dxa" w:w="936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558</w:t>
            </w:r>
          </w:p>
        </w:tc>
        <w:tc>
          <w:tcPr>
            <w:tcW w:type="dxa" w:w="1008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136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0.70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0.40–1.24</w:t>
            </w:r>
          </w:p>
        </w:tc>
        <w:tc>
          <w:tcPr>
            <w:tcW w:type="dxa" w:w="1080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0.217</w:t>
            </w:r>
          </w:p>
        </w:tc>
      </w:tr>
      <w:tr>
        <w:tc>
          <w:tcPr>
            <w:tcW w:type="dxa" w:w="4248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Alive ICU discharge threshold: 48 hours</w:t>
            </w:r>
          </w:p>
        </w:tc>
        <w:tc>
          <w:tcPr>
            <w:tcW w:type="dxa" w:w="936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558</w:t>
            </w:r>
          </w:p>
        </w:tc>
        <w:tc>
          <w:tcPr>
            <w:tcW w:type="dxa" w:w="1008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264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0.56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0.36–0.88</w:t>
            </w:r>
          </w:p>
        </w:tc>
        <w:tc>
          <w:tcPr>
            <w:tcW w:type="dxa" w:w="1080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0.011</w:t>
            </w:r>
          </w:p>
        </w:tc>
      </w:tr>
      <w:tr>
        <w:tc>
          <w:tcPr>
            <w:tcW w:type="dxa" w:w="4248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Alive ICU discharge threshold: 96 hours</w:t>
            </w:r>
          </w:p>
        </w:tc>
        <w:tc>
          <w:tcPr>
            <w:tcW w:type="dxa" w:w="936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558</w:t>
            </w:r>
          </w:p>
        </w:tc>
        <w:tc>
          <w:tcPr>
            <w:tcW w:type="dxa" w:w="1008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90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0.36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0.19–0.67</w:t>
            </w:r>
          </w:p>
        </w:tc>
        <w:tc>
          <w:tcPr>
            <w:tcW w:type="dxa" w:w="1080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0.001</w:t>
            </w:r>
          </w:p>
        </w:tc>
      </w:tr>
      <w:tr>
        <w:tc>
          <w:tcPr>
            <w:tcW w:type="dxa" w:w="4248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Using in-hospital death in composite</w:t>
            </w:r>
          </w:p>
        </w:tc>
        <w:tc>
          <w:tcPr>
            <w:tcW w:type="dxa" w:w="936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558</w:t>
            </w:r>
          </w:p>
        </w:tc>
        <w:tc>
          <w:tcPr>
            <w:tcW w:type="dxa" w:w="1008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140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0.45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0.27–0.75</w:t>
            </w:r>
          </w:p>
        </w:tc>
        <w:tc>
          <w:tcPr>
            <w:tcW w:type="dxa" w:w="1080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0.002</w:t>
            </w:r>
          </w:p>
        </w:tc>
      </w:tr>
    </w:tbl>
    <w:p>
      <w:pPr>
        <w:pStyle w:val="Heading1"/>
        <w:pageBreakBefore w:val="0"/>
        <w:spacing w:line="360" w:lineRule="auto" w:after="0"/>
      </w:pPr>
      <w:r>
        <w:t>Table S3. Treatment characteristics and outcome components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3960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Characteristic or outcome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HCO3 &lt;18 mmol/L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HCO3 ≥18 mmol/L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Absolute SMD</w:t>
            </w:r>
          </w:p>
        </w:tc>
      </w:tr>
      <w:tr>
        <w:tc>
          <w:tcPr>
            <w:tcW w:type="dxa" w:w="3960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Sodium bicarbonate treatment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46 (14.9%)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18 (6.9%)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0.258</w:t>
            </w:r>
          </w:p>
        </w:tc>
      </w:tr>
      <w:tr>
        <w:tc>
          <w:tcPr>
            <w:tcW w:type="dxa" w:w="3960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Vasopressor treatment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56 (18.2%)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27 (10.3%)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0.224</w:t>
            </w:r>
          </w:p>
        </w:tc>
      </w:tr>
      <w:tr>
        <w:tc>
          <w:tcPr>
            <w:tcW w:type="dxa" w:w="3960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Antibiotic treatment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121 (39.3%)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86 (33.0%)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0.132</w:t>
            </w:r>
          </w:p>
        </w:tc>
      </w:tr>
      <w:tr>
        <w:tc>
          <w:tcPr>
            <w:tcW w:type="dxa" w:w="3960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ICU stay ≥72 hours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78 (25.3%)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48 (18.4%)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—</w:t>
            </w:r>
          </w:p>
        </w:tc>
      </w:tr>
      <w:tr>
        <w:tc>
          <w:tcPr>
            <w:tcW w:type="dxa" w:w="3960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ICU death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16 (5.2%)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5 (1.9%)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—</w:t>
            </w:r>
          </w:p>
        </w:tc>
      </w:tr>
      <w:tr>
        <w:tc>
          <w:tcPr>
            <w:tcW w:type="dxa" w:w="3960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In-hospital death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24 (7.8%)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11 (4.2%)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—</w:t>
            </w:r>
          </w:p>
        </w:tc>
      </w:tr>
      <w:tr>
        <w:tc>
          <w:tcPr>
            <w:tcW w:type="dxa" w:w="3960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Primary outcome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89 (28.9%)</w:t>
            </w:r>
          </w:p>
        </w:tc>
        <w:tc>
          <w:tcPr>
            <w:tcW w:type="dxa" w:w="230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52 (19.9%)</w:t>
            </w:r>
          </w:p>
        </w:tc>
        <w:tc>
          <w:tcPr>
            <w:tcW w:type="dxa" w:w="1224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—</w:t>
            </w:r>
          </w:p>
        </w:tc>
      </w:tr>
    </w:tbl>
    <w:p>
      <w:pPr>
        <w:pStyle w:val="Heading1"/>
        <w:pageBreakBefore w:val="0"/>
        <w:spacing w:line="360" w:lineRule="auto" w:after="0"/>
      </w:pPr>
      <w:r>
        <w:t>Table S4. Observation-weight diagnostics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</w:trPr>
        <w:tc>
          <w:tcPr>
            <w:tcW w:type="dxa" w:w="1944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Statistic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1st percentile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25th percentile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Median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75th percentile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/>
                <w:sz w:val="16"/>
              </w:rPr>
              <w:t>99th percentile</w:t>
            </w:r>
          </w:p>
        </w:tc>
      </w:tr>
      <w:tr>
        <w:tc>
          <w:tcPr>
            <w:tcW w:type="dxa" w:w="1944"/>
            <w:vAlign w:val="center"/>
          </w:tcPr>
          <w:p>
            <w:pPr>
              <w:pageBreakBefore w:val="0"/>
              <w:spacing w:line="240" w:lineRule="auto" w:after="0"/>
              <w:jc w:val="left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Stabilized weight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0.911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0.934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0.975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1.041</w:t>
            </w:r>
          </w:p>
        </w:tc>
        <w:tc>
          <w:tcPr>
            <w:tcW w:type="dxa" w:w="1512"/>
            <w:vAlign w:val="center"/>
          </w:tcPr>
          <w:p>
            <w:pPr>
              <w:pageBreakBefore w:val="0"/>
              <w:spacing w:line="240" w:lineRule="auto" w:after="0"/>
              <w:jc w:val="center"/>
            </w:pPr>
            <w:r>
              <w:rPr>
                <w:rFonts w:ascii="Times New Roman" w:hAnsi="Times New Roman"/>
                <w:sz w:val="16"/>
              </w:rPr>
            </w:r>
            <w:r>
              <w:rPr>
                <w:rFonts w:ascii="Times New Roman" w:hAnsi="Times New Roman"/>
                <w:b w:val="0"/>
                <w:sz w:val="16"/>
              </w:rPr>
              <w:t>1.267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8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