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Tables</w:t>
      </w:r>
    </w:p>
    <w:p>
      <w:pPr>
        <w:jc w:val="center"/>
      </w:pPr>
      <w:r>
        <w:rPr>
          <w:i/>
        </w:rPr>
        <w:t>High Admission Systemic Inflammation Response Index as an Independent Predictor of In-Hospital Adverse Events Among Patients with Acute Heart Failure: A Prospective Cohort Study</w:t>
      </w:r>
    </w:p>
    <w:p>
      <w:r>
        <w:rPr>
          <w:b/>
        </w:rPr>
        <w:t>Table 1. Baseline characteristics of the study population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Characteristic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Overall (n=102)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Age, years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58.69 ± 12.27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Body mass index, kg/m²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24.10 (22.02-26.98)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Systolic blood pressure, mmHg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122.15 ± 24.18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Diastolic blood pressure, mmHg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77.64 ± 16.98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Serum creatinine, mg/dL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1.09 (0.92-1.64)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eGFR, mL/min/1.73 m²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70.50 (41.78-86.69)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AST, U/L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43.50 (27.25-102.75)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ALT, U/L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28.00 (18.00-53.00)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Neutrophils, ×10³/µL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8.30 (5.95-11.75)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Monocytes, ×10³/µL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0.80 (0.55-0.96)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Lymphocytes, ×10³/µL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1.48 (1.05-1.96)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SIRI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3.97 (2.36-6.63)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Male sex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74 (72.5)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Hypertension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46 (45.1)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Diabetes mellitus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30 (29.4)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AHF due to acute coronary syndrome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57 (55.9)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AHF due to non-acute coronary syndrome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45 (44.1)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Cardiogenic shock at admission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24 (23.5)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Infection at admission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30 (29.4)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Referral from another hospital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68 (66.7)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Positive-pressure ventilation at admission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 (2.0)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LVEF ≤40%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52 (51.0)</w:t>
            </w:r>
          </w:p>
        </w:tc>
      </w:tr>
      <w:tr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TAPSE ≤17 mm</w:t>
            </w:r>
          </w:p>
        </w:tc>
        <w:tc>
          <w:tcPr>
            <w:tcW w:type="dxa" w:w="4536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25 (24.5)</w:t>
            </w:r>
          </w:p>
        </w:tc>
      </w:tr>
    </w:tbl>
    <w:p>
      <w:pPr>
        <w:spacing w:line="240" w:lineRule="auto"/>
      </w:pPr>
      <w:r>
        <w:rPr>
          <w:sz w:val="20"/>
        </w:rPr>
        <w:t>Note: Data are mean ± standard deviation, median (interquartile range), or n (%). AHF, acute heart failure; ALT, alanine aminotransferase; AST, aspartate aminotransferase; eGFR, estimated glomerular filtration rate; LVEF, left ventricular ejection fraction; SIRI, systemic inflammation response index; TAPSE, tricuspid annular plane systolic excursion.</w:t>
      </w:r>
    </w:p>
    <w:p>
      <w:r>
        <w:br w:type="page"/>
      </w:r>
    </w:p>
    <w:p>
      <w:r>
        <w:rPr>
          <w:b/>
        </w:rPr>
        <w:t>Table 2. Distribution of individual in-hospital adverse events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Adverse event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%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Hemodynamic deterioration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23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22.5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Clinically significant arrhythmia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14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13.7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Acute kidney dysfunction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11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10.8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Hospital-acquired pneumonia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9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8.8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All-cause in-hospital mortality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9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8.8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Positive-pressure ventilation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3.9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Liver dysfunction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2.0</w:t>
            </w:r>
          </w:p>
        </w:tc>
      </w:tr>
      <w:tr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Cerebral dysfunction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</w:t>
            </w:r>
          </w:p>
        </w:tc>
        <w:tc>
          <w:tcPr>
            <w:tcW w:type="dxa" w:w="302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2.0</w:t>
            </w:r>
          </w:p>
        </w:tc>
      </w:tr>
    </w:tbl>
    <w:p>
      <w:pPr>
        <w:spacing w:line="240" w:lineRule="auto"/>
      </w:pPr>
      <w:r>
        <w:rPr>
          <w:sz w:val="20"/>
        </w:rPr>
        <w:t>Note: One participant could experience more than one component; therefore, component frequencies exceed the number of participants with the composite outcome.</w:t>
      </w:r>
    </w:p>
    <w:p>
      <w:r>
        <w:br w:type="page"/>
      </w:r>
    </w:p>
    <w:p>
      <w:r>
        <w:rPr>
          <w:b/>
        </w:rPr>
        <w:t>Table 3. Predictive performance of admission SIRI and event rates by category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2"/>
        <w:gridCol w:w="1512"/>
        <w:gridCol w:w="1512"/>
        <w:gridCol w:w="1512"/>
        <w:gridCol w:w="1512"/>
        <w:gridCol w:w="1512"/>
      </w:tblGrid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Adverse event, n (%)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No adverse event, n (%)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OR (95% CI)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p value</w:t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ROC analysis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Area under the ROC curve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0.944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&lt;0.001</w:t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95% confidence interval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0.902-0.986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Optimal cut-off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4.295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SIRI category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High SIRI (≥4.295)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45 (44.1%)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38 (84.4)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 (15.6)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71.93 (19.66-263.19)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&lt;0.001</w:t>
            </w:r>
          </w:p>
        </w:tc>
      </w:tr>
      <w:tr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Low SIRI (&lt;4.295)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57 (55.9%)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 (7.0)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53 (93.0)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Reference</w:t>
            </w:r>
          </w:p>
        </w:tc>
        <w:tc>
          <w:tcPr>
            <w:tcW w:type="dxa" w:w="1512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-</w:t>
            </w:r>
          </w:p>
        </w:tc>
      </w:tr>
    </w:tbl>
    <w:p>
      <w:pPr>
        <w:spacing w:line="240" w:lineRule="auto"/>
      </w:pPr>
      <w:r>
        <w:rPr>
          <w:sz w:val="20"/>
        </w:rPr>
        <w:t>Note: CI, confidence interval; OR, odds ratio; ROC, receiver operating characteristic; SIRI, systemic inflammation response index.</w:t>
      </w:r>
    </w:p>
    <w:p>
      <w:r>
        <w:br w:type="page"/>
      </w:r>
    </w:p>
    <w:p>
      <w:r>
        <w:rPr>
          <w:b/>
        </w:rPr>
        <w:t>Table 4. Multivariable predictors of in-hospital adverse events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B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Adjusted OR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95% CI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p value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Body mass index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-0.125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0.883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0.711-1.095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0.257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Systolic blood pressure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-0.028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0.972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0.917-1.032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0.360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Diastolic blood pressure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0.001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1.001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0.928-1.081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0.970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Serum creatinine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0.857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2.356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0.565-9.824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0.239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eGFR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0.007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1.007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0.959-1.056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0.784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AST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0.001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1.001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0.991-1.011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0.836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ALT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0.014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1.014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0.987-1.042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0.314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AHF etiology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0.364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1.439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0.188-11.025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0.726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Cardiogenic shock at admission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1.093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2.982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0.490-18.135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0.236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Referral status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0.127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1.136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0.177-7.294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0.893</w:t>
            </w:r>
          </w:p>
        </w:tc>
      </w:tr>
      <w:tr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High SIRI (≥4.295)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4.381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79.879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14.68-434.64</w:t>
            </w:r>
          </w:p>
        </w:tc>
        <w:tc>
          <w:tcPr>
            <w:tcW w:type="dxa" w:w="181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&lt;0.001</w:t>
            </w:r>
          </w:p>
        </w:tc>
      </w:tr>
    </w:tbl>
    <w:p>
      <w:pPr>
        <w:spacing w:line="240" w:lineRule="auto"/>
      </w:pPr>
      <w:r>
        <w:rPr>
          <w:sz w:val="20"/>
        </w:rPr>
        <w:t>Note: AHF, acute heart failure; ALT, alanine aminotransferase; AST, aspartate aminotransferase; CI, confidence interval; eGFR, estimated glomerular filtration rate; OR, odds ratio; SIRI, systemic inflammation response index. Variables with p&lt;0.25 in bivariable analysis and clinically relevant variables identified a priori were entered simultaneously.</w:t>
      </w:r>
    </w:p>
    <w:p>
      <w:r>
        <w:br w:type="page"/>
      </w:r>
    </w:p>
    <w:p>
      <w:r>
        <w:rPr>
          <w:b/>
        </w:rPr>
        <w:t>Table 5. Association between high SIRI and individual adverse-event components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Outcome component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OR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95% CI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/>
            </w:pPr>
            <w:r>
              <w:rPr>
                <w:b/>
                <w:sz w:val="20"/>
              </w:rPr>
              <w:t>p value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Clinically significant arrhythmia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10.00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2.11-47.49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&lt;0.001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Hemodynamic deterioration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53.60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6.81-421.10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&lt;0.001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Positive-pressure ventilation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0.035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Acute kidney dysfunction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16.00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1.96-130.47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0.001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Liver dysfunction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0.192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Cerebral dysfunction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NE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0.192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Hospital-acquired pneumonia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12.11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1.45-100.87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0.010</w:t>
            </w:r>
          </w:p>
        </w:tc>
      </w:tr>
      <w:tr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All-cause in-hospital mortality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5.10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1.21-25.73</w:t>
            </w:r>
          </w:p>
        </w:tc>
        <w:tc>
          <w:tcPr>
            <w:tcW w:type="dxa" w:w="2268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0.041</w:t>
            </w:r>
          </w:p>
        </w:tc>
      </w:tr>
    </w:tbl>
    <w:p>
      <w:pPr>
        <w:spacing w:line="240" w:lineRule="auto"/>
      </w:pPr>
      <w:r>
        <w:rPr>
          <w:sz w:val="20"/>
        </w:rPr>
        <w:t>Note: CI, confidence interval; NE, not estimable; OR, odds ratio; SIRI, systemic inflammation response index. Fisher exact testing was used when sparse cells prevented reliable OR estimation.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 w:before="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Admission Systemic Inflammation Response Index as an Independent Predictor of In-Hospital Adverse Events Among Patients with Acute Heart Failure: A Prospective Cohort Study</dc:title>
  <dc:subject>Research Article submission to Indonesian Journal of Cardiology</dc:subject>
  <dc:creator>Henry Setiono Sauala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