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47C9A8B" w14:textId="77777777" w:rsidR="007A21D8" w:rsidRDefault="00000000">
      <w:pPr>
        <w:spacing w:after="300"/>
        <w:jc w:val="center"/>
      </w:pPr>
      <w:r>
        <w:rPr>
          <w:b/>
          <w:bCs/>
          <w:sz w:val="28"/>
          <w:szCs w:val="28"/>
        </w:rPr>
        <w:t>Supplementary Information</w:t>
      </w:r>
    </w:p>
    <w:p w14:paraId="3B416D9C" w14:textId="77777777" w:rsidR="007A21D8" w:rsidRPr="00F872BB" w:rsidRDefault="00000000">
      <w:pPr>
        <w:spacing w:after="200"/>
        <w:rPr>
          <w:sz w:val="28"/>
          <w:szCs w:val="28"/>
        </w:rPr>
      </w:pPr>
      <w:r w:rsidRPr="00F872BB">
        <w:rPr>
          <w:sz w:val="28"/>
          <w:szCs w:val="28"/>
        </w:rPr>
        <w:t xml:space="preserve">Development of an In Vitro Denture Stomatitis Model Simulating </w:t>
      </w:r>
      <w:r w:rsidRPr="00F872BB">
        <w:rPr>
          <w:i/>
          <w:iCs/>
          <w:sz w:val="28"/>
          <w:szCs w:val="28"/>
        </w:rPr>
        <w:t>Candida albicans</w:t>
      </w:r>
      <w:r w:rsidRPr="00F872BB">
        <w:rPr>
          <w:sz w:val="28"/>
          <w:szCs w:val="28"/>
        </w:rPr>
        <w:t xml:space="preserve"> Biofilm Formation and Detachment under Daily Antiseptic Immersion</w:t>
      </w:r>
    </w:p>
    <w:p w14:paraId="56C97A42" w14:textId="77777777" w:rsidR="00F872BB" w:rsidRPr="00F872BB" w:rsidRDefault="00F872BB" w:rsidP="00F872BB">
      <w:pPr>
        <w:spacing w:line="480" w:lineRule="auto"/>
        <w:rPr>
          <w:rFonts w:cs="Times New Roman"/>
          <w:sz w:val="28"/>
          <w:szCs w:val="28"/>
        </w:rPr>
      </w:pPr>
      <w:r w:rsidRPr="00F872BB">
        <w:rPr>
          <w:sz w:val="28"/>
          <w:szCs w:val="28"/>
        </w:rPr>
        <w:t>Pornpot Jiangkongkho</w:t>
      </w:r>
      <w:r w:rsidRPr="00F872BB">
        <w:rPr>
          <w:color w:val="000000" w:themeColor="text1"/>
          <w:sz w:val="28"/>
          <w:szCs w:val="28"/>
          <w:shd w:val="clear" w:color="auto" w:fill="FFFFFF"/>
          <w:vertAlign w:val="superscript"/>
          <w:lang w:val="en-US"/>
        </w:rPr>
        <w:t xml:space="preserve"> 1</w:t>
      </w:r>
      <w:r w:rsidRPr="00F872BB">
        <w:rPr>
          <w:rFonts w:cs="Times New Roman"/>
          <w:sz w:val="28"/>
          <w:szCs w:val="28"/>
        </w:rPr>
        <w:t>, Thatawee Khemwong</w:t>
      </w:r>
      <w:r w:rsidRPr="00F872BB">
        <w:rPr>
          <w:rFonts w:cs="Times New Roman"/>
          <w:sz w:val="28"/>
          <w:szCs w:val="28"/>
          <w:vertAlign w:val="superscript"/>
        </w:rPr>
        <w:t>2</w:t>
      </w:r>
      <w:r w:rsidRPr="00F872BB">
        <w:rPr>
          <w:rFonts w:cs="Times New Roman"/>
          <w:sz w:val="28"/>
          <w:szCs w:val="28"/>
        </w:rPr>
        <w:t>*</w:t>
      </w:r>
    </w:p>
    <w:p w14:paraId="0A64106B" w14:textId="77777777" w:rsidR="00F872BB" w:rsidRPr="00F872BB" w:rsidRDefault="00F872BB" w:rsidP="00F872BB">
      <w:pPr>
        <w:spacing w:line="480" w:lineRule="auto"/>
        <w:rPr>
          <w:rFonts w:cs="Times New Roman"/>
          <w:sz w:val="28"/>
          <w:szCs w:val="28"/>
        </w:rPr>
      </w:pPr>
    </w:p>
    <w:p w14:paraId="3BD69590" w14:textId="77777777" w:rsidR="00F872BB" w:rsidRPr="00F872BB" w:rsidRDefault="00F872BB" w:rsidP="00F872BB">
      <w:pPr>
        <w:spacing w:line="480" w:lineRule="auto"/>
        <w:rPr>
          <w:rFonts w:cs="Times New Roman"/>
          <w:sz w:val="28"/>
          <w:szCs w:val="28"/>
        </w:rPr>
      </w:pPr>
      <w:r w:rsidRPr="00F872BB">
        <w:rPr>
          <w:rFonts w:cs="Times New Roman"/>
          <w:sz w:val="28"/>
          <w:szCs w:val="28"/>
        </w:rPr>
        <w:t>¹Department of Res</w:t>
      </w:r>
      <w:proofErr w:type="spellStart"/>
      <w:r w:rsidRPr="00F872BB">
        <w:rPr>
          <w:rFonts w:cs="Times New Roman"/>
          <w:sz w:val="28"/>
          <w:szCs w:val="28"/>
          <w:lang w:val="en-US"/>
        </w:rPr>
        <w:t>torative</w:t>
      </w:r>
      <w:proofErr w:type="spellEnd"/>
      <w:r w:rsidRPr="00F872BB">
        <w:rPr>
          <w:rFonts w:cs="Times New Roman"/>
          <w:sz w:val="28"/>
          <w:szCs w:val="28"/>
          <w:lang w:val="en-US"/>
        </w:rPr>
        <w:t xml:space="preserve"> Dentistry, Faculty of Dentistry, Naresuan University</w:t>
      </w:r>
      <w:r w:rsidRPr="00F872BB">
        <w:rPr>
          <w:rFonts w:cs="Times New Roman"/>
          <w:sz w:val="28"/>
          <w:szCs w:val="28"/>
        </w:rPr>
        <w:t>, Phitsanulok, Thailand</w:t>
      </w:r>
    </w:p>
    <w:p w14:paraId="32349419" w14:textId="77777777" w:rsidR="00F872BB" w:rsidRPr="00F872BB" w:rsidRDefault="00F872BB" w:rsidP="00F872BB">
      <w:pPr>
        <w:spacing w:line="480" w:lineRule="auto"/>
        <w:rPr>
          <w:rFonts w:cs="Times New Roman"/>
          <w:sz w:val="28"/>
          <w:szCs w:val="28"/>
        </w:rPr>
      </w:pPr>
      <w:r w:rsidRPr="00F872BB">
        <w:rPr>
          <w:rFonts w:cs="Times New Roman"/>
          <w:sz w:val="28"/>
          <w:szCs w:val="28"/>
          <w:vertAlign w:val="superscript"/>
        </w:rPr>
        <w:t>2</w:t>
      </w:r>
      <w:r w:rsidRPr="00F872BB">
        <w:rPr>
          <w:rFonts w:cs="Times New Roman"/>
          <w:sz w:val="28"/>
          <w:szCs w:val="28"/>
        </w:rPr>
        <w:t>Department of Oral Diagnosis, Faculty of Dentistry, Naresuan University, Phitsanulok, Thailand</w:t>
      </w:r>
    </w:p>
    <w:p w14:paraId="2622544E" w14:textId="77777777" w:rsidR="00F872BB" w:rsidRPr="00F872BB" w:rsidRDefault="00F872BB" w:rsidP="00F872BB">
      <w:pPr>
        <w:spacing w:line="480" w:lineRule="auto"/>
        <w:rPr>
          <w:rFonts w:cs="Times New Roman"/>
          <w:sz w:val="28"/>
          <w:szCs w:val="28"/>
        </w:rPr>
      </w:pPr>
      <w:r w:rsidRPr="00F872BB">
        <w:rPr>
          <w:rFonts w:cs="Times New Roman"/>
          <w:sz w:val="28"/>
          <w:szCs w:val="28"/>
        </w:rPr>
        <w:t>*Corresponding author: Assistant Professor Dr. Thatawee Khemwong, Thataweek@nu.ac.th</w:t>
      </w:r>
    </w:p>
    <w:p w14:paraId="7DAEE66A" w14:textId="77777777" w:rsidR="007A21D8" w:rsidRDefault="00000000">
      <w:r>
        <w:br w:type="page"/>
      </w:r>
    </w:p>
    <w:p w14:paraId="39CA7402" w14:textId="77777777" w:rsidR="007A21D8" w:rsidRDefault="00000000">
      <w:pPr>
        <w:spacing w:before="300" w:after="200"/>
        <w:jc w:val="center"/>
      </w:pPr>
      <w:r>
        <w:rPr>
          <w:noProof/>
        </w:rPr>
        <w:lastRenderedPageBreak/>
        <w:drawing>
          <wp:inline distT="0" distB="0" distL="0" distR="0" wp14:anchorId="52B133B9" wp14:editId="731A0F1B">
            <wp:extent cx="4857750" cy="7019925"/>
            <wp:effectExtent l="0" t="0" r="0" b="0"/>
            <wp:docPr id="1" name="Supplementary Figure S1" descr="Supplementary Figure S1" title="Supplementary 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1422D" w14:textId="77777777" w:rsidR="007A21D8" w:rsidRDefault="00000000">
      <w:pPr>
        <w:spacing w:after="400"/>
      </w:pPr>
      <w:r>
        <w:rPr>
          <w:b/>
          <w:bCs/>
        </w:rPr>
        <w:t xml:space="preserve">Supplementary Figure S1. </w:t>
      </w:r>
      <w:r>
        <w:t xml:space="preserve">Photographic images of the 24 h colonization group (a1–5, b1–5, c1–5), taken after 72 h of incubation. Residual </w:t>
      </w:r>
      <w:r>
        <w:rPr>
          <w:i/>
          <w:iCs/>
        </w:rPr>
        <w:t>C. albicans</w:t>
      </w:r>
      <w:r>
        <w:t xml:space="preserve"> was observed across all deionized water timepoints (a1–5), albeit slightly reduced. In the 0.5% sodium hypochlorite group, </w:t>
      </w:r>
      <w:r>
        <w:rPr>
          <w:i/>
          <w:iCs/>
        </w:rPr>
        <w:t>C. albicans</w:t>
      </w:r>
      <w:r>
        <w:t xml:space="preserve"> colonies were observed until Day 5 (b3–5). In the 0.12% chlorhexidine gluconate group, no colonies were observed after Day 5 (c3–5).</w:t>
      </w:r>
    </w:p>
    <w:p w14:paraId="44E47CD5" w14:textId="77777777" w:rsidR="007A21D8" w:rsidRDefault="00000000">
      <w:pPr>
        <w:spacing w:before="300" w:after="200"/>
        <w:jc w:val="center"/>
      </w:pPr>
      <w:r>
        <w:rPr>
          <w:noProof/>
        </w:rPr>
        <w:lastRenderedPageBreak/>
        <w:drawing>
          <wp:inline distT="0" distB="0" distL="0" distR="0" wp14:anchorId="49C262EA" wp14:editId="41597842">
            <wp:extent cx="4857750" cy="7000875"/>
            <wp:effectExtent l="0" t="0" r="0" b="0"/>
            <wp:docPr id="1003919675" name="Supplementary Figure S2" descr="Supplementary Figure S2" title="Supplementary 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5D1F8" w14:textId="77777777" w:rsidR="007A21D8" w:rsidRDefault="00000000">
      <w:pPr>
        <w:spacing w:after="400"/>
      </w:pPr>
      <w:r>
        <w:rPr>
          <w:b/>
          <w:bCs/>
        </w:rPr>
        <w:t xml:space="preserve">Supplementary Figure S2. </w:t>
      </w:r>
      <w:r>
        <w:t xml:space="preserve">Photographic images of the 48 h colonization group (d1–5, e1–5, f1–5), taken after 72 h of incubation. Residual </w:t>
      </w:r>
      <w:r>
        <w:rPr>
          <w:i/>
          <w:iCs/>
        </w:rPr>
        <w:t>C. albicans</w:t>
      </w:r>
      <w:r>
        <w:t xml:space="preserve"> was observed in the deionized water group (d1–5) and the 0.5% sodium hypochlorite group (e1–4), though colony numbers gradually decreased. In the 0.12% chlorhexidine gluconate group, colonies disappeared by Day 5 (f3–4). On Day 10, positive results were observed in both treated groups (e5, f5) owing to contamination of the broth.</w:t>
      </w:r>
    </w:p>
    <w:p w14:paraId="6AA4E1B8" w14:textId="77777777" w:rsidR="007A21D8" w:rsidRDefault="00000000">
      <w:pPr>
        <w:spacing w:before="300" w:after="200"/>
        <w:jc w:val="center"/>
      </w:pPr>
      <w:r>
        <w:rPr>
          <w:noProof/>
        </w:rPr>
        <w:lastRenderedPageBreak/>
        <w:drawing>
          <wp:inline distT="0" distB="0" distL="0" distR="0" wp14:anchorId="2067603C" wp14:editId="38E3929F">
            <wp:extent cx="4857750" cy="7000875"/>
            <wp:effectExtent l="0" t="0" r="0" b="0"/>
            <wp:docPr id="346165290" name="Supplementary Figure S3" descr="Supplementary Figure S3" title="Supplementary 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44CC0" w14:textId="77777777" w:rsidR="007A21D8" w:rsidRDefault="00000000">
      <w:pPr>
        <w:spacing w:after="400"/>
      </w:pPr>
      <w:r>
        <w:rPr>
          <w:b/>
          <w:bCs/>
        </w:rPr>
        <w:t xml:space="preserve">Supplementary Figure S3. </w:t>
      </w:r>
      <w:r>
        <w:t xml:space="preserve">Photographic images of the 72 h colonization group (g1–5, h1–5, i1–5), taken after 72 h of incubation. Residual </w:t>
      </w:r>
      <w:r>
        <w:rPr>
          <w:i/>
          <w:iCs/>
        </w:rPr>
        <w:t>C. albicans</w:t>
      </w:r>
      <w:r>
        <w:t xml:space="preserve"> was observed in the deionized water group (g1–5), decreasing gradually. In the 0.12% chlorhexidine gluconate group, colonies gradually decreased (i1–3) and disappeared by Day 7 (i4). The 0.5% sodium hypochlorite group showed colonies throughout the timeline, with numbers gradually decreasing until Day 7 (h1–4); however, colonies reappeared at Day 10 in both treated groups (h5, i5).</w:t>
      </w:r>
    </w:p>
    <w:sectPr w:rsidR="007A21D8"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13887FB1"/>
    <w:multiLevelType w:val="hybridMultilevel"/>
    <w:tmpl w:val="D6340224"/>
    <w:lvl w:ilvl="0" w:tplc="705048A8">
      <w:start w:val="1"/>
      <w:numFmt w:val="bullet"/>
      <w:lvlText w:val="●"/>
      <w:lvlJc w:val="left"/>
      <w:pPr>
        <w:ind w:left="720" w:hanging="360"/>
      </w:pPr>
    </w:lvl>
    <w:lvl w:ilvl="1" w:tplc="C0AC29C2">
      <w:start w:val="1"/>
      <w:numFmt w:val="bullet"/>
      <w:lvlText w:val="○"/>
      <w:lvlJc w:val="left"/>
      <w:pPr>
        <w:ind w:left="1440" w:hanging="360"/>
      </w:pPr>
    </w:lvl>
    <w:lvl w:ilvl="2" w:tplc="4386CCC8">
      <w:start w:val="1"/>
      <w:numFmt w:val="bullet"/>
      <w:lvlText w:val="■"/>
      <w:lvlJc w:val="left"/>
      <w:pPr>
        <w:ind w:left="2160" w:hanging="360"/>
      </w:pPr>
    </w:lvl>
    <w:lvl w:ilvl="3" w:tplc="B9F6BA3C">
      <w:start w:val="1"/>
      <w:numFmt w:val="bullet"/>
      <w:lvlText w:val="●"/>
      <w:lvlJc w:val="left"/>
      <w:pPr>
        <w:ind w:left="2880" w:hanging="360"/>
      </w:pPr>
    </w:lvl>
    <w:lvl w:ilvl="4" w:tplc="1B26F088">
      <w:start w:val="1"/>
      <w:numFmt w:val="bullet"/>
      <w:lvlText w:val="○"/>
      <w:lvlJc w:val="left"/>
      <w:pPr>
        <w:ind w:left="3600" w:hanging="360"/>
      </w:pPr>
    </w:lvl>
    <w:lvl w:ilvl="5" w:tplc="57C6D73E">
      <w:start w:val="1"/>
      <w:numFmt w:val="bullet"/>
      <w:lvlText w:val="■"/>
      <w:lvlJc w:val="left"/>
      <w:pPr>
        <w:ind w:left="4320" w:hanging="360"/>
      </w:pPr>
    </w:lvl>
    <w:lvl w:ilvl="6" w:tplc="20420B7E">
      <w:start w:val="1"/>
      <w:numFmt w:val="bullet"/>
      <w:lvlText w:val="●"/>
      <w:lvlJc w:val="left"/>
      <w:pPr>
        <w:ind w:left="5040" w:hanging="360"/>
      </w:pPr>
    </w:lvl>
    <w:lvl w:ilvl="7" w:tplc="4B56AB9C">
      <w:start w:val="1"/>
      <w:numFmt w:val="bullet"/>
      <w:lvlText w:val="●"/>
      <w:lvlJc w:val="left"/>
      <w:pPr>
        <w:ind w:left="5760" w:hanging="360"/>
      </w:pPr>
    </w:lvl>
    <w:lvl w:ilvl="8" w:tplc="2D28A248">
      <w:start w:val="1"/>
      <w:numFmt w:val="bullet"/>
      <w:lvlText w:val="●"/>
      <w:lvlJc w:val="left"/>
      <w:pPr>
        <w:ind w:left="6480" w:hanging="360"/>
      </w:pPr>
    </w:lvl>
  </w:abstractNum>
  <w:num w:numId="1" w16cid:durableId="102721419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2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1D8"/>
    <w:rsid w:val="00537C9F"/>
    <w:rsid w:val="007A21D8"/>
    <w:rsid w:val="00F8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A0377C"/>
  <w15:docId w15:val="{7F434009-C454-D64E-8241-1AF3EE753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TH" w:eastAsia="ja-JP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ngsana New"/>
    </w:rPr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289</Words>
  <Characters>1652</Characters>
  <Application>Microsoft Office Word</Application>
  <DocSecurity>0</DocSecurity>
  <Lines>13</Lines>
  <Paragraphs>3</Paragraphs>
  <ScaleCrop>false</ScaleCrop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thatawee khemwong</cp:lastModifiedBy>
  <cp:revision>2</cp:revision>
  <dcterms:created xsi:type="dcterms:W3CDTF">2026-07-14T10:46:00Z</dcterms:created>
  <dcterms:modified xsi:type="dcterms:W3CDTF">2026-07-14T10:50:00Z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9bd7ecb19f67dc52f03e2588aa364b9172782c0fdb259d8fd9d20f0eebb868fb</vt:lpwstr>
  </property>
</Properties>
</file>