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16" w:lineRule="auto"/>
        <w:jc w:val="center"/>
      </w:pPr>
      <w:r>
        <w:rPr>
          <w:rFonts w:ascii="Arial" w:hAnsi="Arial" w:eastAsia="Arial"/>
          <w:b/>
          <w:sz w:val="22"/>
        </w:rPr>
        <w:t>STROBE Checklist for Cohort Studies</w:t>
      </w:r>
    </w:p>
    <w:p>
      <w:pPr>
        <w:spacing w:before="0" w:after="0" w:line="216" w:lineRule="auto"/>
        <w:jc w:val="center"/>
      </w:pPr>
      <w:r>
        <w:rPr>
          <w:rFonts w:ascii="Arial" w:hAnsi="Arial" w:eastAsia="Arial"/>
          <w:b w:val="0"/>
          <w:sz w:val="15"/>
        </w:rPr>
        <w:t>Manuscript: High Systemic Immune-Inflammation Index as a Predictor of In-Hospital and 30-Day Major Adverse Cardiovascular Events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A0A0A0"/>
          <w:left w:val="single" w:sz="4" w:color="A0A0A0"/>
          <w:bottom w:val="single" w:sz="4" w:color="A0A0A0"/>
          <w:right w:val="single" w:sz="4" w:color="A0A0A0"/>
          <w:insideH w:val="single" w:sz="4" w:color="A0A0A0"/>
          <w:insideV w:val="single" w:sz="4" w:color="A0A0A0"/>
        </w:tblBorders>
      </w:tblPr>
      <w:tblGrid>
        <w:gridCol w:w="3784"/>
        <w:gridCol w:w="3784"/>
        <w:gridCol w:w="3784"/>
        <w:gridCol w:w="3784"/>
      </w:tblGrid>
      <w:tr>
        <w:trPr/>
        <w:tc>
          <w:tcPr>
            <w:tcW w:type="dxa" w:w="680"/>
            <w:shd w:fill="D9EAF7"/>
            <w:vAlign w:val="center"/>
          </w:tcPr>
          <w:p>
            <w:pPr>
              <w:spacing w:before="0" w:after="0" w:line="204" w:lineRule="auto"/>
              <w:jc w:val="center"/>
            </w:pPr>
            <w:r>
              <w:rPr>
                <w:rFonts w:ascii="Arial" w:hAnsi="Arial" w:eastAsia="Arial"/>
                <w:b/>
                <w:sz w:val="14"/>
              </w:rPr>
              <w:t>Item</w:t>
            </w:r>
          </w:p>
        </w:tc>
        <w:tc>
          <w:tcPr>
            <w:tcW w:type="dxa" w:w="2438"/>
            <w:shd w:fill="D9EAF7"/>
            <w:vAlign w:val="center"/>
          </w:tcPr>
          <w:p>
            <w:pPr>
              <w:spacing w:before="0" w:after="0" w:line="204" w:lineRule="auto"/>
              <w:jc w:val="center"/>
            </w:pPr>
            <w:r>
              <w:rPr>
                <w:rFonts w:ascii="Arial" w:hAnsi="Arial" w:eastAsia="Arial"/>
                <w:b/>
                <w:sz w:val="14"/>
              </w:rPr>
              <w:t>STROBE recommendation</w:t>
            </w:r>
          </w:p>
        </w:tc>
        <w:tc>
          <w:tcPr>
            <w:tcW w:type="dxa" w:w="7087"/>
            <w:shd w:fill="D9EAF7"/>
            <w:vAlign w:val="center"/>
          </w:tcPr>
          <w:p>
            <w:pPr>
              <w:spacing w:before="0" w:after="0" w:line="204" w:lineRule="auto"/>
              <w:jc w:val="center"/>
            </w:pPr>
            <w:r>
              <w:rPr>
                <w:rFonts w:ascii="Arial" w:hAnsi="Arial" w:eastAsia="Arial"/>
                <w:b/>
                <w:sz w:val="14"/>
              </w:rPr>
              <w:t>Manuscript reporting</w:t>
            </w:r>
          </w:p>
        </w:tc>
        <w:tc>
          <w:tcPr>
            <w:tcW w:type="dxa" w:w="4535"/>
            <w:shd w:fill="D9EAF7"/>
            <w:vAlign w:val="center"/>
          </w:tcPr>
          <w:p>
            <w:pPr>
              <w:spacing w:before="0" w:after="0" w:line="204" w:lineRule="auto"/>
              <w:jc w:val="center"/>
            </w:pPr>
            <w:r>
              <w:rPr>
                <w:rFonts w:ascii="Arial" w:hAnsi="Arial" w:eastAsia="Arial"/>
                <w:b/>
                <w:sz w:val="14"/>
              </w:rPr>
              <w:t>Reported on page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Title and abstract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Indicate the study design in the title or abstract and provide an informative, balanced summary.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Title; pp. 1-2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Background/rationale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Explain the scientific background and rationale.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Introduction; pp. 2-3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Objectives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State specific objectives, including prespecified hypotheses.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End of Introduction; p. 3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Study design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Present key elements of the study design early.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Study design and setting; p. 3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5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Setting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Describe setting, location, and relevant dates.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Study design and setting; p. 3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6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Participants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Give eligibility criteria, sources, and methods of selection and follow-up.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Participants; pp. 3-4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7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Variables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Clearly define outcomes, exposures, predictors, confounders, and diagnostic criteria.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Data collection, Outcome measures, Statistical analysis; pp. 4-5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8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Data sources/measurement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Describe sources and methods of assessment for each variable.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Data collection and inflammatory indices; p. 4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9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Bias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Describe efforts to address potential sources of bias.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Consecutive sampling, pre-PCI sampling, standardized collection; pp. 3-4; limitations p. 11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10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Study size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Explain how the study size was determined.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Sample size; p. 4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11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Quantitative variables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Explain handling of quantitative variables and groupings.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Statistical analysis; pp. 4-5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12a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Statistical methods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Describe all statistical methods, including control of confounding.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Statistical analysis; p. 5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12b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Subgroups/interactions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Describe methods used for subgroup analyses.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Methods - Statistical analysis; p. 5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12c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Missing data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Explain how missing data were addressed.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Incomplete essential data were excluded; Participants; p. 4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12d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Loss to follow-up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Explain how loss to follow-up was addressed.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Thirty-day follow-up described; Methods p. 4; no separate loss count reported in source dataset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12e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Sensitivity analyses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Describe any sensitivity analyses.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STEMI subgroup analysis; Methods p. 5 and Results p. 9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13a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Participants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Report numbers at each stage of the study.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120 participants included; Results p. 6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13b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Non-participation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Give reasons for non-participation at each stage.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Eligibility exclusions described; Methods pp. 3-4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13c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Flow diagram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Consider use of a flow diagram.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Not included because staged screening counts were not available in the source thesis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14a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Descriptive data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Give characteristics and potential confounders.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Table 1; pp. 6-7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14b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Missing data by variable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Indicate number with missing data for each variable.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No variable-specific missingness reported in the final analyzed cohort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14c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Follow-up time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Summarize follow-up time.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30-day follow-up and event-free survival; pp. 8-9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15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Outcome data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Report numbers of outcome events or summary measures.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Table 3; p. 8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16a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Main results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Give unadjusted and adjusted estimates with precision and confounders.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Results pp. 7-9; Table 4 p. 9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16b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Category boundaries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Report category boundaries when continuous variables are categorized.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SII, NLR, PLR cut-offs in Table 2; p. 7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16c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Absolute risk translation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Consider translating relative risk into absolute risk.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Absolute event proportions and RR are reported; pp. 7-8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17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Other analyses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Report subgroup and other analyses.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ROC comparison and STEMI subgroup; pp. 7 and 9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18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Key results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Summarize key results with reference to objectives.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First paragraph of Discussion; p. 9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19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Limitations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Discuss limitations, direction, and magnitude of potential bias.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Discussion; p. 11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20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Interpretation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Give a cautious overall interpretation.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Discussion pp. 9-11; Conclusion p. 11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21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Generalisability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Discuss external validity.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Discussion - limitations and clinical implications; pp. 10-11</w:t>
            </w:r>
          </w:p>
        </w:tc>
      </w:tr>
      <w:tr>
        <w:trPr/>
        <w:tc>
          <w:tcPr>
            <w:tcW w:type="dxa" w:w="680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22</w:t>
            </w:r>
          </w:p>
        </w:tc>
        <w:tc>
          <w:tcPr>
            <w:tcW w:type="dxa" w:w="2438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Funding</w:t>
            </w:r>
          </w:p>
        </w:tc>
        <w:tc>
          <w:tcPr>
            <w:tcW w:type="dxa" w:w="7087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Give source of funding and role of funders.</w:t>
            </w:r>
          </w:p>
        </w:tc>
        <w:tc>
          <w:tcPr>
            <w:tcW w:type="dxa" w:w="4535"/>
            <w:vAlign w:val="top"/>
          </w:tcPr>
          <w:p>
            <w:pPr>
              <w:spacing w:after="0" w:before="0" w:line="204" w:lineRule="auto"/>
            </w:pPr>
            <w:r>
              <w:rPr>
                <w:rFonts w:ascii="Arial" w:hAnsi="Arial" w:eastAsia="Arial"/>
                <w:b w:val="0"/>
                <w:sz w:val="13"/>
              </w:rPr>
              <w:t>Declarations - Funding; p. 12</w:t>
            </w:r>
          </w:p>
        </w:tc>
      </w:tr>
    </w:tbl>
    <w:p>
      <w:pPr>
        <w:spacing w:before="0" w:after="0" w:line="216" w:lineRule="auto"/>
      </w:pPr>
      <w:r>
        <w:rPr>
          <w:rFonts w:ascii="Arial" w:hAnsi="Arial" w:eastAsia="Arial"/>
          <w:b w:val="0"/>
          <w:i/>
          <w:sz w:val="13"/>
        </w:rPr>
        <w:t>Note: Page numbers refer to 01_Main_Manuscript_Blinded.docx. Items not available in the source thesis are explicitly identified rather than inferred.</w:t>
      </w:r>
    </w:p>
    <w:sectPr>
      <w:footerReference w:type="default" r:id="rId9"/>
      <w:pgSz w:w="16838" w:h="11906" w:orient="landscape"/>
      <w:pgMar w:top="397" w:right="397" w:bottom="397" w:left="397" w:header="170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