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FF728">
      <w:pPr>
        <w:spacing w:before="2400" w:after="240"/>
        <w:jc w:val="center"/>
      </w:pPr>
      <w:r>
        <w:rPr>
          <w:rFonts w:ascii="Arial" w:hAnsi="Arial" w:eastAsia="Arial"/>
          <w:b/>
          <w:i w:val="0"/>
          <w:color w:val="355C7D"/>
          <w:sz w:val="40"/>
        </w:rPr>
        <w:t>Supplementary Material</w:t>
      </w:r>
    </w:p>
    <w:p w14:paraId="5AA12395">
      <w:pPr>
        <w:spacing w:after="480"/>
        <w:jc w:val="center"/>
      </w:pPr>
      <w:r>
        <w:t>Supplementary Tables S1–S6 and Figures S1–S5</w:t>
      </w:r>
    </w:p>
    <w:p w14:paraId="313A878B">
      <w:pPr>
        <w:jc w:val="center"/>
      </w:pPr>
      <w:r>
        <w:t>Prior depressive-symptom burden, current deviation from personal history, and incident heart disease: a three-cohort longitudinal study</w:t>
      </w:r>
    </w:p>
    <w:p w14:paraId="18C31A4D">
      <w:pPr>
        <w:spacing w:before="720"/>
        <w:jc w:val="center"/>
      </w:pPr>
      <w:r>
        <w:rPr>
          <w:rFonts w:ascii="Arial" w:hAnsi="Arial" w:eastAsia="Arial"/>
          <w:b/>
          <w:i w:val="0"/>
          <w:color w:val="355C7D"/>
          <w:sz w:val="20"/>
        </w:rPr>
        <w:t>Contents</w:t>
      </w:r>
    </w:p>
    <w:p w14:paraId="67E26888">
      <w:pPr>
        <w:spacing w:after="60"/>
        <w:ind w:left="720" w:hanging="360"/>
        <w:jc w:val="left"/>
      </w:pPr>
      <w:r>
        <w:rPr>
          <w:rFonts w:ascii="Arial" w:hAnsi="Arial" w:eastAsia="Arial"/>
          <w:b w:val="0"/>
          <w:i w:val="0"/>
          <w:sz w:val="17"/>
        </w:rPr>
        <w:t>Table S1. Cohort-specific measurement definitions, harmonization, and longitudinal implementation</w:t>
      </w:r>
    </w:p>
    <w:p w14:paraId="17A78456">
      <w:pPr>
        <w:spacing w:after="60"/>
        <w:ind w:left="720" w:hanging="360"/>
        <w:jc w:val="left"/>
      </w:pPr>
      <w:r>
        <w:rPr>
          <w:rFonts w:ascii="Arial" w:hAnsi="Arial" w:eastAsia="Arial"/>
          <w:b w:val="0"/>
          <w:i w:val="0"/>
          <w:sz w:val="17"/>
        </w:rPr>
        <w:t>Table S2. Analytic sample derivation and event counts</w:t>
      </w:r>
    </w:p>
    <w:p w14:paraId="1EDCDD21">
      <w:pPr>
        <w:spacing w:after="60"/>
        <w:ind w:left="720" w:hanging="360"/>
        <w:jc w:val="left"/>
      </w:pPr>
      <w:r>
        <w:rPr>
          <w:rFonts w:ascii="Arial" w:hAnsi="Arial" w:eastAsia="Arial"/>
          <w:b w:val="0"/>
          <w:i w:val="0"/>
          <w:sz w:val="17"/>
        </w:rPr>
        <w:t>Table S3. Decomposition diagnostics and selected robustness analyses</w:t>
      </w:r>
    </w:p>
    <w:p w14:paraId="5CCFD275">
      <w:pPr>
        <w:spacing w:after="60"/>
        <w:ind w:left="720" w:hanging="360"/>
        <w:jc w:val="left"/>
      </w:pPr>
      <w:r>
        <w:rPr>
          <w:rFonts w:ascii="Arial" w:hAnsi="Arial" w:eastAsia="Arial"/>
          <w:b w:val="0"/>
          <w:i w:val="0"/>
          <w:sz w:val="17"/>
        </w:rPr>
        <w:t>Table S4. Cross-cohort heterogeneity and reweighting diagnostics</w:t>
      </w:r>
    </w:p>
    <w:p w14:paraId="2C388DEE">
      <w:pPr>
        <w:spacing w:after="60"/>
        <w:ind w:left="720" w:hanging="360"/>
        <w:jc w:val="left"/>
      </w:pPr>
      <w:r>
        <w:rPr>
          <w:rFonts w:ascii="Arial" w:hAnsi="Arial" w:eastAsia="Arial"/>
          <w:b w:val="0"/>
          <w:i w:val="0"/>
          <w:sz w:val="17"/>
        </w:rPr>
        <w:t>Table S5. Supporting life-course adversity, psychological-burden formation, and biomarker analyses</w:t>
      </w:r>
    </w:p>
    <w:p>
      <w:pPr>
        <w:keepNext w:val="0"/>
        <w:pageBreakBefore w:val="0"/>
      </w:pPr>
      <w:r>
        <w:t>Table S6. Age-related heterogeneity in associations of depressive-symptom history components with incident heart disease</w:t>
      </w:r>
    </w:p>
    <w:p w14:paraId="3B632FB4">
      <w:pPr>
        <w:spacing w:before="80" w:after="0"/>
        <w:jc w:val="left"/>
      </w:pPr>
      <w:r>
        <w:rPr>
          <w:rFonts w:ascii="Arial" w:hAnsi="Arial"/>
          <w:b/>
          <w:sz w:val="17"/>
        </w:rPr>
        <w:t>Supplementary Figures S1–S5</w:t>
      </w:r>
    </w:p>
    <w:p w14:paraId="0BB61D2F">
      <w:pPr>
        <w:spacing w:before="0" w:after="0"/>
        <w:jc w:val="left"/>
      </w:pPr>
      <w:r>
        <w:rPr>
          <w:rFonts w:ascii="Arial" w:hAnsi="Arial"/>
          <w:b w:val="0"/>
          <w:sz w:val="17"/>
        </w:rPr>
        <w:t>Figure S1. Cohort-specific analytic branches and analysis sample roles</w:t>
      </w:r>
    </w:p>
    <w:p w14:paraId="67258B34">
      <w:pPr>
        <w:spacing w:before="0" w:after="0"/>
        <w:jc w:val="left"/>
      </w:pPr>
      <w:r>
        <w:rPr>
          <w:rFonts w:ascii="Arial" w:hAnsi="Arial"/>
          <w:b w:val="0"/>
          <w:sz w:val="17"/>
        </w:rPr>
        <w:t>Figure S2. Decomposition diagnostics in the three analytic cohorts</w:t>
      </w:r>
    </w:p>
    <w:p w14:paraId="6FB5ADC2">
      <w:pPr>
        <w:spacing w:before="0" w:after="0"/>
        <w:jc w:val="left"/>
      </w:pPr>
      <w:r>
        <w:rPr>
          <w:rFonts w:ascii="Arial" w:hAnsi="Arial"/>
          <w:b w:val="0"/>
          <w:sz w:val="17"/>
        </w:rPr>
        <w:t>Figure S3. Robustness of prior-burden and current-deviation associations</w:t>
      </w:r>
    </w:p>
    <w:p w14:paraId="373237F1">
      <w:pPr>
        <w:spacing w:before="0" w:after="0"/>
        <w:jc w:val="left"/>
      </w:pPr>
      <w:r>
        <w:rPr>
          <w:rFonts w:ascii="Arial" w:hAnsi="Arial"/>
          <w:b w:val="0"/>
          <w:sz w:val="17"/>
        </w:rPr>
        <w:t>Figure S4. SHARE leave-one-country-out analyses</w:t>
      </w:r>
    </w:p>
    <w:p w14:paraId="4E59B295">
      <w:pPr>
        <w:spacing w:before="0" w:after="0"/>
        <w:jc w:val="left"/>
      </w:pPr>
      <w:r>
        <w:rPr>
          <w:rFonts w:ascii="Arial" w:hAnsi="Arial"/>
          <w:b w:val="0"/>
          <w:sz w:val="17"/>
        </w:rPr>
        <w:t>Figure S5. HRS-to-ELSA reweighting diagnostics</w:t>
      </w:r>
    </w:p>
    <w:p w14:paraId="6E304DFF">
      <w:pPr>
        <w:sectPr>
          <w:footerReference r:id="rId5" w:type="default"/>
          <w:pgSz w:w="11909" w:h="16834"/>
          <w:pgMar w:top="1224" w:right="1296" w:bottom="1224" w:left="1296" w:header="720" w:footer="720" w:gutter="0"/>
          <w:cols w:space="720" w:num="1"/>
          <w:docGrid w:linePitch="360" w:charSpace="0"/>
        </w:sectPr>
      </w:pPr>
    </w:p>
    <w:p w14:paraId="655B59CC">
      <w:pPr>
        <w:pStyle w:val="164"/>
      </w:pPr>
      <w:r>
        <w:rPr>
          <w:rFonts w:ascii="Arial" w:hAnsi="Arial" w:eastAsia="Arial"/>
          <w:b/>
          <w:i w:val="0"/>
          <w:sz w:val="21"/>
        </w:rPr>
        <w:t>Table S1. Cohort-specific measurement definitions, harmonization, and longitudinal implementation</w:t>
      </w:r>
    </w:p>
    <w:p w14:paraId="50DBC324">
      <w:pPr>
        <w:pStyle w:val="165"/>
        <w:keepNext/>
      </w:pPr>
      <w:r>
        <w:rPr>
          <w:rFonts w:ascii="Arial" w:hAnsi="Arial" w:eastAsia="Arial"/>
          <w:b/>
          <w:i w:val="0"/>
          <w:color w:val="355C7D"/>
          <w:sz w:val="17"/>
        </w:rPr>
        <w:t>Panel A. Variable definitions and harmonization</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2614"/>
        <w:gridCol w:w="2614"/>
        <w:gridCol w:w="2614"/>
        <w:gridCol w:w="2614"/>
        <w:gridCol w:w="2614"/>
        <w:gridCol w:w="2614"/>
      </w:tblGrid>
      <w:tr w14:paraId="06B0DA6E">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1944" w:type="dxa"/>
            <w:shd w:val="clear" w:color="auto" w:fill="355C7D"/>
            <w:tcMar>
              <w:top w:w="60" w:type="dxa"/>
              <w:left w:w="55" w:type="dxa"/>
              <w:bottom w:w="60" w:type="dxa"/>
              <w:right w:w="55" w:type="dxa"/>
            </w:tcMar>
            <w:vAlign w:val="center"/>
          </w:tcPr>
          <w:p w14:paraId="26F24D2C">
            <w:pPr>
              <w:spacing w:before="0" w:after="0" w:line="240" w:lineRule="auto"/>
              <w:jc w:val="center"/>
            </w:pPr>
            <w:r>
              <w:rPr>
                <w:rFonts w:ascii="Arial" w:hAnsi="Arial" w:eastAsia="Arial"/>
                <w:b/>
                <w:i w:val="0"/>
                <w:color w:val="FFFFFF"/>
                <w:sz w:val="14"/>
              </w:rPr>
              <w:t>Domain</w:t>
            </w:r>
          </w:p>
        </w:tc>
        <w:tc>
          <w:tcPr>
            <w:tcW w:w="1584" w:type="dxa"/>
            <w:shd w:val="clear" w:color="auto" w:fill="355C7D"/>
            <w:tcMar>
              <w:top w:w="60" w:type="dxa"/>
              <w:left w:w="55" w:type="dxa"/>
              <w:bottom w:w="60" w:type="dxa"/>
              <w:right w:w="55" w:type="dxa"/>
            </w:tcMar>
            <w:vAlign w:val="center"/>
          </w:tcPr>
          <w:p w14:paraId="7B061CE0">
            <w:pPr>
              <w:spacing w:before="0" w:after="0" w:line="240" w:lineRule="auto"/>
              <w:jc w:val="center"/>
            </w:pPr>
            <w:r>
              <w:rPr>
                <w:rFonts w:ascii="Arial" w:hAnsi="Arial" w:eastAsia="Arial"/>
                <w:b/>
                <w:i w:val="0"/>
                <w:color w:val="FFFFFF"/>
                <w:sz w:val="14"/>
              </w:rPr>
              <w:t>Item</w:t>
            </w:r>
          </w:p>
        </w:tc>
        <w:tc>
          <w:tcPr>
            <w:tcW w:w="2951" w:type="dxa"/>
            <w:shd w:val="clear" w:color="auto" w:fill="355C7D"/>
            <w:tcMar>
              <w:top w:w="60" w:type="dxa"/>
              <w:left w:w="55" w:type="dxa"/>
              <w:bottom w:w="60" w:type="dxa"/>
              <w:right w:w="55" w:type="dxa"/>
            </w:tcMar>
            <w:vAlign w:val="center"/>
          </w:tcPr>
          <w:p w14:paraId="139E0D26">
            <w:pPr>
              <w:spacing w:before="0" w:after="0" w:line="240" w:lineRule="auto"/>
              <w:jc w:val="center"/>
            </w:pPr>
            <w:r>
              <w:rPr>
                <w:rFonts w:ascii="Arial" w:hAnsi="Arial" w:eastAsia="Arial"/>
                <w:b/>
                <w:i w:val="0"/>
                <w:color w:val="FFFFFF"/>
                <w:sz w:val="14"/>
              </w:rPr>
              <w:t>HRS</w:t>
            </w:r>
          </w:p>
        </w:tc>
        <w:tc>
          <w:tcPr>
            <w:tcW w:w="2951" w:type="dxa"/>
            <w:shd w:val="clear" w:color="auto" w:fill="355C7D"/>
            <w:tcMar>
              <w:top w:w="60" w:type="dxa"/>
              <w:left w:w="55" w:type="dxa"/>
              <w:bottom w:w="60" w:type="dxa"/>
              <w:right w:w="55" w:type="dxa"/>
            </w:tcMar>
            <w:vAlign w:val="center"/>
          </w:tcPr>
          <w:p w14:paraId="1FE9136A">
            <w:pPr>
              <w:spacing w:before="0" w:after="0" w:line="240" w:lineRule="auto"/>
              <w:jc w:val="center"/>
            </w:pPr>
            <w:r>
              <w:rPr>
                <w:rFonts w:ascii="Arial" w:hAnsi="Arial" w:eastAsia="Arial"/>
                <w:b/>
                <w:i w:val="0"/>
                <w:color w:val="FFFFFF"/>
                <w:sz w:val="14"/>
              </w:rPr>
              <w:t>SHARE</w:t>
            </w:r>
          </w:p>
        </w:tc>
        <w:tc>
          <w:tcPr>
            <w:tcW w:w="3024" w:type="dxa"/>
            <w:shd w:val="clear" w:color="auto" w:fill="355C7D"/>
            <w:tcMar>
              <w:top w:w="60" w:type="dxa"/>
              <w:left w:w="55" w:type="dxa"/>
              <w:bottom w:w="60" w:type="dxa"/>
              <w:right w:w="55" w:type="dxa"/>
            </w:tcMar>
            <w:vAlign w:val="center"/>
          </w:tcPr>
          <w:p w14:paraId="6A2D08F0">
            <w:pPr>
              <w:spacing w:before="0" w:after="0" w:line="240" w:lineRule="auto"/>
              <w:jc w:val="center"/>
            </w:pPr>
            <w:r>
              <w:rPr>
                <w:rFonts w:ascii="Arial" w:hAnsi="Arial" w:eastAsia="Arial"/>
                <w:b/>
                <w:i w:val="0"/>
                <w:color w:val="FFFFFF"/>
                <w:sz w:val="14"/>
              </w:rPr>
              <w:t>ELSA</w:t>
            </w:r>
          </w:p>
        </w:tc>
        <w:tc>
          <w:tcPr>
            <w:tcW w:w="3168" w:type="dxa"/>
            <w:shd w:val="clear" w:color="auto" w:fill="355C7D"/>
            <w:tcMar>
              <w:top w:w="60" w:type="dxa"/>
              <w:left w:w="55" w:type="dxa"/>
              <w:bottom w:w="60" w:type="dxa"/>
              <w:right w:w="55" w:type="dxa"/>
            </w:tcMar>
            <w:vAlign w:val="center"/>
          </w:tcPr>
          <w:p w14:paraId="3CC26AEB">
            <w:pPr>
              <w:spacing w:before="0" w:after="0" w:line="240" w:lineRule="auto"/>
              <w:jc w:val="center"/>
            </w:pPr>
            <w:r>
              <w:rPr>
                <w:rFonts w:ascii="Arial" w:hAnsi="Arial" w:eastAsia="Arial"/>
                <w:b/>
                <w:i w:val="0"/>
                <w:color w:val="FFFFFF"/>
                <w:sz w:val="14"/>
              </w:rPr>
              <w:t>Interpretation</w:t>
            </w:r>
          </w:p>
        </w:tc>
      </w:tr>
      <w:tr w14:paraId="57A35AC9">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1944" w:type="dxa"/>
            <w:shd w:val="clear" w:color="auto" w:fill="FFFFFF"/>
            <w:tcMar>
              <w:top w:w="50" w:type="dxa"/>
              <w:left w:w="55" w:type="dxa"/>
              <w:bottom w:w="50" w:type="dxa"/>
              <w:right w:w="55" w:type="dxa"/>
            </w:tcMar>
            <w:vAlign w:val="top"/>
          </w:tcPr>
          <w:p w14:paraId="24A1B430">
            <w:pPr>
              <w:spacing w:before="0" w:after="0" w:line="240" w:lineRule="auto"/>
              <w:jc w:val="left"/>
            </w:pPr>
            <w:r>
              <w:rPr>
                <w:rFonts w:ascii="Arial" w:hAnsi="Arial" w:eastAsia="Arial"/>
                <w:b w:val="0"/>
                <w:i w:val="0"/>
                <w:sz w:val="14"/>
              </w:rPr>
              <w:t>Psychological scale</w:t>
            </w:r>
          </w:p>
        </w:tc>
        <w:tc>
          <w:tcPr>
            <w:tcW w:w="1584" w:type="dxa"/>
            <w:shd w:val="clear" w:color="auto" w:fill="FFFFFF"/>
            <w:tcMar>
              <w:top w:w="50" w:type="dxa"/>
              <w:left w:w="55" w:type="dxa"/>
              <w:bottom w:w="50" w:type="dxa"/>
              <w:right w:w="55" w:type="dxa"/>
            </w:tcMar>
            <w:vAlign w:val="top"/>
          </w:tcPr>
          <w:p w14:paraId="452E54E1">
            <w:pPr>
              <w:spacing w:before="0" w:after="0" w:line="240" w:lineRule="auto"/>
              <w:jc w:val="left"/>
            </w:pPr>
            <w:r>
              <w:rPr>
                <w:rFonts w:ascii="Arial" w:hAnsi="Arial" w:eastAsia="Arial"/>
                <w:b w:val="0"/>
                <w:i w:val="0"/>
                <w:sz w:val="14"/>
              </w:rPr>
              <w:t>Instrument and score range</w:t>
            </w:r>
          </w:p>
        </w:tc>
        <w:tc>
          <w:tcPr>
            <w:tcW w:w="2951" w:type="dxa"/>
            <w:shd w:val="clear" w:color="auto" w:fill="FFFFFF"/>
            <w:tcMar>
              <w:top w:w="50" w:type="dxa"/>
              <w:left w:w="55" w:type="dxa"/>
              <w:bottom w:w="50" w:type="dxa"/>
              <w:right w:w="55" w:type="dxa"/>
            </w:tcMar>
            <w:vAlign w:val="top"/>
          </w:tcPr>
          <w:p w14:paraId="188F5657">
            <w:pPr>
              <w:spacing w:before="0" w:after="0" w:line="240" w:lineRule="auto"/>
              <w:jc w:val="left"/>
            </w:pPr>
            <w:r>
              <w:rPr>
                <w:rFonts w:ascii="Arial" w:hAnsi="Arial" w:eastAsia="Arial"/>
                <w:b w:val="0"/>
                <w:i w:val="0"/>
                <w:sz w:val="14"/>
              </w:rPr>
              <w:t>CES-D-8 total score, 0–8</w:t>
            </w:r>
          </w:p>
        </w:tc>
        <w:tc>
          <w:tcPr>
            <w:tcW w:w="2951" w:type="dxa"/>
            <w:shd w:val="clear" w:color="auto" w:fill="FFFFFF"/>
            <w:tcMar>
              <w:top w:w="50" w:type="dxa"/>
              <w:left w:w="55" w:type="dxa"/>
              <w:bottom w:w="50" w:type="dxa"/>
              <w:right w:w="55" w:type="dxa"/>
            </w:tcMar>
            <w:vAlign w:val="top"/>
          </w:tcPr>
          <w:p w14:paraId="7A73FDF7">
            <w:pPr>
              <w:spacing w:before="0" w:after="0" w:line="240" w:lineRule="auto"/>
              <w:jc w:val="left"/>
            </w:pPr>
            <w:r>
              <w:rPr>
                <w:rFonts w:ascii="Arial" w:hAnsi="Arial" w:eastAsia="Arial"/>
                <w:b w:val="0"/>
                <w:i w:val="0"/>
                <w:sz w:val="14"/>
              </w:rPr>
              <w:t>EURO-D total score, 0–12</w:t>
            </w:r>
          </w:p>
        </w:tc>
        <w:tc>
          <w:tcPr>
            <w:tcW w:w="3024" w:type="dxa"/>
            <w:shd w:val="clear" w:color="auto" w:fill="FFFFFF"/>
            <w:tcMar>
              <w:top w:w="50" w:type="dxa"/>
              <w:left w:w="55" w:type="dxa"/>
              <w:bottom w:w="50" w:type="dxa"/>
              <w:right w:w="55" w:type="dxa"/>
            </w:tcMar>
            <w:vAlign w:val="top"/>
          </w:tcPr>
          <w:p w14:paraId="3E18E940">
            <w:pPr>
              <w:spacing w:before="0" w:after="0" w:line="240" w:lineRule="auto"/>
              <w:jc w:val="left"/>
            </w:pPr>
            <w:r>
              <w:rPr>
                <w:rFonts w:ascii="Arial" w:hAnsi="Arial" w:eastAsia="Arial"/>
                <w:b w:val="0"/>
                <w:i w:val="0"/>
                <w:sz w:val="14"/>
              </w:rPr>
              <w:t>CES-D-8 total score, 0–8</w:t>
            </w:r>
          </w:p>
        </w:tc>
        <w:tc>
          <w:tcPr>
            <w:tcW w:w="3168" w:type="dxa"/>
            <w:shd w:val="clear" w:color="auto" w:fill="FFFFFF"/>
            <w:tcMar>
              <w:top w:w="50" w:type="dxa"/>
              <w:left w:w="55" w:type="dxa"/>
              <w:bottom w:w="50" w:type="dxa"/>
              <w:right w:w="55" w:type="dxa"/>
            </w:tcMar>
            <w:vAlign w:val="top"/>
          </w:tcPr>
          <w:p w14:paraId="79C516BB">
            <w:pPr>
              <w:spacing w:before="0" w:after="0" w:line="240" w:lineRule="auto"/>
              <w:jc w:val="left"/>
            </w:pPr>
            <w:r>
              <w:rPr>
                <w:rFonts w:ascii="Arial" w:hAnsi="Arial" w:eastAsia="Arial"/>
                <w:b w:val="0"/>
                <w:i w:val="0"/>
                <w:sz w:val="14"/>
              </w:rPr>
              <w:t>HRS and ELSA share the CES-D-8 total-score range; SHARE provides an independent EURO-D comparison.</w:t>
            </w:r>
          </w:p>
        </w:tc>
      </w:tr>
      <w:tr w14:paraId="7E380AB2">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1944" w:type="dxa"/>
            <w:shd w:val="clear" w:color="auto" w:fill="F6F8FA"/>
            <w:tcMar>
              <w:top w:w="50" w:type="dxa"/>
              <w:left w:w="55" w:type="dxa"/>
              <w:bottom w:w="50" w:type="dxa"/>
              <w:right w:w="55" w:type="dxa"/>
            </w:tcMar>
            <w:vAlign w:val="top"/>
          </w:tcPr>
          <w:p w14:paraId="1F887D4B">
            <w:pPr>
              <w:spacing w:before="0" w:after="0" w:line="240" w:lineRule="auto"/>
              <w:jc w:val="left"/>
            </w:pPr>
            <w:r>
              <w:rPr>
                <w:rFonts w:ascii="Arial" w:hAnsi="Arial" w:eastAsia="Arial"/>
                <w:b w:val="0"/>
                <w:i w:val="0"/>
                <w:sz w:val="14"/>
              </w:rPr>
              <w:t>Current snapshot</w:t>
            </w:r>
          </w:p>
        </w:tc>
        <w:tc>
          <w:tcPr>
            <w:tcW w:w="1584" w:type="dxa"/>
            <w:shd w:val="clear" w:color="auto" w:fill="F6F8FA"/>
            <w:tcMar>
              <w:top w:w="50" w:type="dxa"/>
              <w:left w:w="55" w:type="dxa"/>
              <w:bottom w:w="50" w:type="dxa"/>
              <w:right w:w="55" w:type="dxa"/>
            </w:tcMar>
            <w:vAlign w:val="top"/>
          </w:tcPr>
          <w:p w14:paraId="686FB6C8">
            <w:pPr>
              <w:spacing w:before="0" w:after="0" w:line="240" w:lineRule="auto"/>
              <w:jc w:val="left"/>
            </w:pPr>
            <w:r>
              <w:rPr>
                <w:rFonts w:ascii="Arial" w:hAnsi="Arial" w:eastAsia="Arial"/>
                <w:b w:val="0"/>
                <w:i w:val="0"/>
                <w:sz w:val="14"/>
              </w:rPr>
              <w:t>Definition</w:t>
            </w:r>
          </w:p>
        </w:tc>
        <w:tc>
          <w:tcPr>
            <w:tcW w:w="2951" w:type="dxa"/>
            <w:shd w:val="clear" w:color="auto" w:fill="F6F8FA"/>
            <w:tcMar>
              <w:top w:w="50" w:type="dxa"/>
              <w:left w:w="55" w:type="dxa"/>
              <w:bottom w:w="50" w:type="dxa"/>
              <w:right w:w="55" w:type="dxa"/>
            </w:tcMar>
            <w:vAlign w:val="top"/>
          </w:tcPr>
          <w:p w14:paraId="79366298">
            <w:pPr>
              <w:spacing w:before="0" w:after="0" w:line="240" w:lineRule="auto"/>
              <w:jc w:val="left"/>
            </w:pPr>
            <w:r>
              <w:rPr>
                <w:rFonts w:ascii="Arial" w:hAnsi="Arial" w:eastAsia="Arial"/>
                <w:b w:val="0"/>
                <w:i w:val="0"/>
                <w:sz w:val="14"/>
              </w:rPr>
              <w:t>CES-D-8 score at the current wave</w:t>
            </w:r>
          </w:p>
        </w:tc>
        <w:tc>
          <w:tcPr>
            <w:tcW w:w="2951" w:type="dxa"/>
            <w:shd w:val="clear" w:color="auto" w:fill="F6F8FA"/>
            <w:tcMar>
              <w:top w:w="50" w:type="dxa"/>
              <w:left w:w="55" w:type="dxa"/>
              <w:bottom w:w="50" w:type="dxa"/>
              <w:right w:w="55" w:type="dxa"/>
            </w:tcMar>
            <w:vAlign w:val="top"/>
          </w:tcPr>
          <w:p w14:paraId="557F6AFB">
            <w:pPr>
              <w:spacing w:before="0" w:after="0" w:line="240" w:lineRule="auto"/>
              <w:jc w:val="left"/>
            </w:pPr>
            <w:r>
              <w:rPr>
                <w:rFonts w:ascii="Arial" w:hAnsi="Arial" w:eastAsia="Arial"/>
                <w:b w:val="0"/>
                <w:i w:val="0"/>
                <w:sz w:val="14"/>
              </w:rPr>
              <w:t>EURO-D score at the current wave</w:t>
            </w:r>
          </w:p>
        </w:tc>
        <w:tc>
          <w:tcPr>
            <w:tcW w:w="3024" w:type="dxa"/>
            <w:shd w:val="clear" w:color="auto" w:fill="F6F8FA"/>
            <w:tcMar>
              <w:top w:w="50" w:type="dxa"/>
              <w:left w:w="55" w:type="dxa"/>
              <w:bottom w:w="50" w:type="dxa"/>
              <w:right w:w="55" w:type="dxa"/>
            </w:tcMar>
            <w:vAlign w:val="top"/>
          </w:tcPr>
          <w:p w14:paraId="1106F5EC">
            <w:pPr>
              <w:spacing w:before="0" w:after="0" w:line="240" w:lineRule="auto"/>
              <w:jc w:val="left"/>
            </w:pPr>
            <w:r>
              <w:rPr>
                <w:rFonts w:ascii="Arial" w:hAnsi="Arial" w:eastAsia="Arial"/>
                <w:b w:val="0"/>
                <w:i w:val="0"/>
                <w:sz w:val="14"/>
              </w:rPr>
              <w:t>CES-D-8 score at the current wave</w:t>
            </w:r>
          </w:p>
        </w:tc>
        <w:tc>
          <w:tcPr>
            <w:tcW w:w="3168" w:type="dxa"/>
            <w:shd w:val="clear" w:color="auto" w:fill="F6F8FA"/>
            <w:tcMar>
              <w:top w:w="50" w:type="dxa"/>
              <w:left w:w="55" w:type="dxa"/>
              <w:bottom w:w="50" w:type="dxa"/>
              <w:right w:w="55" w:type="dxa"/>
            </w:tcMar>
            <w:vAlign w:val="top"/>
          </w:tcPr>
          <w:p w14:paraId="4D064966">
            <w:pPr>
              <w:spacing w:before="0" w:after="0" w:line="240" w:lineRule="auto"/>
              <w:jc w:val="left"/>
            </w:pPr>
            <w:r>
              <w:rPr>
                <w:rFonts w:ascii="Arial" w:hAnsi="Arial" w:eastAsia="Arial"/>
                <w:b w:val="0"/>
                <w:i w:val="0"/>
                <w:sz w:val="14"/>
              </w:rPr>
              <w:t>The current snapshot is shown descriptively and in a separately specified model.</w:t>
            </w:r>
          </w:p>
        </w:tc>
      </w:tr>
      <w:tr w14:paraId="467EF76F">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1944" w:type="dxa"/>
            <w:shd w:val="clear" w:color="auto" w:fill="FFFFFF"/>
            <w:tcMar>
              <w:top w:w="50" w:type="dxa"/>
              <w:left w:w="55" w:type="dxa"/>
              <w:bottom w:w="50" w:type="dxa"/>
              <w:right w:w="55" w:type="dxa"/>
            </w:tcMar>
            <w:vAlign w:val="top"/>
          </w:tcPr>
          <w:p w14:paraId="458E97F9">
            <w:pPr>
              <w:spacing w:before="0" w:after="0" w:line="240" w:lineRule="auto"/>
              <w:jc w:val="left"/>
            </w:pPr>
            <w:r>
              <w:rPr>
                <w:rFonts w:ascii="Arial" w:hAnsi="Arial" w:eastAsia="Arial"/>
                <w:b w:val="0"/>
                <w:i w:val="0"/>
                <w:sz w:val="14"/>
              </w:rPr>
              <w:t>Prior burden</w:t>
            </w:r>
          </w:p>
        </w:tc>
        <w:tc>
          <w:tcPr>
            <w:tcW w:w="1584" w:type="dxa"/>
            <w:shd w:val="clear" w:color="auto" w:fill="FFFFFF"/>
            <w:tcMar>
              <w:top w:w="50" w:type="dxa"/>
              <w:left w:w="55" w:type="dxa"/>
              <w:bottom w:w="50" w:type="dxa"/>
              <w:right w:w="55" w:type="dxa"/>
            </w:tcMar>
            <w:vAlign w:val="top"/>
          </w:tcPr>
          <w:p w14:paraId="5B436CE1">
            <w:pPr>
              <w:spacing w:before="0" w:after="0" w:line="240" w:lineRule="auto"/>
              <w:jc w:val="left"/>
            </w:pPr>
            <w:r>
              <w:rPr>
                <w:rFonts w:ascii="Arial" w:hAnsi="Arial" w:eastAsia="Arial"/>
                <w:b w:val="0"/>
                <w:i w:val="0"/>
                <w:sz w:val="14"/>
              </w:rPr>
              <w:t>Definition</w:t>
            </w:r>
          </w:p>
        </w:tc>
        <w:tc>
          <w:tcPr>
            <w:tcW w:w="2951" w:type="dxa"/>
            <w:shd w:val="clear" w:color="auto" w:fill="FFFFFF"/>
            <w:tcMar>
              <w:top w:w="50" w:type="dxa"/>
              <w:left w:w="55" w:type="dxa"/>
              <w:bottom w:w="50" w:type="dxa"/>
              <w:right w:w="55" w:type="dxa"/>
            </w:tcMar>
            <w:vAlign w:val="top"/>
          </w:tcPr>
          <w:p w14:paraId="6D2EA8E6">
            <w:pPr>
              <w:spacing w:before="0" w:after="0" w:line="240" w:lineRule="auto"/>
              <w:jc w:val="left"/>
            </w:pPr>
            <w:r>
              <w:rPr>
                <w:rFonts w:ascii="Arial" w:hAnsi="Arial" w:eastAsia="Arial"/>
                <w:b w:val="0"/>
                <w:i w:val="0"/>
                <w:sz w:val="14"/>
              </w:rPr>
              <w:t>Mean of all eligible CES-D-8 measurements strictly before the current wave</w:t>
            </w:r>
          </w:p>
        </w:tc>
        <w:tc>
          <w:tcPr>
            <w:tcW w:w="2951" w:type="dxa"/>
            <w:shd w:val="clear" w:color="auto" w:fill="FFFFFF"/>
            <w:tcMar>
              <w:top w:w="50" w:type="dxa"/>
              <w:left w:w="55" w:type="dxa"/>
              <w:bottom w:w="50" w:type="dxa"/>
              <w:right w:w="55" w:type="dxa"/>
            </w:tcMar>
            <w:vAlign w:val="top"/>
          </w:tcPr>
          <w:p w14:paraId="32CAD009">
            <w:pPr>
              <w:spacing w:before="0" w:after="0" w:line="240" w:lineRule="auto"/>
              <w:jc w:val="left"/>
            </w:pPr>
            <w:r>
              <w:rPr>
                <w:rFonts w:ascii="Arial" w:hAnsi="Arial" w:eastAsia="Arial"/>
                <w:b w:val="0"/>
                <w:i w:val="0"/>
                <w:sz w:val="14"/>
              </w:rPr>
              <w:t>Mean of all eligible EURO-D measurements strictly before the current wave</w:t>
            </w:r>
          </w:p>
        </w:tc>
        <w:tc>
          <w:tcPr>
            <w:tcW w:w="3024" w:type="dxa"/>
            <w:shd w:val="clear" w:color="auto" w:fill="FFFFFF"/>
            <w:tcMar>
              <w:top w:w="50" w:type="dxa"/>
              <w:left w:w="55" w:type="dxa"/>
              <w:bottom w:w="50" w:type="dxa"/>
              <w:right w:w="55" w:type="dxa"/>
            </w:tcMar>
            <w:vAlign w:val="top"/>
          </w:tcPr>
          <w:p w14:paraId="3BDC44C3">
            <w:pPr>
              <w:spacing w:before="0" w:after="0" w:line="240" w:lineRule="auto"/>
              <w:jc w:val="left"/>
            </w:pPr>
            <w:r>
              <w:rPr>
                <w:rFonts w:ascii="Arial" w:hAnsi="Arial" w:eastAsia="Arial"/>
                <w:b w:val="0"/>
                <w:i w:val="0"/>
                <w:sz w:val="14"/>
              </w:rPr>
              <w:t>Mean of all eligible CES-D-8 measurements strictly before the current wave</w:t>
            </w:r>
          </w:p>
        </w:tc>
        <w:tc>
          <w:tcPr>
            <w:tcW w:w="3168" w:type="dxa"/>
            <w:shd w:val="clear" w:color="auto" w:fill="FFFFFF"/>
            <w:tcMar>
              <w:top w:w="50" w:type="dxa"/>
              <w:left w:w="55" w:type="dxa"/>
              <w:bottom w:w="50" w:type="dxa"/>
              <w:right w:w="55" w:type="dxa"/>
            </w:tcMar>
            <w:vAlign w:val="top"/>
          </w:tcPr>
          <w:p w14:paraId="1DEE3F24">
            <w:pPr>
              <w:spacing w:before="0" w:after="0" w:line="240" w:lineRule="auto"/>
              <w:jc w:val="left"/>
            </w:pPr>
            <w:r>
              <w:rPr>
                <w:rFonts w:ascii="Arial" w:hAnsi="Arial" w:eastAsia="Arial"/>
                <w:b w:val="0"/>
                <w:i w:val="0"/>
                <w:sz w:val="14"/>
              </w:rPr>
              <w:t>No future psychological measurement contributes to an earlier prior burden.</w:t>
            </w:r>
          </w:p>
        </w:tc>
      </w:tr>
      <w:tr w14:paraId="52683051">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1944" w:type="dxa"/>
            <w:shd w:val="clear" w:color="auto" w:fill="F6F8FA"/>
            <w:tcMar>
              <w:top w:w="50" w:type="dxa"/>
              <w:left w:w="55" w:type="dxa"/>
              <w:bottom w:w="50" w:type="dxa"/>
              <w:right w:w="55" w:type="dxa"/>
            </w:tcMar>
            <w:vAlign w:val="top"/>
          </w:tcPr>
          <w:p w14:paraId="23FB5D0D">
            <w:pPr>
              <w:spacing w:before="0" w:after="0" w:line="240" w:lineRule="auto"/>
              <w:jc w:val="left"/>
            </w:pPr>
            <w:r>
              <w:rPr>
                <w:rFonts w:ascii="Arial" w:hAnsi="Arial" w:eastAsia="Arial"/>
                <w:b w:val="0"/>
                <w:i w:val="0"/>
                <w:sz w:val="14"/>
              </w:rPr>
              <w:t>Current deviation</w:t>
            </w:r>
          </w:p>
        </w:tc>
        <w:tc>
          <w:tcPr>
            <w:tcW w:w="1584" w:type="dxa"/>
            <w:shd w:val="clear" w:color="auto" w:fill="F6F8FA"/>
            <w:tcMar>
              <w:top w:w="50" w:type="dxa"/>
              <w:left w:w="55" w:type="dxa"/>
              <w:bottom w:w="50" w:type="dxa"/>
              <w:right w:w="55" w:type="dxa"/>
            </w:tcMar>
            <w:vAlign w:val="top"/>
          </w:tcPr>
          <w:p w14:paraId="403C6258">
            <w:pPr>
              <w:spacing w:before="0" w:after="0" w:line="240" w:lineRule="auto"/>
              <w:jc w:val="left"/>
            </w:pPr>
            <w:r>
              <w:rPr>
                <w:rFonts w:ascii="Arial" w:hAnsi="Arial" w:eastAsia="Arial"/>
                <w:b w:val="0"/>
                <w:i w:val="0"/>
                <w:sz w:val="14"/>
              </w:rPr>
              <w:t>Definition</w:t>
            </w:r>
          </w:p>
        </w:tc>
        <w:tc>
          <w:tcPr>
            <w:tcW w:w="2951" w:type="dxa"/>
            <w:shd w:val="clear" w:color="auto" w:fill="F6F8FA"/>
            <w:tcMar>
              <w:top w:w="50" w:type="dxa"/>
              <w:left w:w="55" w:type="dxa"/>
              <w:bottom w:w="50" w:type="dxa"/>
              <w:right w:w="55" w:type="dxa"/>
            </w:tcMar>
            <w:vAlign w:val="top"/>
          </w:tcPr>
          <w:p w14:paraId="74054432">
            <w:pPr>
              <w:spacing w:before="0" w:after="0" w:line="240" w:lineRule="auto"/>
              <w:jc w:val="left"/>
            </w:pPr>
            <w:r>
              <w:rPr>
                <w:rFonts w:ascii="Arial" w:hAnsi="Arial" w:eastAsia="Arial"/>
                <w:b w:val="0"/>
                <w:i w:val="0"/>
                <w:sz w:val="14"/>
              </w:rPr>
              <w:t>Current CES-D-8 minus the participant-specific prior mean</w:t>
            </w:r>
          </w:p>
        </w:tc>
        <w:tc>
          <w:tcPr>
            <w:tcW w:w="2951" w:type="dxa"/>
            <w:shd w:val="clear" w:color="auto" w:fill="F6F8FA"/>
            <w:tcMar>
              <w:top w:w="50" w:type="dxa"/>
              <w:left w:w="55" w:type="dxa"/>
              <w:bottom w:w="50" w:type="dxa"/>
              <w:right w:w="55" w:type="dxa"/>
            </w:tcMar>
            <w:vAlign w:val="top"/>
          </w:tcPr>
          <w:p w14:paraId="0210CAB9">
            <w:pPr>
              <w:spacing w:before="0" w:after="0" w:line="240" w:lineRule="auto"/>
              <w:jc w:val="left"/>
            </w:pPr>
            <w:r>
              <w:rPr>
                <w:rFonts w:ascii="Arial" w:hAnsi="Arial" w:eastAsia="Arial"/>
                <w:b w:val="0"/>
                <w:i w:val="0"/>
                <w:sz w:val="14"/>
              </w:rPr>
              <w:t>Current EURO-D minus the participant-specific prior mean</w:t>
            </w:r>
          </w:p>
        </w:tc>
        <w:tc>
          <w:tcPr>
            <w:tcW w:w="3024" w:type="dxa"/>
            <w:shd w:val="clear" w:color="auto" w:fill="F6F8FA"/>
            <w:tcMar>
              <w:top w:w="50" w:type="dxa"/>
              <w:left w:w="55" w:type="dxa"/>
              <w:bottom w:w="50" w:type="dxa"/>
              <w:right w:w="55" w:type="dxa"/>
            </w:tcMar>
            <w:vAlign w:val="top"/>
          </w:tcPr>
          <w:p w14:paraId="6E44694D">
            <w:pPr>
              <w:spacing w:before="0" w:after="0" w:line="240" w:lineRule="auto"/>
              <w:jc w:val="left"/>
            </w:pPr>
            <w:r>
              <w:rPr>
                <w:rFonts w:ascii="Arial" w:hAnsi="Arial" w:eastAsia="Arial"/>
                <w:b w:val="0"/>
                <w:i w:val="0"/>
                <w:sz w:val="14"/>
              </w:rPr>
              <w:t>Current CES-D-8 minus the participant-specific prior mean</w:t>
            </w:r>
          </w:p>
        </w:tc>
        <w:tc>
          <w:tcPr>
            <w:tcW w:w="3168" w:type="dxa"/>
            <w:shd w:val="clear" w:color="auto" w:fill="F6F8FA"/>
            <w:tcMar>
              <w:top w:w="50" w:type="dxa"/>
              <w:left w:w="55" w:type="dxa"/>
              <w:bottom w:w="50" w:type="dxa"/>
              <w:right w:w="55" w:type="dxa"/>
            </w:tcMar>
            <w:vAlign w:val="top"/>
          </w:tcPr>
          <w:p w14:paraId="3D5CD93F">
            <w:pPr>
              <w:spacing w:before="0" w:after="0" w:line="240" w:lineRule="auto"/>
              <w:jc w:val="left"/>
            </w:pPr>
            <w:r>
              <w:rPr>
                <w:rFonts w:ascii="Arial" w:hAnsi="Arial" w:eastAsia="Arial"/>
                <w:b w:val="0"/>
                <w:i w:val="0"/>
                <w:sz w:val="14"/>
              </w:rPr>
              <w:t>Positive values indicate worse current symptoms than the participant's own prior history.</w:t>
            </w:r>
          </w:p>
        </w:tc>
      </w:tr>
      <w:tr w14:paraId="0622047D">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1944" w:type="dxa"/>
            <w:shd w:val="clear" w:color="auto" w:fill="FFFFFF"/>
            <w:tcMar>
              <w:top w:w="50" w:type="dxa"/>
              <w:left w:w="55" w:type="dxa"/>
              <w:bottom w:w="50" w:type="dxa"/>
              <w:right w:w="55" w:type="dxa"/>
            </w:tcMar>
            <w:vAlign w:val="top"/>
          </w:tcPr>
          <w:p w14:paraId="59DC29FC">
            <w:pPr>
              <w:spacing w:before="0" w:after="0" w:line="240" w:lineRule="auto"/>
              <w:jc w:val="left"/>
            </w:pPr>
            <w:r>
              <w:rPr>
                <w:rFonts w:ascii="Arial" w:hAnsi="Arial" w:eastAsia="Arial"/>
                <w:b w:val="0"/>
                <w:i w:val="0"/>
                <w:sz w:val="14"/>
              </w:rPr>
              <w:t>Incident heart disease</w:t>
            </w:r>
          </w:p>
        </w:tc>
        <w:tc>
          <w:tcPr>
            <w:tcW w:w="1584" w:type="dxa"/>
            <w:shd w:val="clear" w:color="auto" w:fill="FFFFFF"/>
            <w:tcMar>
              <w:top w:w="50" w:type="dxa"/>
              <w:left w:w="55" w:type="dxa"/>
              <w:bottom w:w="50" w:type="dxa"/>
              <w:right w:w="55" w:type="dxa"/>
            </w:tcMar>
            <w:vAlign w:val="top"/>
          </w:tcPr>
          <w:p w14:paraId="2D6DBA19">
            <w:pPr>
              <w:spacing w:before="0" w:after="0" w:line="240" w:lineRule="auto"/>
              <w:jc w:val="left"/>
            </w:pPr>
            <w:r>
              <w:rPr>
                <w:rFonts w:ascii="Arial" w:hAnsi="Arial" w:eastAsia="Arial"/>
                <w:b w:val="0"/>
                <w:i w:val="0"/>
                <w:sz w:val="14"/>
              </w:rPr>
              <w:t>Definition</w:t>
            </w:r>
          </w:p>
        </w:tc>
        <w:tc>
          <w:tcPr>
            <w:tcW w:w="2951" w:type="dxa"/>
            <w:shd w:val="clear" w:color="auto" w:fill="FFFFFF"/>
            <w:tcMar>
              <w:top w:w="50" w:type="dxa"/>
              <w:left w:w="55" w:type="dxa"/>
              <w:bottom w:w="50" w:type="dxa"/>
              <w:right w:w="55" w:type="dxa"/>
            </w:tcMar>
            <w:vAlign w:val="top"/>
          </w:tcPr>
          <w:p w14:paraId="5C48ECF0">
            <w:pPr>
              <w:spacing w:before="0" w:after="0" w:line="240" w:lineRule="auto"/>
              <w:jc w:val="left"/>
            </w:pPr>
            <w:r>
              <w:rPr>
                <w:rFonts w:ascii="Arial" w:hAnsi="Arial" w:eastAsia="Arial"/>
                <w:b w:val="0"/>
                <w:i w:val="0"/>
                <w:sz w:val="14"/>
              </w:rPr>
              <w:t>First newly reported heart disease at the next selected wave among participants free of heart disease at the start of the current risk interval; follow-up ceased after the first incident event</w:t>
            </w:r>
          </w:p>
        </w:tc>
        <w:tc>
          <w:tcPr>
            <w:tcW w:w="2951" w:type="dxa"/>
            <w:shd w:val="clear" w:color="auto" w:fill="FFFFFF"/>
            <w:tcMar>
              <w:top w:w="50" w:type="dxa"/>
              <w:left w:w="55" w:type="dxa"/>
              <w:bottom w:w="50" w:type="dxa"/>
              <w:right w:w="55" w:type="dxa"/>
            </w:tcMar>
            <w:vAlign w:val="top"/>
          </w:tcPr>
          <w:p w14:paraId="3F3F846E">
            <w:pPr>
              <w:spacing w:before="0" w:after="0" w:line="240" w:lineRule="auto"/>
              <w:jc w:val="left"/>
            </w:pPr>
            <w:r>
              <w:rPr>
                <w:rFonts w:ascii="Arial" w:hAnsi="Arial" w:eastAsia="Arial"/>
                <w:b w:val="0"/>
                <w:i w:val="0"/>
                <w:sz w:val="14"/>
              </w:rPr>
              <w:t>First newly reported harmonized heart disease at the next selected wave among participants free of heart disease at the start of the current risk interval; follow-up ceased after the first incident event</w:t>
            </w:r>
          </w:p>
        </w:tc>
        <w:tc>
          <w:tcPr>
            <w:tcW w:w="3024" w:type="dxa"/>
            <w:shd w:val="clear" w:color="auto" w:fill="FFFFFF"/>
            <w:tcMar>
              <w:top w:w="50" w:type="dxa"/>
              <w:left w:w="55" w:type="dxa"/>
              <w:bottom w:w="50" w:type="dxa"/>
              <w:right w:w="55" w:type="dxa"/>
            </w:tcMar>
            <w:vAlign w:val="top"/>
          </w:tcPr>
          <w:p w14:paraId="428455EB">
            <w:pPr>
              <w:spacing w:before="0" w:after="0" w:line="240" w:lineRule="auto"/>
              <w:jc w:val="left"/>
            </w:pPr>
            <w:r>
              <w:rPr>
                <w:rFonts w:ascii="Arial" w:hAnsi="Arial" w:eastAsia="Arial"/>
                <w:b w:val="0"/>
                <w:i w:val="0"/>
                <w:sz w:val="14"/>
              </w:rPr>
              <w:t>First newly reported heart disease at the next selected wave among participants free of heart disease at the start of the current risk interval; follow-up ceased after the first incident event</w:t>
            </w:r>
          </w:p>
        </w:tc>
        <w:tc>
          <w:tcPr>
            <w:tcW w:w="3168" w:type="dxa"/>
            <w:shd w:val="clear" w:color="auto" w:fill="FFFFFF"/>
            <w:tcMar>
              <w:top w:w="50" w:type="dxa"/>
              <w:left w:w="55" w:type="dxa"/>
              <w:bottom w:w="50" w:type="dxa"/>
              <w:right w:w="55" w:type="dxa"/>
            </w:tcMar>
            <w:vAlign w:val="top"/>
          </w:tcPr>
          <w:p w14:paraId="6765BE93">
            <w:pPr>
              <w:spacing w:before="0" w:after="0" w:line="240" w:lineRule="auto"/>
              <w:jc w:val="left"/>
            </w:pPr>
            <w:r>
              <w:rPr>
                <w:rFonts w:ascii="Arial" w:hAnsi="Arial" w:eastAsia="Arial"/>
                <w:b w:val="0"/>
                <w:i w:val="0"/>
                <w:sz w:val="14"/>
              </w:rPr>
              <w:t>Outcome definitions were harmonized conceptually rather than assumed to be item-identical; the same first-event risk-set rule was applied across cohorts.</w:t>
            </w:r>
          </w:p>
        </w:tc>
      </w:tr>
      <w:tr w14:paraId="4BD97B32">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1944" w:type="dxa"/>
            <w:shd w:val="clear" w:color="auto" w:fill="F6F8FA"/>
            <w:tcMar>
              <w:top w:w="50" w:type="dxa"/>
              <w:left w:w="55" w:type="dxa"/>
              <w:bottom w:w="50" w:type="dxa"/>
              <w:right w:w="55" w:type="dxa"/>
            </w:tcMar>
            <w:vAlign w:val="top"/>
          </w:tcPr>
          <w:p w14:paraId="02727510">
            <w:pPr>
              <w:spacing w:before="0" w:after="0" w:line="240" w:lineRule="auto"/>
              <w:jc w:val="left"/>
            </w:pPr>
            <w:r>
              <w:rPr>
                <w:rFonts w:ascii="Arial" w:hAnsi="Arial" w:eastAsia="Arial"/>
                <w:b w:val="0"/>
                <w:i w:val="0"/>
                <w:sz w:val="14"/>
              </w:rPr>
              <w:t>Life-course adversity</w:t>
            </w:r>
          </w:p>
        </w:tc>
        <w:tc>
          <w:tcPr>
            <w:tcW w:w="1584" w:type="dxa"/>
            <w:shd w:val="clear" w:color="auto" w:fill="F6F8FA"/>
            <w:tcMar>
              <w:top w:w="50" w:type="dxa"/>
              <w:left w:w="55" w:type="dxa"/>
              <w:bottom w:w="50" w:type="dxa"/>
              <w:right w:w="55" w:type="dxa"/>
            </w:tcMar>
            <w:vAlign w:val="top"/>
          </w:tcPr>
          <w:p w14:paraId="58D61615">
            <w:pPr>
              <w:spacing w:before="0" w:after="0" w:line="240" w:lineRule="auto"/>
              <w:jc w:val="left"/>
            </w:pPr>
            <w:r>
              <w:rPr>
                <w:rFonts w:ascii="Arial" w:hAnsi="Arial" w:eastAsia="Arial"/>
                <w:b w:val="0"/>
                <w:i w:val="0"/>
                <w:sz w:val="14"/>
              </w:rPr>
              <w:t>Definition</w:t>
            </w:r>
          </w:p>
        </w:tc>
        <w:tc>
          <w:tcPr>
            <w:tcW w:w="2951" w:type="dxa"/>
            <w:shd w:val="clear" w:color="auto" w:fill="F6F8FA"/>
            <w:tcMar>
              <w:top w:w="50" w:type="dxa"/>
              <w:left w:w="55" w:type="dxa"/>
              <w:bottom w:w="50" w:type="dxa"/>
              <w:right w:w="55" w:type="dxa"/>
            </w:tcMar>
            <w:vAlign w:val="top"/>
          </w:tcPr>
          <w:p w14:paraId="36C27A4E">
            <w:pPr>
              <w:spacing w:before="0" w:after="0" w:line="240" w:lineRule="auto"/>
              <w:jc w:val="left"/>
            </w:pPr>
            <w:r>
              <w:rPr>
                <w:rFonts w:ascii="Arial" w:hAnsi="Arial" w:eastAsia="Arial"/>
                <w:b w:val="0"/>
                <w:i w:val="0"/>
                <w:sz w:val="14"/>
              </w:rPr>
              <w:t>Standardized cumulative life-course adversity score</w:t>
            </w:r>
          </w:p>
        </w:tc>
        <w:tc>
          <w:tcPr>
            <w:tcW w:w="2951" w:type="dxa"/>
            <w:shd w:val="clear" w:color="auto" w:fill="F6F8FA"/>
            <w:tcMar>
              <w:top w:w="50" w:type="dxa"/>
              <w:left w:w="55" w:type="dxa"/>
              <w:bottom w:w="50" w:type="dxa"/>
              <w:right w:w="55" w:type="dxa"/>
            </w:tcMar>
            <w:vAlign w:val="top"/>
          </w:tcPr>
          <w:p w14:paraId="01C4AB74">
            <w:pPr>
              <w:spacing w:before="0" w:after="0" w:line="240" w:lineRule="auto"/>
              <w:jc w:val="left"/>
            </w:pPr>
            <w:r>
              <w:rPr>
                <w:rFonts w:ascii="Arial" w:hAnsi="Arial" w:eastAsia="Arial"/>
                <w:b w:val="0"/>
                <w:i w:val="0"/>
                <w:sz w:val="14"/>
              </w:rPr>
              <w:t>Cohort-specific standardized adversity score</w:t>
            </w:r>
          </w:p>
        </w:tc>
        <w:tc>
          <w:tcPr>
            <w:tcW w:w="3024" w:type="dxa"/>
            <w:shd w:val="clear" w:color="auto" w:fill="F6F8FA"/>
            <w:tcMar>
              <w:top w:w="50" w:type="dxa"/>
              <w:left w:w="55" w:type="dxa"/>
              <w:bottom w:w="50" w:type="dxa"/>
              <w:right w:w="55" w:type="dxa"/>
            </w:tcMar>
            <w:vAlign w:val="top"/>
          </w:tcPr>
          <w:p w14:paraId="5437D313">
            <w:pPr>
              <w:spacing w:before="0" w:after="0" w:line="240" w:lineRule="auto"/>
              <w:jc w:val="left"/>
            </w:pPr>
            <w:r>
              <w:rPr>
                <w:rFonts w:ascii="Arial" w:hAnsi="Arial" w:eastAsia="Arial"/>
                <w:b w:val="0"/>
                <w:i w:val="0"/>
                <w:sz w:val="14"/>
              </w:rPr>
              <w:t>Cohort-specific standardized adversity score</w:t>
            </w:r>
          </w:p>
        </w:tc>
        <w:tc>
          <w:tcPr>
            <w:tcW w:w="3168" w:type="dxa"/>
            <w:shd w:val="clear" w:color="auto" w:fill="F6F8FA"/>
            <w:tcMar>
              <w:top w:w="50" w:type="dxa"/>
              <w:left w:w="55" w:type="dxa"/>
              <w:bottom w:w="50" w:type="dxa"/>
              <w:right w:w="55" w:type="dxa"/>
            </w:tcMar>
            <w:vAlign w:val="top"/>
          </w:tcPr>
          <w:p w14:paraId="5D4746C7">
            <w:pPr>
              <w:spacing w:before="0" w:after="0" w:line="240" w:lineRule="auto"/>
              <w:jc w:val="left"/>
            </w:pPr>
            <w:r>
              <w:rPr>
                <w:rFonts w:ascii="Arial" w:hAnsi="Arial" w:eastAsia="Arial"/>
                <w:b w:val="0"/>
                <w:i w:val="0"/>
                <w:sz w:val="14"/>
              </w:rPr>
              <w:t>Adversity was standardized within cohort and is not interpreted as an identical absolute scale across cohorts.</w:t>
            </w:r>
          </w:p>
        </w:tc>
      </w:tr>
      <w:tr w14:paraId="01BE05EA">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1944" w:type="dxa"/>
            <w:shd w:val="clear" w:color="auto" w:fill="FFFFFF"/>
            <w:tcMar>
              <w:top w:w="50" w:type="dxa"/>
              <w:left w:w="55" w:type="dxa"/>
              <w:bottom w:w="50" w:type="dxa"/>
              <w:right w:w="55" w:type="dxa"/>
            </w:tcMar>
            <w:vAlign w:val="top"/>
          </w:tcPr>
          <w:p w14:paraId="4616C2CD">
            <w:pPr>
              <w:spacing w:before="0" w:after="0" w:line="240" w:lineRule="auto"/>
              <w:jc w:val="left"/>
            </w:pPr>
            <w:r>
              <w:rPr>
                <w:rFonts w:ascii="Arial" w:hAnsi="Arial" w:eastAsia="Arial"/>
                <w:b w:val="0"/>
                <w:i w:val="0"/>
                <w:sz w:val="14"/>
              </w:rPr>
              <w:t>Primary covariates</w:t>
            </w:r>
          </w:p>
        </w:tc>
        <w:tc>
          <w:tcPr>
            <w:tcW w:w="1584" w:type="dxa"/>
            <w:shd w:val="clear" w:color="auto" w:fill="FFFFFF"/>
            <w:tcMar>
              <w:top w:w="50" w:type="dxa"/>
              <w:left w:w="55" w:type="dxa"/>
              <w:bottom w:w="50" w:type="dxa"/>
              <w:right w:w="55" w:type="dxa"/>
            </w:tcMar>
            <w:vAlign w:val="top"/>
          </w:tcPr>
          <w:p w14:paraId="7DFBDD5D">
            <w:pPr>
              <w:spacing w:before="0" w:after="0" w:line="240" w:lineRule="auto"/>
              <w:jc w:val="left"/>
            </w:pPr>
            <w:r>
              <w:rPr>
                <w:rFonts w:ascii="Arial" w:hAnsi="Arial" w:eastAsia="Arial"/>
                <w:b w:val="0"/>
                <w:i w:val="0"/>
                <w:sz w:val="14"/>
              </w:rPr>
              <w:t>Adjustment set</w:t>
            </w:r>
          </w:p>
        </w:tc>
        <w:tc>
          <w:tcPr>
            <w:tcW w:w="2951" w:type="dxa"/>
            <w:shd w:val="clear" w:color="auto" w:fill="FFFFFF"/>
            <w:tcMar>
              <w:top w:w="50" w:type="dxa"/>
              <w:left w:w="55" w:type="dxa"/>
              <w:bottom w:w="50" w:type="dxa"/>
              <w:right w:w="55" w:type="dxa"/>
            </w:tcMar>
            <w:vAlign w:val="top"/>
          </w:tcPr>
          <w:p w14:paraId="6F742D81">
            <w:pPr>
              <w:spacing w:before="0" w:after="0" w:line="240" w:lineRule="auto"/>
              <w:jc w:val="left"/>
            </w:pPr>
            <w:r>
              <w:rPr>
                <w:rFonts w:ascii="Arial" w:hAnsi="Arial" w:eastAsia="Arial"/>
                <w:b w:val="0"/>
                <w:i w:val="0"/>
                <w:sz w:val="14"/>
              </w:rPr>
              <w:t>Interval, life-course adversity, age, sex, education, and BMI</w:t>
            </w:r>
          </w:p>
        </w:tc>
        <w:tc>
          <w:tcPr>
            <w:tcW w:w="2951" w:type="dxa"/>
            <w:shd w:val="clear" w:color="auto" w:fill="FFFFFF"/>
            <w:tcMar>
              <w:top w:w="50" w:type="dxa"/>
              <w:left w:w="55" w:type="dxa"/>
              <w:bottom w:w="50" w:type="dxa"/>
              <w:right w:w="55" w:type="dxa"/>
            </w:tcMar>
            <w:vAlign w:val="top"/>
          </w:tcPr>
          <w:p w14:paraId="1C416A12">
            <w:pPr>
              <w:spacing w:before="0" w:after="0" w:line="240" w:lineRule="auto"/>
              <w:jc w:val="left"/>
            </w:pPr>
            <w:r>
              <w:rPr>
                <w:rFonts w:ascii="Arial" w:hAnsi="Arial" w:eastAsia="Arial"/>
                <w:b w:val="0"/>
                <w:i w:val="0"/>
                <w:sz w:val="14"/>
              </w:rPr>
              <w:t>Interval and country fixed effects; age, sex, education, BMI, hypertension, diabetes, and partnered status</w:t>
            </w:r>
          </w:p>
        </w:tc>
        <w:tc>
          <w:tcPr>
            <w:tcW w:w="3024" w:type="dxa"/>
            <w:shd w:val="clear" w:color="auto" w:fill="FFFFFF"/>
            <w:tcMar>
              <w:top w:w="50" w:type="dxa"/>
              <w:left w:w="55" w:type="dxa"/>
              <w:bottom w:w="50" w:type="dxa"/>
              <w:right w:w="55" w:type="dxa"/>
            </w:tcMar>
            <w:vAlign w:val="top"/>
          </w:tcPr>
          <w:p w14:paraId="0D4910B3">
            <w:pPr>
              <w:spacing w:before="0" w:after="0" w:line="240" w:lineRule="auto"/>
              <w:jc w:val="left"/>
            </w:pPr>
            <w:r>
              <w:rPr>
                <w:rFonts w:ascii="Arial" w:hAnsi="Arial" w:eastAsia="Arial"/>
                <w:b w:val="0"/>
                <w:i w:val="0"/>
                <w:sz w:val="14"/>
              </w:rPr>
              <w:t>Interval, life-course adversity, age, sex, education, and BMI</w:t>
            </w:r>
          </w:p>
        </w:tc>
        <w:tc>
          <w:tcPr>
            <w:tcW w:w="3168" w:type="dxa"/>
            <w:shd w:val="clear" w:color="auto" w:fill="FFFFFF"/>
            <w:tcMar>
              <w:top w:w="50" w:type="dxa"/>
              <w:left w:w="55" w:type="dxa"/>
              <w:bottom w:w="50" w:type="dxa"/>
              <w:right w:w="55" w:type="dxa"/>
            </w:tcMar>
            <w:vAlign w:val="top"/>
          </w:tcPr>
          <w:p w14:paraId="2FB5AE46">
            <w:pPr>
              <w:spacing w:before="0" w:after="0" w:line="240" w:lineRule="auto"/>
              <w:jc w:val="left"/>
            </w:pPr>
            <w:r>
              <w:rPr>
                <w:rFonts w:ascii="Arial" w:hAnsi="Arial" w:eastAsia="Arial"/>
                <w:b w:val="0"/>
                <w:i w:val="0"/>
                <w:sz w:val="14"/>
              </w:rPr>
              <w:t>Adjustment sets were prespecified within each cohort; differences reflect data availability and cohort design.</w:t>
            </w:r>
          </w:p>
        </w:tc>
      </w:tr>
    </w:tbl>
    <w:p w14:paraId="214FD498">
      <w:pPr>
        <w:spacing w:before="0" w:after="40"/>
      </w:pPr>
    </w:p>
    <w:p w14:paraId="59779E66">
      <w:pPr>
        <w:pStyle w:val="165"/>
        <w:keepNext/>
      </w:pPr>
      <w:r>
        <w:rPr>
          <w:rFonts w:ascii="Arial" w:hAnsi="Arial" w:eastAsia="Arial"/>
          <w:b/>
          <w:i w:val="0"/>
          <w:color w:val="355C7D"/>
          <w:sz w:val="17"/>
        </w:rPr>
        <w:t>Panel B. Longitudinal waves and risk intervals</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2614"/>
        <w:gridCol w:w="2614"/>
        <w:gridCol w:w="2614"/>
        <w:gridCol w:w="2614"/>
        <w:gridCol w:w="2614"/>
        <w:gridCol w:w="2614"/>
      </w:tblGrid>
      <w:tr w14:paraId="03E45667">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1944" w:type="dxa"/>
            <w:shd w:val="clear" w:color="auto" w:fill="355C7D"/>
            <w:tcMar>
              <w:top w:w="60" w:type="dxa"/>
              <w:left w:w="55" w:type="dxa"/>
              <w:bottom w:w="60" w:type="dxa"/>
              <w:right w:w="55" w:type="dxa"/>
            </w:tcMar>
            <w:vAlign w:val="center"/>
          </w:tcPr>
          <w:p w14:paraId="2B0DA8D3">
            <w:pPr>
              <w:spacing w:before="0" w:after="0" w:line="240" w:lineRule="auto"/>
              <w:jc w:val="center"/>
            </w:pPr>
            <w:r>
              <w:rPr>
                <w:rFonts w:ascii="Arial" w:hAnsi="Arial" w:eastAsia="Arial"/>
                <w:b/>
                <w:i w:val="0"/>
                <w:color w:val="FFFFFF"/>
                <w:sz w:val="14"/>
              </w:rPr>
              <w:t>Domain</w:t>
            </w:r>
          </w:p>
        </w:tc>
        <w:tc>
          <w:tcPr>
            <w:tcW w:w="1584" w:type="dxa"/>
            <w:shd w:val="clear" w:color="auto" w:fill="355C7D"/>
            <w:tcMar>
              <w:top w:w="60" w:type="dxa"/>
              <w:left w:w="55" w:type="dxa"/>
              <w:bottom w:w="60" w:type="dxa"/>
              <w:right w:w="55" w:type="dxa"/>
            </w:tcMar>
            <w:vAlign w:val="center"/>
          </w:tcPr>
          <w:p w14:paraId="60C721CA">
            <w:pPr>
              <w:spacing w:before="0" w:after="0" w:line="240" w:lineRule="auto"/>
              <w:jc w:val="center"/>
            </w:pPr>
            <w:r>
              <w:rPr>
                <w:rFonts w:ascii="Arial" w:hAnsi="Arial" w:eastAsia="Arial"/>
                <w:b/>
                <w:i w:val="0"/>
                <w:color w:val="FFFFFF"/>
                <w:sz w:val="14"/>
              </w:rPr>
              <w:t>Item</w:t>
            </w:r>
          </w:p>
        </w:tc>
        <w:tc>
          <w:tcPr>
            <w:tcW w:w="2951" w:type="dxa"/>
            <w:shd w:val="clear" w:color="auto" w:fill="355C7D"/>
            <w:tcMar>
              <w:top w:w="60" w:type="dxa"/>
              <w:left w:w="55" w:type="dxa"/>
              <w:bottom w:w="60" w:type="dxa"/>
              <w:right w:w="55" w:type="dxa"/>
            </w:tcMar>
            <w:vAlign w:val="center"/>
          </w:tcPr>
          <w:p w14:paraId="3561C2E2">
            <w:pPr>
              <w:spacing w:before="0" w:after="0" w:line="240" w:lineRule="auto"/>
              <w:jc w:val="center"/>
            </w:pPr>
            <w:r>
              <w:rPr>
                <w:rFonts w:ascii="Arial" w:hAnsi="Arial" w:eastAsia="Arial"/>
                <w:b/>
                <w:i w:val="0"/>
                <w:color w:val="FFFFFF"/>
                <w:sz w:val="14"/>
              </w:rPr>
              <w:t>HRS</w:t>
            </w:r>
          </w:p>
        </w:tc>
        <w:tc>
          <w:tcPr>
            <w:tcW w:w="2951" w:type="dxa"/>
            <w:shd w:val="clear" w:color="auto" w:fill="355C7D"/>
            <w:tcMar>
              <w:top w:w="60" w:type="dxa"/>
              <w:left w:w="55" w:type="dxa"/>
              <w:bottom w:w="60" w:type="dxa"/>
              <w:right w:w="55" w:type="dxa"/>
            </w:tcMar>
            <w:vAlign w:val="center"/>
          </w:tcPr>
          <w:p w14:paraId="6F3E3658">
            <w:pPr>
              <w:spacing w:before="0" w:after="0" w:line="240" w:lineRule="auto"/>
              <w:jc w:val="center"/>
            </w:pPr>
            <w:r>
              <w:rPr>
                <w:rFonts w:ascii="Arial" w:hAnsi="Arial" w:eastAsia="Arial"/>
                <w:b/>
                <w:i w:val="0"/>
                <w:color w:val="FFFFFF"/>
                <w:sz w:val="14"/>
              </w:rPr>
              <w:t>SHARE</w:t>
            </w:r>
          </w:p>
        </w:tc>
        <w:tc>
          <w:tcPr>
            <w:tcW w:w="3024" w:type="dxa"/>
            <w:shd w:val="clear" w:color="auto" w:fill="355C7D"/>
            <w:tcMar>
              <w:top w:w="60" w:type="dxa"/>
              <w:left w:w="55" w:type="dxa"/>
              <w:bottom w:w="60" w:type="dxa"/>
              <w:right w:w="55" w:type="dxa"/>
            </w:tcMar>
            <w:vAlign w:val="center"/>
          </w:tcPr>
          <w:p w14:paraId="2B38FDAB">
            <w:pPr>
              <w:spacing w:before="0" w:after="0" w:line="240" w:lineRule="auto"/>
              <w:jc w:val="center"/>
            </w:pPr>
            <w:r>
              <w:rPr>
                <w:rFonts w:ascii="Arial" w:hAnsi="Arial" w:eastAsia="Arial"/>
                <w:b/>
                <w:i w:val="0"/>
                <w:color w:val="FFFFFF"/>
                <w:sz w:val="14"/>
              </w:rPr>
              <w:t>ELSA</w:t>
            </w:r>
          </w:p>
        </w:tc>
        <w:tc>
          <w:tcPr>
            <w:tcW w:w="3168" w:type="dxa"/>
            <w:shd w:val="clear" w:color="auto" w:fill="355C7D"/>
            <w:tcMar>
              <w:top w:w="60" w:type="dxa"/>
              <w:left w:w="55" w:type="dxa"/>
              <w:bottom w:w="60" w:type="dxa"/>
              <w:right w:w="55" w:type="dxa"/>
            </w:tcMar>
            <w:vAlign w:val="center"/>
          </w:tcPr>
          <w:p w14:paraId="274BE8D1">
            <w:pPr>
              <w:spacing w:before="0" w:after="0" w:line="240" w:lineRule="auto"/>
              <w:jc w:val="center"/>
            </w:pPr>
            <w:r>
              <w:rPr>
                <w:rFonts w:ascii="Arial" w:hAnsi="Arial" w:eastAsia="Arial"/>
                <w:b/>
                <w:i w:val="0"/>
                <w:color w:val="FFFFFF"/>
                <w:sz w:val="14"/>
              </w:rPr>
              <w:t>Interpretation</w:t>
            </w:r>
          </w:p>
        </w:tc>
      </w:tr>
      <w:tr w14:paraId="4AEA060A">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1944" w:type="dxa"/>
            <w:shd w:val="clear" w:color="auto" w:fill="F6F8FA"/>
            <w:tcMar>
              <w:top w:w="50" w:type="dxa"/>
              <w:left w:w="55" w:type="dxa"/>
              <w:bottom w:w="50" w:type="dxa"/>
              <w:right w:w="55" w:type="dxa"/>
            </w:tcMar>
            <w:vAlign w:val="top"/>
          </w:tcPr>
          <w:p w14:paraId="4342893F">
            <w:pPr>
              <w:spacing w:before="0" w:after="0" w:line="240" w:lineRule="auto"/>
              <w:jc w:val="left"/>
            </w:pPr>
            <w:r>
              <w:rPr>
                <w:rFonts w:ascii="Arial" w:hAnsi="Arial" w:eastAsia="Arial"/>
                <w:b w:val="0"/>
                <w:i w:val="0"/>
                <w:sz w:val="14"/>
              </w:rPr>
              <w:t>Rolling-window implementation</w:t>
            </w:r>
          </w:p>
        </w:tc>
        <w:tc>
          <w:tcPr>
            <w:tcW w:w="1584" w:type="dxa"/>
            <w:shd w:val="clear" w:color="auto" w:fill="F6F8FA"/>
            <w:tcMar>
              <w:top w:w="50" w:type="dxa"/>
              <w:left w:w="55" w:type="dxa"/>
              <w:bottom w:w="50" w:type="dxa"/>
              <w:right w:w="55" w:type="dxa"/>
            </w:tcMar>
            <w:vAlign w:val="top"/>
          </w:tcPr>
          <w:p w14:paraId="521E3CB2">
            <w:pPr>
              <w:spacing w:before="0" w:after="0" w:line="240" w:lineRule="auto"/>
              <w:jc w:val="left"/>
            </w:pPr>
            <w:r>
              <w:rPr>
                <w:rFonts w:ascii="Arial" w:hAnsi="Arial" w:eastAsia="Arial"/>
                <w:b w:val="0"/>
                <w:i w:val="0"/>
                <w:sz w:val="14"/>
              </w:rPr>
              <w:t>History, current wave, and next-wave outcome</w:t>
            </w:r>
          </w:p>
        </w:tc>
        <w:tc>
          <w:tcPr>
            <w:tcW w:w="2951" w:type="dxa"/>
            <w:shd w:val="clear" w:color="auto" w:fill="F6F8FA"/>
            <w:tcMar>
              <w:top w:w="50" w:type="dxa"/>
              <w:left w:w="55" w:type="dxa"/>
              <w:bottom w:w="50" w:type="dxa"/>
              <w:right w:w="55" w:type="dxa"/>
            </w:tcMar>
            <w:vAlign w:val="top"/>
          </w:tcPr>
          <w:p w14:paraId="2898E135">
            <w:pPr>
              <w:spacing w:before="0" w:after="0" w:line="240" w:lineRule="auto"/>
              <w:jc w:val="left"/>
            </w:pPr>
            <w:r>
              <w:rPr>
                <w:rFonts w:ascii="Arial" w:hAnsi="Arial" w:eastAsia="Arial"/>
                <w:b w:val="0"/>
                <w:i w:val="0"/>
                <w:sz w:val="14"/>
              </w:rPr>
              <w:t>2012/2014 history → 2016 current → 2018 outcome; 2012/2014/2016 history → 2018 current → 2020 outcome; 2012/2014/2016/2018 history → 2020 current → 2022 outcome</w:t>
            </w:r>
          </w:p>
        </w:tc>
        <w:tc>
          <w:tcPr>
            <w:tcW w:w="2951" w:type="dxa"/>
            <w:shd w:val="clear" w:color="auto" w:fill="F6F8FA"/>
            <w:tcMar>
              <w:top w:w="50" w:type="dxa"/>
              <w:left w:w="55" w:type="dxa"/>
              <w:bottom w:w="50" w:type="dxa"/>
              <w:right w:w="55" w:type="dxa"/>
            </w:tcMar>
            <w:vAlign w:val="top"/>
          </w:tcPr>
          <w:p w14:paraId="21B46401">
            <w:pPr>
              <w:spacing w:before="0" w:after="0" w:line="240" w:lineRule="auto"/>
              <w:jc w:val="left"/>
            </w:pPr>
            <w:r>
              <w:rPr>
                <w:rFonts w:ascii="Arial" w:hAnsi="Arial" w:eastAsia="Arial"/>
                <w:b w:val="0"/>
                <w:i w:val="0"/>
                <w:sz w:val="14"/>
              </w:rPr>
              <w:t>W1/W2 history → W4 current → W5 outcome; W1/W2/W4 history → W5 current → W6 outcome; W1/W2/W4/W5 history → W6 current → W8 outcome; W1/W2/W4/W5/W6 history → W8 current → W9 outcome</w:t>
            </w:r>
          </w:p>
        </w:tc>
        <w:tc>
          <w:tcPr>
            <w:tcW w:w="3024" w:type="dxa"/>
            <w:shd w:val="clear" w:color="auto" w:fill="F6F8FA"/>
            <w:tcMar>
              <w:top w:w="50" w:type="dxa"/>
              <w:left w:w="55" w:type="dxa"/>
              <w:bottom w:w="50" w:type="dxa"/>
              <w:right w:w="55" w:type="dxa"/>
            </w:tcMar>
            <w:vAlign w:val="top"/>
          </w:tcPr>
          <w:p w14:paraId="46E0EFFE">
            <w:pPr>
              <w:spacing w:before="0" w:after="0" w:line="240" w:lineRule="auto"/>
              <w:jc w:val="left"/>
            </w:pPr>
            <w:r>
              <w:rPr>
                <w:rFonts w:ascii="Arial" w:hAnsi="Arial" w:eastAsia="Arial"/>
                <w:b w:val="0"/>
                <w:i w:val="0"/>
                <w:sz w:val="14"/>
              </w:rPr>
              <w:t>all eligible waves before W4 → W4 current → W5 outcome; all eligible waves before W5 → W5 current → W6 outcome; all eligible waves before W6 → W6 current → W7 outcome; all eligible waves before W7 → W7 current → W8 outcome; all eligible waves before W8 → W8 current → W9 outcome; all eligible waves before W9 → W9 current → W10 outcome</w:t>
            </w:r>
          </w:p>
        </w:tc>
        <w:tc>
          <w:tcPr>
            <w:tcW w:w="3168" w:type="dxa"/>
            <w:shd w:val="clear" w:color="auto" w:fill="F6F8FA"/>
            <w:tcMar>
              <w:top w:w="50" w:type="dxa"/>
              <w:left w:w="55" w:type="dxa"/>
              <w:bottom w:w="50" w:type="dxa"/>
              <w:right w:w="55" w:type="dxa"/>
            </w:tcMar>
            <w:vAlign w:val="top"/>
          </w:tcPr>
          <w:p w14:paraId="63BD826A">
            <w:pPr>
              <w:spacing w:before="0" w:after="0" w:line="240" w:lineRule="auto"/>
              <w:jc w:val="left"/>
            </w:pPr>
            <w:r>
              <w:rPr>
                <w:rFonts w:ascii="Arial" w:hAnsi="Arial" w:eastAsia="Arial"/>
                <w:b w:val="0"/>
                <w:i w:val="0"/>
                <w:sz w:val="14"/>
              </w:rPr>
              <w:t>Each person could contribute more than one eligible risk interval until the first incident event.</w:t>
            </w:r>
          </w:p>
        </w:tc>
      </w:tr>
      <w:tr w14:paraId="43484E37">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1944" w:type="dxa"/>
            <w:shd w:val="clear" w:color="auto" w:fill="FFFFFF"/>
            <w:tcMar>
              <w:top w:w="50" w:type="dxa"/>
              <w:left w:w="55" w:type="dxa"/>
              <w:bottom w:w="50" w:type="dxa"/>
              <w:right w:w="55" w:type="dxa"/>
            </w:tcMar>
            <w:vAlign w:val="top"/>
          </w:tcPr>
          <w:p w14:paraId="4B645CC8">
            <w:pPr>
              <w:spacing w:before="0" w:after="0" w:line="240" w:lineRule="auto"/>
              <w:jc w:val="left"/>
            </w:pPr>
            <w:r>
              <w:rPr>
                <w:rFonts w:ascii="Arial" w:hAnsi="Arial" w:eastAsia="Arial"/>
                <w:b w:val="0"/>
                <w:i w:val="0"/>
                <w:sz w:val="14"/>
              </w:rPr>
              <w:t>Minimum prior measurements</w:t>
            </w:r>
          </w:p>
        </w:tc>
        <w:tc>
          <w:tcPr>
            <w:tcW w:w="1584" w:type="dxa"/>
            <w:shd w:val="clear" w:color="auto" w:fill="FFFFFF"/>
            <w:tcMar>
              <w:top w:w="50" w:type="dxa"/>
              <w:left w:w="55" w:type="dxa"/>
              <w:bottom w:w="50" w:type="dxa"/>
              <w:right w:w="55" w:type="dxa"/>
            </w:tcMar>
            <w:vAlign w:val="top"/>
          </w:tcPr>
          <w:p w14:paraId="59660835">
            <w:pPr>
              <w:spacing w:before="0" w:after="0" w:line="240" w:lineRule="auto"/>
              <w:jc w:val="left"/>
            </w:pPr>
            <w:r>
              <w:rPr>
                <w:rFonts w:ascii="Arial" w:hAnsi="Arial" w:eastAsia="Arial"/>
                <w:b w:val="0"/>
                <w:i w:val="0"/>
                <w:sz w:val="14"/>
              </w:rPr>
              <w:t>Eligibility threshold</w:t>
            </w:r>
          </w:p>
        </w:tc>
        <w:tc>
          <w:tcPr>
            <w:tcW w:w="2951" w:type="dxa"/>
            <w:shd w:val="clear" w:color="auto" w:fill="FFFFFF"/>
            <w:tcMar>
              <w:top w:w="50" w:type="dxa"/>
              <w:left w:w="55" w:type="dxa"/>
              <w:bottom w:w="50" w:type="dxa"/>
              <w:right w:w="55" w:type="dxa"/>
            </w:tcMar>
            <w:vAlign w:val="top"/>
          </w:tcPr>
          <w:p w14:paraId="18A1F14B">
            <w:pPr>
              <w:spacing w:before="0" w:after="0" w:line="240" w:lineRule="auto"/>
              <w:jc w:val="left"/>
            </w:pPr>
            <w:r>
              <w:rPr>
                <w:rFonts w:ascii="Arial" w:hAnsi="Arial" w:eastAsia="Arial"/>
                <w:b w:val="0"/>
                <w:i w:val="0"/>
                <w:sz w:val="14"/>
              </w:rPr>
              <w:t>At least 2 prior CES-D-8 measurements</w:t>
            </w:r>
          </w:p>
        </w:tc>
        <w:tc>
          <w:tcPr>
            <w:tcW w:w="2951" w:type="dxa"/>
            <w:shd w:val="clear" w:color="auto" w:fill="FFFFFF"/>
            <w:tcMar>
              <w:top w:w="50" w:type="dxa"/>
              <w:left w:w="55" w:type="dxa"/>
              <w:bottom w:w="50" w:type="dxa"/>
              <w:right w:w="55" w:type="dxa"/>
            </w:tcMar>
            <w:vAlign w:val="top"/>
          </w:tcPr>
          <w:p w14:paraId="1ACB3F2C">
            <w:pPr>
              <w:spacing w:before="0" w:after="0" w:line="240" w:lineRule="auto"/>
              <w:jc w:val="left"/>
            </w:pPr>
            <w:r>
              <w:rPr>
                <w:rFonts w:ascii="Arial" w:hAnsi="Arial" w:eastAsia="Arial"/>
                <w:b w:val="0"/>
                <w:i w:val="0"/>
                <w:sz w:val="14"/>
              </w:rPr>
              <w:t>At least 2 prior EURO-D measurements</w:t>
            </w:r>
          </w:p>
        </w:tc>
        <w:tc>
          <w:tcPr>
            <w:tcW w:w="3024" w:type="dxa"/>
            <w:shd w:val="clear" w:color="auto" w:fill="FFFFFF"/>
            <w:tcMar>
              <w:top w:w="50" w:type="dxa"/>
              <w:left w:w="55" w:type="dxa"/>
              <w:bottom w:w="50" w:type="dxa"/>
              <w:right w:w="55" w:type="dxa"/>
            </w:tcMar>
            <w:vAlign w:val="top"/>
          </w:tcPr>
          <w:p w14:paraId="477E3B21">
            <w:pPr>
              <w:spacing w:before="0" w:after="0" w:line="240" w:lineRule="auto"/>
              <w:jc w:val="left"/>
            </w:pPr>
            <w:r>
              <w:rPr>
                <w:rFonts w:ascii="Arial" w:hAnsi="Arial" w:eastAsia="Arial"/>
                <w:b w:val="0"/>
                <w:i w:val="0"/>
                <w:sz w:val="14"/>
              </w:rPr>
              <w:t>At least 2 prior CES-D-8 measurements</w:t>
            </w:r>
          </w:p>
        </w:tc>
        <w:tc>
          <w:tcPr>
            <w:tcW w:w="3168" w:type="dxa"/>
            <w:shd w:val="clear" w:color="auto" w:fill="FFFFFF"/>
            <w:tcMar>
              <w:top w:w="50" w:type="dxa"/>
              <w:left w:w="55" w:type="dxa"/>
              <w:bottom w:w="50" w:type="dxa"/>
              <w:right w:w="55" w:type="dxa"/>
            </w:tcMar>
            <w:vAlign w:val="top"/>
          </w:tcPr>
          <w:p w14:paraId="1F767B58">
            <w:pPr>
              <w:spacing w:before="0" w:after="0" w:line="240" w:lineRule="auto"/>
              <w:jc w:val="left"/>
            </w:pPr>
            <w:r>
              <w:rPr>
                <w:rFonts w:ascii="Arial" w:hAnsi="Arial" w:eastAsia="Arial"/>
                <w:b w:val="0"/>
                <w:i w:val="0"/>
                <w:sz w:val="14"/>
              </w:rPr>
              <w:t>The minimum-history threshold was prespecified before outcome modeling.</w:t>
            </w:r>
          </w:p>
        </w:tc>
      </w:tr>
      <w:tr w14:paraId="32635FA7">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1944" w:type="dxa"/>
            <w:shd w:val="clear" w:color="auto" w:fill="F6F8FA"/>
            <w:tcMar>
              <w:top w:w="50" w:type="dxa"/>
              <w:left w:w="55" w:type="dxa"/>
              <w:bottom w:w="50" w:type="dxa"/>
              <w:right w:w="55" w:type="dxa"/>
            </w:tcMar>
            <w:vAlign w:val="top"/>
          </w:tcPr>
          <w:p w14:paraId="49AB7215">
            <w:pPr>
              <w:spacing w:before="0" w:after="0" w:line="240" w:lineRule="auto"/>
              <w:jc w:val="left"/>
            </w:pPr>
            <w:r>
              <w:rPr>
                <w:rFonts w:ascii="Arial" w:hAnsi="Arial" w:eastAsia="Arial"/>
                <w:b w:val="0"/>
                <w:i w:val="0"/>
                <w:sz w:val="14"/>
              </w:rPr>
              <w:t>Temporal information rule</w:t>
            </w:r>
          </w:p>
        </w:tc>
        <w:tc>
          <w:tcPr>
            <w:tcW w:w="1584" w:type="dxa"/>
            <w:shd w:val="clear" w:color="auto" w:fill="F6F8FA"/>
            <w:tcMar>
              <w:top w:w="50" w:type="dxa"/>
              <w:left w:w="55" w:type="dxa"/>
              <w:bottom w:w="50" w:type="dxa"/>
              <w:right w:w="55" w:type="dxa"/>
            </w:tcMar>
            <w:vAlign w:val="top"/>
          </w:tcPr>
          <w:p w14:paraId="1B2C98D3">
            <w:pPr>
              <w:spacing w:before="0" w:after="0" w:line="240" w:lineRule="auto"/>
              <w:jc w:val="left"/>
            </w:pPr>
            <w:r>
              <w:rPr>
                <w:rFonts w:ascii="Arial" w:hAnsi="Arial" w:eastAsia="Arial"/>
                <w:b w:val="0"/>
                <w:i w:val="0"/>
                <w:sz w:val="14"/>
              </w:rPr>
              <w:t>Future information</w:t>
            </w:r>
          </w:p>
        </w:tc>
        <w:tc>
          <w:tcPr>
            <w:tcW w:w="2951" w:type="dxa"/>
            <w:shd w:val="clear" w:color="auto" w:fill="F6F8FA"/>
            <w:tcMar>
              <w:top w:w="50" w:type="dxa"/>
              <w:left w:w="55" w:type="dxa"/>
              <w:bottom w:w="50" w:type="dxa"/>
              <w:right w:w="55" w:type="dxa"/>
            </w:tcMar>
            <w:vAlign w:val="top"/>
          </w:tcPr>
          <w:p w14:paraId="5FE11531">
            <w:pPr>
              <w:spacing w:before="0" w:after="0" w:line="240" w:lineRule="auto"/>
              <w:jc w:val="left"/>
            </w:pPr>
            <w:r>
              <w:rPr>
                <w:rFonts w:ascii="Arial" w:hAnsi="Arial" w:eastAsia="Arial"/>
                <w:b w:val="0"/>
                <w:i w:val="0"/>
                <w:sz w:val="14"/>
              </w:rPr>
              <w:t>Future CES-D-8 values were prohibited from earlier intervals</w:t>
            </w:r>
          </w:p>
        </w:tc>
        <w:tc>
          <w:tcPr>
            <w:tcW w:w="2951" w:type="dxa"/>
            <w:shd w:val="clear" w:color="auto" w:fill="F6F8FA"/>
            <w:tcMar>
              <w:top w:w="50" w:type="dxa"/>
              <w:left w:w="55" w:type="dxa"/>
              <w:bottom w:w="50" w:type="dxa"/>
              <w:right w:w="55" w:type="dxa"/>
            </w:tcMar>
            <w:vAlign w:val="top"/>
          </w:tcPr>
          <w:p w14:paraId="4B62E9A0">
            <w:pPr>
              <w:spacing w:before="0" w:after="0" w:line="240" w:lineRule="auto"/>
              <w:jc w:val="left"/>
            </w:pPr>
            <w:r>
              <w:rPr>
                <w:rFonts w:ascii="Arial" w:hAnsi="Arial" w:eastAsia="Arial"/>
                <w:b w:val="0"/>
                <w:i w:val="0"/>
                <w:sz w:val="14"/>
              </w:rPr>
              <w:t>Future EURO-D values were prohibited from earlier intervals</w:t>
            </w:r>
          </w:p>
        </w:tc>
        <w:tc>
          <w:tcPr>
            <w:tcW w:w="3024" w:type="dxa"/>
            <w:shd w:val="clear" w:color="auto" w:fill="F6F8FA"/>
            <w:tcMar>
              <w:top w:w="50" w:type="dxa"/>
              <w:left w:w="55" w:type="dxa"/>
              <w:bottom w:w="50" w:type="dxa"/>
              <w:right w:w="55" w:type="dxa"/>
            </w:tcMar>
            <w:vAlign w:val="top"/>
          </w:tcPr>
          <w:p w14:paraId="204333F0">
            <w:pPr>
              <w:spacing w:before="0" w:after="0" w:line="240" w:lineRule="auto"/>
              <w:jc w:val="left"/>
            </w:pPr>
            <w:r>
              <w:rPr>
                <w:rFonts w:ascii="Arial" w:hAnsi="Arial" w:eastAsia="Arial"/>
                <w:b w:val="0"/>
                <w:i w:val="0"/>
                <w:sz w:val="14"/>
              </w:rPr>
              <w:t>Future CES-D-8 values were prohibited from earlier intervals</w:t>
            </w:r>
          </w:p>
        </w:tc>
        <w:tc>
          <w:tcPr>
            <w:tcW w:w="3168" w:type="dxa"/>
            <w:shd w:val="clear" w:color="auto" w:fill="F6F8FA"/>
            <w:tcMar>
              <w:top w:w="50" w:type="dxa"/>
              <w:left w:w="55" w:type="dxa"/>
              <w:bottom w:w="50" w:type="dxa"/>
              <w:right w:w="55" w:type="dxa"/>
            </w:tcMar>
            <w:vAlign w:val="top"/>
          </w:tcPr>
          <w:p w14:paraId="114B5967">
            <w:pPr>
              <w:spacing w:before="0" w:after="0" w:line="240" w:lineRule="auto"/>
              <w:jc w:val="left"/>
            </w:pPr>
            <w:r>
              <w:rPr>
                <w:rFonts w:ascii="Arial" w:hAnsi="Arial" w:eastAsia="Arial"/>
                <w:b w:val="0"/>
                <w:i w:val="0"/>
                <w:sz w:val="14"/>
              </w:rPr>
              <w:t>The decomposition is strictly lagged.</w:t>
            </w:r>
          </w:p>
        </w:tc>
      </w:tr>
      <w:tr w14:paraId="3B215744">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1944" w:type="dxa"/>
            <w:shd w:val="clear" w:color="auto" w:fill="FFFFFF"/>
            <w:tcMar>
              <w:top w:w="50" w:type="dxa"/>
              <w:left w:w="55" w:type="dxa"/>
              <w:bottom w:w="50" w:type="dxa"/>
              <w:right w:w="55" w:type="dxa"/>
            </w:tcMar>
            <w:vAlign w:val="top"/>
          </w:tcPr>
          <w:p w14:paraId="0B96C5A8">
            <w:pPr>
              <w:spacing w:before="0" w:after="0" w:line="240" w:lineRule="auto"/>
              <w:jc w:val="left"/>
            </w:pPr>
            <w:r>
              <w:rPr>
                <w:rFonts w:ascii="Arial" w:hAnsi="Arial" w:eastAsia="Arial"/>
                <w:b w:val="0"/>
                <w:i w:val="0"/>
                <w:sz w:val="14"/>
              </w:rPr>
              <w:t>Primary estimation</w:t>
            </w:r>
          </w:p>
        </w:tc>
        <w:tc>
          <w:tcPr>
            <w:tcW w:w="1584" w:type="dxa"/>
            <w:shd w:val="clear" w:color="auto" w:fill="FFFFFF"/>
            <w:tcMar>
              <w:top w:w="50" w:type="dxa"/>
              <w:left w:w="55" w:type="dxa"/>
              <w:bottom w:w="50" w:type="dxa"/>
              <w:right w:w="55" w:type="dxa"/>
            </w:tcMar>
            <w:vAlign w:val="top"/>
          </w:tcPr>
          <w:p w14:paraId="0AEA875F">
            <w:pPr>
              <w:spacing w:before="0" w:after="0" w:line="240" w:lineRule="auto"/>
              <w:jc w:val="left"/>
            </w:pPr>
            <w:r>
              <w:rPr>
                <w:rFonts w:ascii="Arial" w:hAnsi="Arial" w:eastAsia="Arial"/>
                <w:b w:val="0"/>
                <w:i w:val="0"/>
                <w:sz w:val="14"/>
              </w:rPr>
              <w:t>Model family</w:t>
            </w:r>
          </w:p>
        </w:tc>
        <w:tc>
          <w:tcPr>
            <w:tcW w:w="2951" w:type="dxa"/>
            <w:shd w:val="clear" w:color="auto" w:fill="FFFFFF"/>
            <w:tcMar>
              <w:top w:w="50" w:type="dxa"/>
              <w:left w:w="55" w:type="dxa"/>
              <w:bottom w:w="50" w:type="dxa"/>
              <w:right w:w="55" w:type="dxa"/>
            </w:tcMar>
            <w:vAlign w:val="top"/>
          </w:tcPr>
          <w:p w14:paraId="4C794278">
            <w:pPr>
              <w:spacing w:before="0" w:after="0" w:line="240" w:lineRule="auto"/>
              <w:jc w:val="left"/>
            </w:pPr>
            <w:r>
              <w:rPr>
                <w:rFonts w:ascii="Arial" w:hAnsi="Arial" w:eastAsia="Arial"/>
                <w:b w:val="0"/>
                <w:i w:val="0"/>
                <w:sz w:val="14"/>
              </w:rPr>
              <w:t>Complementary log-log discrete-time model with respondent-clustered robust standard errors and interval fixed effects</w:t>
            </w:r>
          </w:p>
        </w:tc>
        <w:tc>
          <w:tcPr>
            <w:tcW w:w="2951" w:type="dxa"/>
            <w:shd w:val="clear" w:color="auto" w:fill="FFFFFF"/>
            <w:tcMar>
              <w:top w:w="50" w:type="dxa"/>
              <w:left w:w="55" w:type="dxa"/>
              <w:bottom w:w="50" w:type="dxa"/>
              <w:right w:w="55" w:type="dxa"/>
            </w:tcMar>
            <w:vAlign w:val="top"/>
          </w:tcPr>
          <w:p w14:paraId="4C678D6B">
            <w:pPr>
              <w:spacing w:before="0" w:after="0" w:line="240" w:lineRule="auto"/>
              <w:jc w:val="left"/>
            </w:pPr>
            <w:r>
              <w:rPr>
                <w:rFonts w:ascii="Arial" w:hAnsi="Arial" w:eastAsia="Arial"/>
                <w:b w:val="0"/>
                <w:i w:val="0"/>
                <w:sz w:val="14"/>
              </w:rPr>
              <w:t>Complementary log-log discrete-time model with respondent-clustered robust standard errors, interval fixed effects, and country fixed effects</w:t>
            </w:r>
          </w:p>
        </w:tc>
        <w:tc>
          <w:tcPr>
            <w:tcW w:w="3024" w:type="dxa"/>
            <w:shd w:val="clear" w:color="auto" w:fill="FFFFFF"/>
            <w:tcMar>
              <w:top w:w="50" w:type="dxa"/>
              <w:left w:w="55" w:type="dxa"/>
              <w:bottom w:w="50" w:type="dxa"/>
              <w:right w:w="55" w:type="dxa"/>
            </w:tcMar>
            <w:vAlign w:val="top"/>
          </w:tcPr>
          <w:p w14:paraId="6B07A70D">
            <w:pPr>
              <w:spacing w:before="0" w:after="0" w:line="240" w:lineRule="auto"/>
              <w:jc w:val="left"/>
            </w:pPr>
            <w:r>
              <w:rPr>
                <w:rFonts w:ascii="Arial" w:hAnsi="Arial" w:eastAsia="Arial"/>
                <w:b w:val="0"/>
                <w:i w:val="0"/>
                <w:sz w:val="14"/>
              </w:rPr>
              <w:t>Complementary log-log discrete-time model with respondent-clustered robust standard errors and interval fixed effects</w:t>
            </w:r>
          </w:p>
        </w:tc>
        <w:tc>
          <w:tcPr>
            <w:tcW w:w="3168" w:type="dxa"/>
            <w:shd w:val="clear" w:color="auto" w:fill="FFFFFF"/>
            <w:tcMar>
              <w:top w:w="50" w:type="dxa"/>
              <w:left w:w="55" w:type="dxa"/>
              <w:bottom w:w="50" w:type="dxa"/>
              <w:right w:w="55" w:type="dxa"/>
            </w:tcMar>
            <w:vAlign w:val="top"/>
          </w:tcPr>
          <w:p w14:paraId="7BC13246">
            <w:pPr>
              <w:spacing w:before="0" w:after="0" w:line="240" w:lineRule="auto"/>
              <w:jc w:val="left"/>
            </w:pPr>
            <w:r>
              <w:rPr>
                <w:rFonts w:ascii="Arial" w:hAnsi="Arial" w:eastAsia="Arial"/>
                <w:b w:val="0"/>
                <w:i w:val="0"/>
                <w:sz w:val="14"/>
              </w:rPr>
              <w:t>Cohort-specific SD estimates are used for within-cohort process replication; raw CES-D points are used for formal HRS–ELSA heterogeneity.</w:t>
            </w:r>
          </w:p>
        </w:tc>
      </w:tr>
    </w:tbl>
    <w:p w14:paraId="7F24D73D">
      <w:pPr>
        <w:spacing w:before="0" w:after="40"/>
      </w:pPr>
    </w:p>
    <w:p w14:paraId="2E6C616D">
      <w:pPr>
        <w:pStyle w:val="165"/>
        <w:keepNext/>
      </w:pPr>
      <w:r>
        <w:rPr>
          <w:rFonts w:ascii="Arial" w:hAnsi="Arial" w:eastAsia="Arial"/>
          <w:b/>
          <w:i w:val="0"/>
          <w:color w:val="355C7D"/>
          <w:sz w:val="17"/>
        </w:rPr>
        <w:t>Panel C. Measurement comparability</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2614"/>
        <w:gridCol w:w="2614"/>
        <w:gridCol w:w="2614"/>
        <w:gridCol w:w="2614"/>
        <w:gridCol w:w="2614"/>
        <w:gridCol w:w="2614"/>
      </w:tblGrid>
      <w:tr w14:paraId="5D9EFDE7">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1944" w:type="dxa"/>
            <w:shd w:val="clear" w:color="auto" w:fill="355C7D"/>
            <w:tcMar>
              <w:top w:w="60" w:type="dxa"/>
              <w:left w:w="55" w:type="dxa"/>
              <w:bottom w:w="60" w:type="dxa"/>
              <w:right w:w="55" w:type="dxa"/>
            </w:tcMar>
            <w:vAlign w:val="center"/>
          </w:tcPr>
          <w:p w14:paraId="3C061632">
            <w:pPr>
              <w:spacing w:before="0" w:after="0" w:line="240" w:lineRule="auto"/>
              <w:jc w:val="center"/>
            </w:pPr>
            <w:r>
              <w:rPr>
                <w:rFonts w:ascii="Arial" w:hAnsi="Arial" w:eastAsia="Arial"/>
                <w:b/>
                <w:i w:val="0"/>
                <w:color w:val="FFFFFF"/>
                <w:sz w:val="14"/>
              </w:rPr>
              <w:t>Domain</w:t>
            </w:r>
          </w:p>
        </w:tc>
        <w:tc>
          <w:tcPr>
            <w:tcW w:w="1584" w:type="dxa"/>
            <w:shd w:val="clear" w:color="auto" w:fill="355C7D"/>
            <w:tcMar>
              <w:top w:w="60" w:type="dxa"/>
              <w:left w:w="55" w:type="dxa"/>
              <w:bottom w:w="60" w:type="dxa"/>
              <w:right w:w="55" w:type="dxa"/>
            </w:tcMar>
            <w:vAlign w:val="center"/>
          </w:tcPr>
          <w:p w14:paraId="2ED184F2">
            <w:pPr>
              <w:spacing w:before="0" w:after="0" w:line="240" w:lineRule="auto"/>
              <w:jc w:val="center"/>
            </w:pPr>
            <w:r>
              <w:rPr>
                <w:rFonts w:ascii="Arial" w:hAnsi="Arial" w:eastAsia="Arial"/>
                <w:b/>
                <w:i w:val="0"/>
                <w:color w:val="FFFFFF"/>
                <w:sz w:val="14"/>
              </w:rPr>
              <w:t>Item</w:t>
            </w:r>
          </w:p>
        </w:tc>
        <w:tc>
          <w:tcPr>
            <w:tcW w:w="2951" w:type="dxa"/>
            <w:shd w:val="clear" w:color="auto" w:fill="355C7D"/>
            <w:tcMar>
              <w:top w:w="60" w:type="dxa"/>
              <w:left w:w="55" w:type="dxa"/>
              <w:bottom w:w="60" w:type="dxa"/>
              <w:right w:w="55" w:type="dxa"/>
            </w:tcMar>
            <w:vAlign w:val="center"/>
          </w:tcPr>
          <w:p w14:paraId="11E95FF5">
            <w:pPr>
              <w:spacing w:before="0" w:after="0" w:line="240" w:lineRule="auto"/>
              <w:jc w:val="center"/>
            </w:pPr>
            <w:r>
              <w:rPr>
                <w:rFonts w:ascii="Arial" w:hAnsi="Arial" w:eastAsia="Arial"/>
                <w:b/>
                <w:i w:val="0"/>
                <w:color w:val="FFFFFF"/>
                <w:sz w:val="14"/>
              </w:rPr>
              <w:t>HRS</w:t>
            </w:r>
          </w:p>
        </w:tc>
        <w:tc>
          <w:tcPr>
            <w:tcW w:w="2951" w:type="dxa"/>
            <w:shd w:val="clear" w:color="auto" w:fill="355C7D"/>
            <w:tcMar>
              <w:top w:w="60" w:type="dxa"/>
              <w:left w:w="55" w:type="dxa"/>
              <w:bottom w:w="60" w:type="dxa"/>
              <w:right w:w="55" w:type="dxa"/>
            </w:tcMar>
            <w:vAlign w:val="center"/>
          </w:tcPr>
          <w:p w14:paraId="3ADE10B1">
            <w:pPr>
              <w:spacing w:before="0" w:after="0" w:line="240" w:lineRule="auto"/>
              <w:jc w:val="center"/>
            </w:pPr>
            <w:r>
              <w:rPr>
                <w:rFonts w:ascii="Arial" w:hAnsi="Arial" w:eastAsia="Arial"/>
                <w:b/>
                <w:i w:val="0"/>
                <w:color w:val="FFFFFF"/>
                <w:sz w:val="14"/>
              </w:rPr>
              <w:t>SHARE</w:t>
            </w:r>
          </w:p>
        </w:tc>
        <w:tc>
          <w:tcPr>
            <w:tcW w:w="3024" w:type="dxa"/>
            <w:shd w:val="clear" w:color="auto" w:fill="355C7D"/>
            <w:tcMar>
              <w:top w:w="60" w:type="dxa"/>
              <w:left w:w="55" w:type="dxa"/>
              <w:bottom w:w="60" w:type="dxa"/>
              <w:right w:w="55" w:type="dxa"/>
            </w:tcMar>
            <w:vAlign w:val="center"/>
          </w:tcPr>
          <w:p w14:paraId="7B335C54">
            <w:pPr>
              <w:spacing w:before="0" w:after="0" w:line="240" w:lineRule="auto"/>
              <w:jc w:val="center"/>
            </w:pPr>
            <w:r>
              <w:rPr>
                <w:rFonts w:ascii="Arial" w:hAnsi="Arial" w:eastAsia="Arial"/>
                <w:b/>
                <w:i w:val="0"/>
                <w:color w:val="FFFFFF"/>
                <w:sz w:val="14"/>
              </w:rPr>
              <w:t>ELSA</w:t>
            </w:r>
          </w:p>
        </w:tc>
        <w:tc>
          <w:tcPr>
            <w:tcW w:w="3168" w:type="dxa"/>
            <w:shd w:val="clear" w:color="auto" w:fill="355C7D"/>
            <w:tcMar>
              <w:top w:w="60" w:type="dxa"/>
              <w:left w:w="55" w:type="dxa"/>
              <w:bottom w:w="60" w:type="dxa"/>
              <w:right w:w="55" w:type="dxa"/>
            </w:tcMar>
            <w:vAlign w:val="center"/>
          </w:tcPr>
          <w:p w14:paraId="7AD00471">
            <w:pPr>
              <w:spacing w:before="0" w:after="0" w:line="240" w:lineRule="auto"/>
              <w:jc w:val="center"/>
            </w:pPr>
            <w:r>
              <w:rPr>
                <w:rFonts w:ascii="Arial" w:hAnsi="Arial" w:eastAsia="Arial"/>
                <w:b/>
                <w:i w:val="0"/>
                <w:color w:val="FFFFFF"/>
                <w:sz w:val="14"/>
              </w:rPr>
              <w:t>Interpretation</w:t>
            </w:r>
          </w:p>
        </w:tc>
      </w:tr>
      <w:tr w14:paraId="5557E463">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1944" w:type="dxa"/>
            <w:shd w:val="clear" w:color="auto" w:fill="F6F8FA"/>
            <w:tcMar>
              <w:top w:w="50" w:type="dxa"/>
              <w:left w:w="55" w:type="dxa"/>
              <w:bottom w:w="50" w:type="dxa"/>
              <w:right w:w="55" w:type="dxa"/>
            </w:tcMar>
            <w:vAlign w:val="top"/>
          </w:tcPr>
          <w:p w14:paraId="1CA93D9A">
            <w:pPr>
              <w:spacing w:before="0" w:after="0" w:line="240" w:lineRule="auto"/>
              <w:jc w:val="left"/>
            </w:pPr>
            <w:r>
              <w:rPr>
                <w:rFonts w:ascii="Arial" w:hAnsi="Arial" w:eastAsia="Arial"/>
                <w:b w:val="0"/>
                <w:i w:val="0"/>
                <w:sz w:val="14"/>
              </w:rPr>
              <w:t>Within-HRS longitudinal invariance</w:t>
            </w:r>
          </w:p>
        </w:tc>
        <w:tc>
          <w:tcPr>
            <w:tcW w:w="1584" w:type="dxa"/>
            <w:shd w:val="clear" w:color="auto" w:fill="F6F8FA"/>
            <w:tcMar>
              <w:top w:w="50" w:type="dxa"/>
              <w:left w:w="55" w:type="dxa"/>
              <w:bottom w:w="50" w:type="dxa"/>
              <w:right w:w="55" w:type="dxa"/>
            </w:tcMar>
            <w:vAlign w:val="top"/>
          </w:tcPr>
          <w:p w14:paraId="7DEA27CE">
            <w:pPr>
              <w:spacing w:before="0" w:after="0" w:line="240" w:lineRule="auto"/>
              <w:jc w:val="left"/>
            </w:pPr>
            <w:r>
              <w:rPr>
                <w:rFonts w:ascii="Arial" w:hAnsi="Arial" w:eastAsia="Arial"/>
                <w:b w:val="0"/>
                <w:i w:val="0"/>
                <w:sz w:val="14"/>
              </w:rPr>
              <w:t>CES-D-8 loading and threshold invariance</w:t>
            </w:r>
          </w:p>
        </w:tc>
        <w:tc>
          <w:tcPr>
            <w:tcW w:w="2951" w:type="dxa"/>
            <w:shd w:val="clear" w:color="auto" w:fill="F6F8FA"/>
            <w:tcMar>
              <w:top w:w="50" w:type="dxa"/>
              <w:left w:w="55" w:type="dxa"/>
              <w:bottom w:w="50" w:type="dxa"/>
              <w:right w:w="55" w:type="dxa"/>
            </w:tcMar>
            <w:vAlign w:val="top"/>
          </w:tcPr>
          <w:p w14:paraId="69A333AC">
            <w:pPr>
              <w:spacing w:before="0" w:after="0" w:line="240" w:lineRule="auto"/>
              <w:jc w:val="left"/>
            </w:pPr>
            <w:r>
              <w:rPr>
                <w:rFonts w:ascii="Arial" w:hAnsi="Arial" w:eastAsia="Arial"/>
                <w:b w:val="0"/>
                <w:i w:val="0"/>
                <w:sz w:val="14"/>
              </w:rPr>
              <w:t>Practical loading and threshold invariance was supported across HRS 2012, 2014, and 2016.</w:t>
            </w:r>
          </w:p>
        </w:tc>
        <w:tc>
          <w:tcPr>
            <w:tcW w:w="2951" w:type="dxa"/>
            <w:shd w:val="clear" w:color="auto" w:fill="F6F8FA"/>
            <w:tcMar>
              <w:top w:w="50" w:type="dxa"/>
              <w:left w:w="55" w:type="dxa"/>
              <w:bottom w:w="50" w:type="dxa"/>
              <w:right w:w="55" w:type="dxa"/>
            </w:tcMar>
            <w:vAlign w:val="top"/>
          </w:tcPr>
          <w:p w14:paraId="2AA98450">
            <w:pPr>
              <w:spacing w:before="0" w:after="0" w:line="240" w:lineRule="auto"/>
              <w:jc w:val="left"/>
            </w:pPr>
            <w:r>
              <w:rPr>
                <w:rFonts w:ascii="Arial" w:hAnsi="Arial" w:eastAsia="Arial"/>
                <w:b w:val="0"/>
                <w:i w:val="0"/>
                <w:sz w:val="14"/>
              </w:rPr>
              <w:t>Not tested because SHARE used EURO-D</w:t>
            </w:r>
          </w:p>
        </w:tc>
        <w:tc>
          <w:tcPr>
            <w:tcW w:w="3024" w:type="dxa"/>
            <w:shd w:val="clear" w:color="auto" w:fill="F6F8FA"/>
            <w:tcMar>
              <w:top w:w="50" w:type="dxa"/>
              <w:left w:w="55" w:type="dxa"/>
              <w:bottom w:w="50" w:type="dxa"/>
              <w:right w:w="55" w:type="dxa"/>
            </w:tcMar>
            <w:vAlign w:val="top"/>
          </w:tcPr>
          <w:p w14:paraId="4144DAC7">
            <w:pPr>
              <w:spacing w:before="0" w:after="0" w:line="240" w:lineRule="auto"/>
              <w:jc w:val="left"/>
            </w:pPr>
            <w:r>
              <w:rPr>
                <w:rFonts w:ascii="Arial" w:hAnsi="Arial" w:eastAsia="Arial"/>
                <w:b w:val="0"/>
                <w:i w:val="0"/>
                <w:sz w:val="14"/>
              </w:rPr>
              <w:t>No separate longitudinal item-invariance claim promoted</w:t>
            </w:r>
          </w:p>
        </w:tc>
        <w:tc>
          <w:tcPr>
            <w:tcW w:w="3168" w:type="dxa"/>
            <w:shd w:val="clear" w:color="auto" w:fill="F6F8FA"/>
            <w:tcMar>
              <w:top w:w="50" w:type="dxa"/>
              <w:left w:w="55" w:type="dxa"/>
              <w:bottom w:w="50" w:type="dxa"/>
              <w:right w:w="55" w:type="dxa"/>
            </w:tcMar>
            <w:vAlign w:val="top"/>
          </w:tcPr>
          <w:p w14:paraId="3B988E1C">
            <w:pPr>
              <w:spacing w:before="0" w:after="0" w:line="240" w:lineRule="auto"/>
              <w:jc w:val="left"/>
            </w:pPr>
            <w:r>
              <w:rPr>
                <w:rFonts w:ascii="Arial" w:hAnsi="Arial" w:eastAsia="Arial"/>
                <w:b w:val="0"/>
                <w:i w:val="0"/>
                <w:sz w:val="14"/>
              </w:rPr>
              <w:t>The one-factor CES-D structure showed acceptable practical loading and threshold invariance across 2012, 2014, and 2016. The raw 0-8 score remains the primary measure; invariant-factor scores may be used as a sensitivity analysis.</w:t>
            </w:r>
          </w:p>
        </w:tc>
      </w:tr>
      <w:tr w14:paraId="4BB89B0B">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1944" w:type="dxa"/>
            <w:shd w:val="clear" w:color="auto" w:fill="FFFFFF"/>
            <w:tcMar>
              <w:top w:w="50" w:type="dxa"/>
              <w:left w:w="55" w:type="dxa"/>
              <w:bottom w:w="50" w:type="dxa"/>
              <w:right w:w="55" w:type="dxa"/>
            </w:tcMar>
            <w:vAlign w:val="top"/>
          </w:tcPr>
          <w:p w14:paraId="28144453">
            <w:pPr>
              <w:spacing w:before="0" w:after="0" w:line="240" w:lineRule="auto"/>
              <w:jc w:val="left"/>
            </w:pPr>
            <w:r>
              <w:rPr>
                <w:rFonts w:ascii="Arial" w:hAnsi="Arial" w:eastAsia="Arial"/>
                <w:b w:val="0"/>
                <w:i w:val="0"/>
                <w:sz w:val="14"/>
              </w:rPr>
              <w:t>HRS–ELSA item-level comparability</w:t>
            </w:r>
          </w:p>
        </w:tc>
        <w:tc>
          <w:tcPr>
            <w:tcW w:w="1584" w:type="dxa"/>
            <w:shd w:val="clear" w:color="auto" w:fill="FFFFFF"/>
            <w:tcMar>
              <w:top w:w="50" w:type="dxa"/>
              <w:left w:w="55" w:type="dxa"/>
              <w:bottom w:w="50" w:type="dxa"/>
              <w:right w:w="55" w:type="dxa"/>
            </w:tcMar>
            <w:vAlign w:val="top"/>
          </w:tcPr>
          <w:p w14:paraId="44E72EE1">
            <w:pPr>
              <w:spacing w:before="0" w:after="0" w:line="240" w:lineRule="auto"/>
              <w:jc w:val="left"/>
            </w:pPr>
            <w:r>
              <w:rPr>
                <w:rFonts w:ascii="Arial" w:hAnsi="Arial" w:eastAsia="Arial"/>
                <w:b w:val="0"/>
                <w:i w:val="0"/>
                <w:sz w:val="14"/>
              </w:rPr>
              <w:t>Repeated-item harmonization</w:t>
            </w:r>
          </w:p>
        </w:tc>
        <w:tc>
          <w:tcPr>
            <w:tcW w:w="2951" w:type="dxa"/>
            <w:shd w:val="clear" w:color="auto" w:fill="FFFFFF"/>
            <w:tcMar>
              <w:top w:w="50" w:type="dxa"/>
              <w:left w:w="55" w:type="dxa"/>
              <w:bottom w:w="50" w:type="dxa"/>
              <w:right w:w="55" w:type="dxa"/>
            </w:tcMar>
            <w:vAlign w:val="top"/>
          </w:tcPr>
          <w:p w14:paraId="662B170E">
            <w:pPr>
              <w:spacing w:before="0" w:after="0" w:line="240" w:lineRule="auto"/>
              <w:jc w:val="left"/>
            </w:pPr>
            <w:r>
              <w:rPr>
                <w:rFonts w:ascii="Arial" w:hAnsi="Arial" w:eastAsia="Arial"/>
                <w:b w:val="0"/>
                <w:i w:val="0"/>
                <w:sz w:val="14"/>
              </w:rPr>
              <w:t>Eight CES-D items available across 2012, 2014, and 2016</w:t>
            </w:r>
          </w:p>
        </w:tc>
        <w:tc>
          <w:tcPr>
            <w:tcW w:w="2951" w:type="dxa"/>
            <w:shd w:val="clear" w:color="auto" w:fill="FFFFFF"/>
            <w:tcMar>
              <w:top w:w="50" w:type="dxa"/>
              <w:left w:w="55" w:type="dxa"/>
              <w:bottom w:w="50" w:type="dxa"/>
              <w:right w:w="55" w:type="dxa"/>
            </w:tcMar>
            <w:vAlign w:val="top"/>
          </w:tcPr>
          <w:p w14:paraId="69F71DAD">
            <w:pPr>
              <w:spacing w:before="0" w:after="0" w:line="240" w:lineRule="auto"/>
              <w:jc w:val="left"/>
            </w:pPr>
            <w:r>
              <w:rPr>
                <w:rFonts w:ascii="Arial" w:hAnsi="Arial" w:eastAsia="Arial"/>
                <w:b w:val="0"/>
                <w:i w:val="0"/>
                <w:sz w:val="14"/>
              </w:rPr>
              <w:t>Not item-harmonized to CES-D-8</w:t>
            </w:r>
          </w:p>
        </w:tc>
        <w:tc>
          <w:tcPr>
            <w:tcW w:w="3024" w:type="dxa"/>
            <w:shd w:val="clear" w:color="auto" w:fill="FFFFFF"/>
            <w:tcMar>
              <w:top w:w="50" w:type="dxa"/>
              <w:left w:w="55" w:type="dxa"/>
              <w:bottom w:w="50" w:type="dxa"/>
              <w:right w:w="55" w:type="dxa"/>
            </w:tcMar>
            <w:vAlign w:val="top"/>
          </w:tcPr>
          <w:p w14:paraId="12F89448">
            <w:pPr>
              <w:spacing w:before="0" w:after="0" w:line="240" w:lineRule="auto"/>
              <w:jc w:val="left"/>
            </w:pPr>
            <w:r>
              <w:rPr>
                <w:rFonts w:ascii="Arial" w:hAnsi="Arial" w:eastAsia="Arial"/>
                <w:b w:val="0"/>
                <w:i w:val="0"/>
                <w:sz w:val="14"/>
              </w:rPr>
              <w:t>Repeated CES-D-8 total-score process analysis was feasible, but full item-level harmonization and longitudinal invariance were not established.</w:t>
            </w:r>
          </w:p>
        </w:tc>
        <w:tc>
          <w:tcPr>
            <w:tcW w:w="3168" w:type="dxa"/>
            <w:shd w:val="clear" w:color="auto" w:fill="FFFFFF"/>
            <w:tcMar>
              <w:top w:w="50" w:type="dxa"/>
              <w:left w:w="55" w:type="dxa"/>
              <w:bottom w:w="50" w:type="dxa"/>
              <w:right w:w="55" w:type="dxa"/>
            </w:tcMar>
            <w:vAlign w:val="top"/>
          </w:tcPr>
          <w:p w14:paraId="44EA4D10">
            <w:pPr>
              <w:spacing w:before="0" w:after="0" w:line="240" w:lineRule="auto"/>
              <w:jc w:val="left"/>
            </w:pPr>
            <w:r>
              <w:rPr>
                <w:rFonts w:ascii="Arial" w:hAnsi="Arial" w:eastAsia="Arial"/>
                <w:b w:val="0"/>
                <w:i w:val="0"/>
                <w:sz w:val="14"/>
              </w:rPr>
              <w:t>ELSA feasibility supported total-score process analysis but did not justify a full cross-cohort item-level invariance claim.</w:t>
            </w:r>
          </w:p>
        </w:tc>
      </w:tr>
      <w:tr w14:paraId="6F3D70B4">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1944" w:type="dxa"/>
            <w:shd w:val="clear" w:color="auto" w:fill="F6F8FA"/>
            <w:tcMar>
              <w:top w:w="50" w:type="dxa"/>
              <w:left w:w="55" w:type="dxa"/>
              <w:bottom w:w="50" w:type="dxa"/>
              <w:right w:w="55" w:type="dxa"/>
            </w:tcMar>
            <w:vAlign w:val="top"/>
          </w:tcPr>
          <w:p w14:paraId="1D3B8F70">
            <w:pPr>
              <w:spacing w:before="0" w:after="0" w:line="240" w:lineRule="auto"/>
              <w:jc w:val="left"/>
            </w:pPr>
            <w:r>
              <w:rPr>
                <w:rFonts w:ascii="Arial" w:hAnsi="Arial" w:eastAsia="Arial"/>
                <w:b w:val="0"/>
                <w:i w:val="0"/>
                <w:sz w:val="14"/>
              </w:rPr>
              <w:t>SHARE EURO-D comparability</w:t>
            </w:r>
          </w:p>
        </w:tc>
        <w:tc>
          <w:tcPr>
            <w:tcW w:w="1584" w:type="dxa"/>
            <w:shd w:val="clear" w:color="auto" w:fill="F6F8FA"/>
            <w:tcMar>
              <w:top w:w="50" w:type="dxa"/>
              <w:left w:w="55" w:type="dxa"/>
              <w:bottom w:w="50" w:type="dxa"/>
              <w:right w:w="55" w:type="dxa"/>
            </w:tcMar>
            <w:vAlign w:val="top"/>
          </w:tcPr>
          <w:p w14:paraId="4687E6F1">
            <w:pPr>
              <w:spacing w:before="0" w:after="0" w:line="240" w:lineRule="auto"/>
              <w:jc w:val="left"/>
            </w:pPr>
            <w:r>
              <w:rPr>
                <w:rFonts w:ascii="Arial" w:hAnsi="Arial" w:eastAsia="Arial"/>
                <w:b w:val="0"/>
                <w:i w:val="0"/>
                <w:sz w:val="14"/>
              </w:rPr>
              <w:t>Different psychological instrument</w:t>
            </w:r>
          </w:p>
        </w:tc>
        <w:tc>
          <w:tcPr>
            <w:tcW w:w="2951" w:type="dxa"/>
            <w:shd w:val="clear" w:color="auto" w:fill="F6F8FA"/>
            <w:tcMar>
              <w:top w:w="50" w:type="dxa"/>
              <w:left w:w="55" w:type="dxa"/>
              <w:bottom w:w="50" w:type="dxa"/>
              <w:right w:w="55" w:type="dxa"/>
            </w:tcMar>
            <w:vAlign w:val="top"/>
          </w:tcPr>
          <w:p w14:paraId="084079E1">
            <w:pPr>
              <w:spacing w:before="0" w:after="0" w:line="240" w:lineRule="auto"/>
              <w:jc w:val="left"/>
            </w:pPr>
            <w:r>
              <w:rPr>
                <w:rFonts w:ascii="Arial" w:hAnsi="Arial" w:eastAsia="Arial"/>
                <w:b w:val="0"/>
                <w:i w:val="0"/>
                <w:sz w:val="14"/>
              </w:rPr>
              <w:t>Not applicable</w:t>
            </w:r>
          </w:p>
        </w:tc>
        <w:tc>
          <w:tcPr>
            <w:tcW w:w="2951" w:type="dxa"/>
            <w:shd w:val="clear" w:color="auto" w:fill="F6F8FA"/>
            <w:tcMar>
              <w:top w:w="50" w:type="dxa"/>
              <w:left w:w="55" w:type="dxa"/>
              <w:bottom w:w="50" w:type="dxa"/>
              <w:right w:w="55" w:type="dxa"/>
            </w:tcMar>
            <w:vAlign w:val="top"/>
          </w:tcPr>
          <w:p w14:paraId="02C717BA">
            <w:pPr>
              <w:spacing w:before="0" w:after="0" w:line="240" w:lineRule="auto"/>
              <w:jc w:val="left"/>
            </w:pPr>
            <w:r>
              <w:rPr>
                <w:rFonts w:ascii="Arial" w:hAnsi="Arial" w:eastAsia="Arial"/>
                <w:b w:val="0"/>
                <w:i w:val="0"/>
                <w:sz w:val="14"/>
              </w:rPr>
              <w:t>EURO-D was used as an independent measure of the same broad depressive-symptom construct rather than as an item-equivalent CES-D measure.</w:t>
            </w:r>
          </w:p>
        </w:tc>
        <w:tc>
          <w:tcPr>
            <w:tcW w:w="3024" w:type="dxa"/>
            <w:shd w:val="clear" w:color="auto" w:fill="F6F8FA"/>
            <w:tcMar>
              <w:top w:w="50" w:type="dxa"/>
              <w:left w:w="55" w:type="dxa"/>
              <w:bottom w:w="50" w:type="dxa"/>
              <w:right w:w="55" w:type="dxa"/>
            </w:tcMar>
            <w:vAlign w:val="top"/>
          </w:tcPr>
          <w:p w14:paraId="15B8B4A8">
            <w:pPr>
              <w:spacing w:before="0" w:after="0" w:line="240" w:lineRule="auto"/>
              <w:jc w:val="left"/>
            </w:pPr>
            <w:r>
              <w:rPr>
                <w:rFonts w:ascii="Arial" w:hAnsi="Arial" w:eastAsia="Arial"/>
                <w:b w:val="0"/>
                <w:i w:val="0"/>
                <w:sz w:val="14"/>
              </w:rPr>
              <w:t>CES-D-8 total-score process analysis retained despite limited item-level harmonization</w:t>
            </w:r>
          </w:p>
        </w:tc>
        <w:tc>
          <w:tcPr>
            <w:tcW w:w="3168" w:type="dxa"/>
            <w:shd w:val="clear" w:color="auto" w:fill="F6F8FA"/>
            <w:tcMar>
              <w:top w:w="50" w:type="dxa"/>
              <w:left w:w="55" w:type="dxa"/>
              <w:bottom w:w="50" w:type="dxa"/>
              <w:right w:w="55" w:type="dxa"/>
            </w:tcMar>
            <w:vAlign w:val="top"/>
          </w:tcPr>
          <w:p w14:paraId="6068E4D3">
            <w:pPr>
              <w:spacing w:before="0" w:after="0" w:line="240" w:lineRule="auto"/>
              <w:jc w:val="left"/>
            </w:pPr>
            <w:r>
              <w:rPr>
                <w:rFonts w:ascii="Arial" w:hAnsi="Arial" w:eastAsia="Arial"/>
                <w:b w:val="0"/>
                <w:i w:val="0"/>
                <w:sz w:val="14"/>
              </w:rPr>
              <w:t>SHARE strengthens generalizability across a different instrument and social setting.</w:t>
            </w:r>
          </w:p>
        </w:tc>
      </w:tr>
      <w:tr w14:paraId="5F9EF295">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1944" w:type="dxa"/>
            <w:shd w:val="clear" w:color="auto" w:fill="FFFFFF"/>
            <w:tcMar>
              <w:top w:w="50" w:type="dxa"/>
              <w:left w:w="55" w:type="dxa"/>
              <w:bottom w:w="50" w:type="dxa"/>
              <w:right w:w="55" w:type="dxa"/>
            </w:tcMar>
            <w:vAlign w:val="top"/>
          </w:tcPr>
          <w:p w14:paraId="65448AF4">
            <w:pPr>
              <w:spacing w:before="0" w:after="0" w:line="240" w:lineRule="auto"/>
              <w:jc w:val="left"/>
            </w:pPr>
            <w:r>
              <w:rPr>
                <w:rFonts w:ascii="Arial" w:hAnsi="Arial" w:eastAsia="Arial"/>
                <w:b w:val="0"/>
                <w:i w:val="0"/>
                <w:sz w:val="14"/>
              </w:rPr>
              <w:t>Cross-cohort claim boundary</w:t>
            </w:r>
          </w:p>
        </w:tc>
        <w:tc>
          <w:tcPr>
            <w:tcW w:w="1584" w:type="dxa"/>
            <w:shd w:val="clear" w:color="auto" w:fill="FFFFFF"/>
            <w:tcMar>
              <w:top w:w="50" w:type="dxa"/>
              <w:left w:w="55" w:type="dxa"/>
              <w:bottom w:w="50" w:type="dxa"/>
              <w:right w:w="55" w:type="dxa"/>
            </w:tcMar>
            <w:vAlign w:val="top"/>
          </w:tcPr>
          <w:p w14:paraId="5D96F088">
            <w:pPr>
              <w:spacing w:before="0" w:after="0" w:line="240" w:lineRule="auto"/>
              <w:jc w:val="left"/>
            </w:pPr>
            <w:r>
              <w:rPr>
                <w:rFonts w:ascii="Arial" w:hAnsi="Arial" w:eastAsia="Arial"/>
                <w:b w:val="0"/>
                <w:i w:val="0"/>
                <w:sz w:val="14"/>
              </w:rPr>
              <w:t>Permitted interpretation</w:t>
            </w:r>
          </w:p>
        </w:tc>
        <w:tc>
          <w:tcPr>
            <w:tcW w:w="2951" w:type="dxa"/>
            <w:shd w:val="clear" w:color="auto" w:fill="FFFFFF"/>
            <w:tcMar>
              <w:top w:w="50" w:type="dxa"/>
              <w:left w:w="55" w:type="dxa"/>
              <w:bottom w:w="50" w:type="dxa"/>
              <w:right w:w="55" w:type="dxa"/>
            </w:tcMar>
            <w:vAlign w:val="top"/>
          </w:tcPr>
          <w:p w14:paraId="392719DD">
            <w:pPr>
              <w:spacing w:before="0" w:after="0" w:line="240" w:lineRule="auto"/>
              <w:jc w:val="left"/>
            </w:pPr>
            <w:r>
              <w:rPr>
                <w:rFonts w:ascii="Arial" w:hAnsi="Arial" w:eastAsia="Arial"/>
                <w:b w:val="0"/>
                <w:i w:val="0"/>
                <w:sz w:val="14"/>
              </w:rPr>
              <w:t>Longitudinal comparison supported within HRS</w:t>
            </w:r>
          </w:p>
        </w:tc>
        <w:tc>
          <w:tcPr>
            <w:tcW w:w="2951" w:type="dxa"/>
            <w:shd w:val="clear" w:color="auto" w:fill="FFFFFF"/>
            <w:tcMar>
              <w:top w:w="50" w:type="dxa"/>
              <w:left w:w="55" w:type="dxa"/>
              <w:bottom w:w="50" w:type="dxa"/>
              <w:right w:w="55" w:type="dxa"/>
            </w:tcMar>
            <w:vAlign w:val="top"/>
          </w:tcPr>
          <w:p w14:paraId="37E0B304">
            <w:pPr>
              <w:spacing w:before="0" w:after="0" w:line="240" w:lineRule="auto"/>
              <w:jc w:val="left"/>
            </w:pPr>
            <w:r>
              <w:rPr>
                <w:rFonts w:ascii="Arial" w:hAnsi="Arial" w:eastAsia="Arial"/>
                <w:b w:val="0"/>
                <w:i w:val="0"/>
                <w:sz w:val="14"/>
              </w:rPr>
              <w:t>Replicates the prior-burden construct, not an identical CES-D metric</w:t>
            </w:r>
          </w:p>
        </w:tc>
        <w:tc>
          <w:tcPr>
            <w:tcW w:w="3024" w:type="dxa"/>
            <w:shd w:val="clear" w:color="auto" w:fill="FFFFFF"/>
            <w:tcMar>
              <w:top w:w="50" w:type="dxa"/>
              <w:left w:w="55" w:type="dxa"/>
              <w:bottom w:w="50" w:type="dxa"/>
              <w:right w:w="55" w:type="dxa"/>
            </w:tcMar>
            <w:vAlign w:val="top"/>
          </w:tcPr>
          <w:p w14:paraId="031C30ED">
            <w:pPr>
              <w:spacing w:before="0" w:after="0" w:line="240" w:lineRule="auto"/>
              <w:jc w:val="left"/>
            </w:pPr>
            <w:r>
              <w:rPr>
                <w:rFonts w:ascii="Arial" w:hAnsi="Arial" w:eastAsia="Arial"/>
                <w:b w:val="0"/>
                <w:i w:val="0"/>
                <w:sz w:val="14"/>
              </w:rPr>
              <w:t>Same total-score family as HRS, but full cross-cohort measurement equivalence was not established</w:t>
            </w:r>
          </w:p>
        </w:tc>
        <w:tc>
          <w:tcPr>
            <w:tcW w:w="3168" w:type="dxa"/>
            <w:shd w:val="clear" w:color="auto" w:fill="FFFFFF"/>
            <w:tcMar>
              <w:top w:w="50" w:type="dxa"/>
              <w:left w:w="55" w:type="dxa"/>
              <w:bottom w:w="50" w:type="dxa"/>
              <w:right w:w="55" w:type="dxa"/>
            </w:tcMar>
            <w:vAlign w:val="top"/>
          </w:tcPr>
          <w:p w14:paraId="24174579">
            <w:pPr>
              <w:spacing w:before="0" w:after="0" w:line="240" w:lineRule="auto"/>
              <w:jc w:val="left"/>
            </w:pPr>
            <w:r>
              <w:rPr>
                <w:rFonts w:ascii="Arial" w:hAnsi="Arial" w:eastAsia="Arial"/>
                <w:b w:val="0"/>
                <w:i w:val="0"/>
                <w:sz w:val="14"/>
              </w:rPr>
              <w:t>Cross-cohort findings concern a shared psychological-burden construct; exact latent-scale equivalence across all three cohorts is not claimed.</w:t>
            </w:r>
          </w:p>
        </w:tc>
      </w:tr>
    </w:tbl>
    <w:p w14:paraId="458870D2">
      <w:pPr>
        <w:spacing w:before="0" w:after="40"/>
      </w:pPr>
    </w:p>
    <w:p w14:paraId="41B8ACC2">
      <w:pPr>
        <w:pStyle w:val="166"/>
        <w:keepLines/>
      </w:pPr>
      <w:r>
        <w:rPr>
          <w:rFonts w:ascii="Arial" w:hAnsi="Arial" w:eastAsia="Arial"/>
          <w:b/>
          <w:i w:val="0"/>
          <w:sz w:val="14"/>
        </w:rPr>
        <w:t>Note. Prior burden was defined from psychological measurements strictly before the current wave, and current deviation was the current score minus the participant-specific prior mean. HRS and ELSA used CES-D-8, whereas SHARE used EURO-D as an independent measure of the same broad depressive-symptom construct. Exact latent-scale equivalence across all three cohorts is not claimed.</w:t>
      </w:r>
    </w:p>
    <w:p w14:paraId="3FC96EA7">
      <w:r>
        <w:br w:type="page"/>
      </w:r>
    </w:p>
    <w:p w14:paraId="75A09C1F">
      <w:pPr>
        <w:pStyle w:val="164"/>
      </w:pPr>
      <w:r>
        <w:rPr>
          <w:rFonts w:ascii="Arial" w:hAnsi="Arial" w:eastAsia="Arial"/>
          <w:b/>
          <w:i w:val="0"/>
          <w:sz w:val="21"/>
        </w:rPr>
        <w:t>Table S2. Analytic sample derivation and event counts</w:t>
      </w:r>
    </w:p>
    <w:p w14:paraId="4B1CA27A">
      <w:pPr>
        <w:pStyle w:val="165"/>
        <w:keepNext/>
      </w:pPr>
      <w:r>
        <w:rPr>
          <w:rFonts w:ascii="Arial" w:hAnsi="Arial" w:eastAsia="Arial"/>
          <w:b/>
          <w:i w:val="0"/>
          <w:color w:val="355C7D"/>
          <w:sz w:val="17"/>
        </w:rPr>
        <w:t>Panel A. HRS analysis branches</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2240"/>
        <w:gridCol w:w="2240"/>
        <w:gridCol w:w="2240"/>
        <w:gridCol w:w="2240"/>
        <w:gridCol w:w="2240"/>
        <w:gridCol w:w="2240"/>
        <w:gridCol w:w="2240"/>
      </w:tblGrid>
      <w:tr w14:paraId="42B43703">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936" w:type="dxa"/>
            <w:shd w:val="clear" w:color="auto" w:fill="355C7D"/>
            <w:tcMar>
              <w:top w:w="60" w:type="dxa"/>
              <w:left w:w="55" w:type="dxa"/>
              <w:bottom w:w="60" w:type="dxa"/>
              <w:right w:w="55" w:type="dxa"/>
            </w:tcMar>
            <w:vAlign w:val="center"/>
          </w:tcPr>
          <w:p w14:paraId="7758A6E1">
            <w:pPr>
              <w:spacing w:before="0" w:after="0" w:line="240" w:lineRule="auto"/>
              <w:jc w:val="center"/>
            </w:pPr>
            <w:r>
              <w:rPr>
                <w:rFonts w:ascii="Arial" w:hAnsi="Arial" w:eastAsia="Arial"/>
                <w:b/>
                <w:i w:val="0"/>
                <w:color w:val="FFFFFF"/>
                <w:sz w:val="15"/>
              </w:rPr>
              <w:t>Cohort</w:t>
            </w:r>
          </w:p>
        </w:tc>
        <w:tc>
          <w:tcPr>
            <w:tcW w:w="2951" w:type="dxa"/>
            <w:shd w:val="clear" w:color="auto" w:fill="355C7D"/>
            <w:tcMar>
              <w:top w:w="60" w:type="dxa"/>
              <w:left w:w="55" w:type="dxa"/>
              <w:bottom w:w="60" w:type="dxa"/>
              <w:right w:w="55" w:type="dxa"/>
            </w:tcMar>
            <w:vAlign w:val="center"/>
          </w:tcPr>
          <w:p w14:paraId="798D5699">
            <w:pPr>
              <w:spacing w:before="0" w:after="0" w:line="240" w:lineRule="auto"/>
              <w:jc w:val="center"/>
            </w:pPr>
            <w:r>
              <w:rPr>
                <w:rFonts w:ascii="Arial" w:hAnsi="Arial" w:eastAsia="Arial"/>
                <w:b/>
                <w:i w:val="0"/>
                <w:color w:val="FFFFFF"/>
                <w:sz w:val="15"/>
              </w:rPr>
              <w:t>Analysis branch</w:t>
            </w:r>
          </w:p>
        </w:tc>
        <w:tc>
          <w:tcPr>
            <w:tcW w:w="1080" w:type="dxa"/>
            <w:shd w:val="clear" w:color="auto" w:fill="355C7D"/>
            <w:tcMar>
              <w:top w:w="60" w:type="dxa"/>
              <w:left w:w="55" w:type="dxa"/>
              <w:bottom w:w="60" w:type="dxa"/>
              <w:right w:w="55" w:type="dxa"/>
            </w:tcMar>
            <w:vAlign w:val="center"/>
          </w:tcPr>
          <w:p w14:paraId="1076BB8B">
            <w:pPr>
              <w:spacing w:before="0" w:after="0" w:line="240" w:lineRule="auto"/>
              <w:jc w:val="center"/>
            </w:pPr>
            <w:r>
              <w:rPr>
                <w:rFonts w:ascii="Arial" w:hAnsi="Arial" w:eastAsia="Arial"/>
                <w:b/>
                <w:i w:val="0"/>
                <w:color w:val="FFFFFF"/>
                <w:sz w:val="15"/>
              </w:rPr>
              <w:t>Participants</w:t>
            </w:r>
          </w:p>
        </w:tc>
        <w:tc>
          <w:tcPr>
            <w:tcW w:w="1152" w:type="dxa"/>
            <w:shd w:val="clear" w:color="auto" w:fill="355C7D"/>
            <w:tcMar>
              <w:top w:w="60" w:type="dxa"/>
              <w:left w:w="55" w:type="dxa"/>
              <w:bottom w:w="60" w:type="dxa"/>
              <w:right w:w="55" w:type="dxa"/>
            </w:tcMar>
            <w:vAlign w:val="center"/>
          </w:tcPr>
          <w:p w14:paraId="109012B4">
            <w:pPr>
              <w:spacing w:before="0" w:after="0" w:line="240" w:lineRule="auto"/>
              <w:jc w:val="center"/>
            </w:pPr>
            <w:r>
              <w:rPr>
                <w:rFonts w:ascii="Arial" w:hAnsi="Arial" w:eastAsia="Arial"/>
                <w:b/>
                <w:i w:val="0"/>
                <w:color w:val="FFFFFF"/>
                <w:sz w:val="15"/>
              </w:rPr>
              <w:t>Person-waves</w:t>
            </w:r>
          </w:p>
        </w:tc>
        <w:tc>
          <w:tcPr>
            <w:tcW w:w="864" w:type="dxa"/>
            <w:shd w:val="clear" w:color="auto" w:fill="355C7D"/>
            <w:tcMar>
              <w:top w:w="60" w:type="dxa"/>
              <w:left w:w="55" w:type="dxa"/>
              <w:bottom w:w="60" w:type="dxa"/>
              <w:right w:w="55" w:type="dxa"/>
            </w:tcMar>
            <w:vAlign w:val="center"/>
          </w:tcPr>
          <w:p w14:paraId="6AECAFDB">
            <w:pPr>
              <w:spacing w:before="0" w:after="0" w:line="240" w:lineRule="auto"/>
              <w:jc w:val="center"/>
            </w:pPr>
            <w:r>
              <w:rPr>
                <w:rFonts w:ascii="Arial" w:hAnsi="Arial" w:eastAsia="Arial"/>
                <w:b/>
                <w:i w:val="0"/>
                <w:color w:val="FFFFFF"/>
                <w:sz w:val="15"/>
              </w:rPr>
              <w:t>Events</w:t>
            </w:r>
          </w:p>
        </w:tc>
        <w:tc>
          <w:tcPr>
            <w:tcW w:w="4031" w:type="dxa"/>
            <w:shd w:val="clear" w:color="auto" w:fill="355C7D"/>
            <w:tcMar>
              <w:top w:w="60" w:type="dxa"/>
              <w:left w:w="55" w:type="dxa"/>
              <w:bottom w:w="60" w:type="dxa"/>
              <w:right w:w="55" w:type="dxa"/>
            </w:tcMar>
            <w:vAlign w:val="center"/>
          </w:tcPr>
          <w:p w14:paraId="3A06F073">
            <w:pPr>
              <w:spacing w:before="0" w:after="0" w:line="240" w:lineRule="auto"/>
              <w:jc w:val="center"/>
            </w:pPr>
            <w:r>
              <w:rPr>
                <w:rFonts w:ascii="Arial" w:hAnsi="Arial" w:eastAsia="Arial"/>
                <w:b/>
                <w:i w:val="0"/>
                <w:color w:val="FFFFFF"/>
                <w:sz w:val="15"/>
              </w:rPr>
              <w:t>History/eligibility information</w:t>
            </w:r>
          </w:p>
        </w:tc>
        <w:tc>
          <w:tcPr>
            <w:tcW w:w="4536" w:type="dxa"/>
            <w:shd w:val="clear" w:color="auto" w:fill="355C7D"/>
            <w:tcMar>
              <w:top w:w="60" w:type="dxa"/>
              <w:left w:w="55" w:type="dxa"/>
              <w:bottom w:w="60" w:type="dxa"/>
              <w:right w:w="55" w:type="dxa"/>
            </w:tcMar>
            <w:vAlign w:val="center"/>
          </w:tcPr>
          <w:p w14:paraId="5730CBEF">
            <w:pPr>
              <w:spacing w:before="0" w:after="0" w:line="240" w:lineRule="auto"/>
              <w:jc w:val="center"/>
            </w:pPr>
            <w:r>
              <w:rPr>
                <w:rFonts w:ascii="Arial" w:hAnsi="Arial" w:eastAsia="Arial"/>
                <w:b/>
                <w:i w:val="0"/>
                <w:color w:val="FFFFFF"/>
                <w:sz w:val="15"/>
              </w:rPr>
              <w:t>Notes</w:t>
            </w:r>
          </w:p>
        </w:tc>
      </w:tr>
      <w:tr w14:paraId="45BC8996">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15074631">
            <w:pPr>
              <w:spacing w:before="0" w:after="0" w:line="240" w:lineRule="auto"/>
              <w:jc w:val="center"/>
            </w:pPr>
            <w:r>
              <w:rPr>
                <w:rFonts w:ascii="Arial" w:hAnsi="Arial" w:eastAsia="Arial"/>
                <w:b w:val="0"/>
                <w:i w:val="0"/>
                <w:sz w:val="14"/>
              </w:rPr>
              <w:t>HRS</w:t>
            </w:r>
          </w:p>
        </w:tc>
        <w:tc>
          <w:tcPr>
            <w:tcW w:w="2951" w:type="dxa"/>
            <w:shd w:val="clear" w:color="auto" w:fill="FFFFFF"/>
            <w:tcMar>
              <w:top w:w="50" w:type="dxa"/>
              <w:left w:w="55" w:type="dxa"/>
              <w:bottom w:w="50" w:type="dxa"/>
              <w:right w:w="55" w:type="dxa"/>
            </w:tcMar>
            <w:vAlign w:val="top"/>
          </w:tcPr>
          <w:p w14:paraId="1B5E39D8">
            <w:pPr>
              <w:spacing w:before="0" w:after="0" w:line="240" w:lineRule="auto"/>
              <w:jc w:val="left"/>
            </w:pPr>
            <w:r>
              <w:rPr>
                <w:rFonts w:ascii="Arial" w:hAnsi="Arial" w:eastAsia="Arial"/>
                <w:b w:val="0"/>
                <w:i w:val="0"/>
                <w:sz w:val="14"/>
              </w:rPr>
              <w:t>Life-course adversity and incident heart disease</w:t>
            </w:r>
          </w:p>
        </w:tc>
        <w:tc>
          <w:tcPr>
            <w:tcW w:w="1080" w:type="dxa"/>
            <w:shd w:val="clear" w:color="auto" w:fill="FFFFFF"/>
            <w:tcMar>
              <w:top w:w="50" w:type="dxa"/>
              <w:left w:w="55" w:type="dxa"/>
              <w:bottom w:w="50" w:type="dxa"/>
              <w:right w:w="55" w:type="dxa"/>
            </w:tcMar>
            <w:vAlign w:val="top"/>
          </w:tcPr>
          <w:p w14:paraId="1796C2F1">
            <w:pPr>
              <w:spacing w:before="0" w:after="0" w:line="240" w:lineRule="auto"/>
              <w:jc w:val="center"/>
            </w:pPr>
            <w:r>
              <w:rPr>
                <w:rFonts w:ascii="Arial" w:hAnsi="Arial" w:eastAsia="Arial"/>
                <w:b w:val="0"/>
                <w:i w:val="0"/>
                <w:sz w:val="14"/>
              </w:rPr>
              <w:t>7,579</w:t>
            </w:r>
          </w:p>
        </w:tc>
        <w:tc>
          <w:tcPr>
            <w:tcW w:w="1152" w:type="dxa"/>
            <w:shd w:val="clear" w:color="auto" w:fill="FFFFFF"/>
            <w:tcMar>
              <w:top w:w="50" w:type="dxa"/>
              <w:left w:w="55" w:type="dxa"/>
              <w:bottom w:w="50" w:type="dxa"/>
              <w:right w:w="55" w:type="dxa"/>
            </w:tcMar>
            <w:vAlign w:val="top"/>
          </w:tcPr>
          <w:p w14:paraId="094B44DD">
            <w:pPr>
              <w:spacing w:before="0" w:after="0" w:line="240" w:lineRule="auto"/>
              <w:jc w:val="center"/>
            </w:pPr>
          </w:p>
        </w:tc>
        <w:tc>
          <w:tcPr>
            <w:tcW w:w="864" w:type="dxa"/>
            <w:shd w:val="clear" w:color="auto" w:fill="FFFFFF"/>
            <w:tcMar>
              <w:top w:w="50" w:type="dxa"/>
              <w:left w:w="55" w:type="dxa"/>
              <w:bottom w:w="50" w:type="dxa"/>
              <w:right w:w="55" w:type="dxa"/>
            </w:tcMar>
            <w:vAlign w:val="top"/>
          </w:tcPr>
          <w:p w14:paraId="1A88288E">
            <w:pPr>
              <w:spacing w:before="0" w:after="0" w:line="240" w:lineRule="auto"/>
              <w:jc w:val="center"/>
            </w:pPr>
            <w:r>
              <w:rPr>
                <w:rFonts w:ascii="Arial" w:hAnsi="Arial" w:eastAsia="Arial"/>
                <w:b w:val="0"/>
                <w:i w:val="0"/>
                <w:sz w:val="14"/>
              </w:rPr>
              <w:t>901</w:t>
            </w:r>
          </w:p>
        </w:tc>
        <w:tc>
          <w:tcPr>
            <w:tcW w:w="4031" w:type="dxa"/>
            <w:shd w:val="clear" w:color="auto" w:fill="FFFFFF"/>
            <w:tcMar>
              <w:top w:w="50" w:type="dxa"/>
              <w:left w:w="55" w:type="dxa"/>
              <w:bottom w:w="50" w:type="dxa"/>
              <w:right w:w="55" w:type="dxa"/>
            </w:tcMar>
            <w:vAlign w:val="top"/>
          </w:tcPr>
          <w:p w14:paraId="3E1712BE">
            <w:pPr>
              <w:spacing w:before="0" w:after="0" w:line="240" w:lineRule="auto"/>
              <w:jc w:val="left"/>
            </w:pPr>
            <w:r>
              <w:rPr>
                <w:rFonts w:ascii="Arial" w:hAnsi="Arial" w:eastAsia="Arial"/>
                <w:b w:val="0"/>
                <w:i w:val="0"/>
                <w:sz w:val="14"/>
              </w:rPr>
              <w:t>Baseline adversity analysis among participants free of heart disease at baseline</w:t>
            </w:r>
          </w:p>
        </w:tc>
        <w:tc>
          <w:tcPr>
            <w:tcW w:w="4536" w:type="dxa"/>
            <w:shd w:val="clear" w:color="auto" w:fill="FFFFFF"/>
            <w:tcMar>
              <w:top w:w="50" w:type="dxa"/>
              <w:left w:w="55" w:type="dxa"/>
              <w:bottom w:w="50" w:type="dxa"/>
              <w:right w:w="55" w:type="dxa"/>
            </w:tcMar>
            <w:vAlign w:val="top"/>
          </w:tcPr>
          <w:p w14:paraId="66A5D3E1">
            <w:pPr>
              <w:spacing w:before="0" w:after="0" w:line="240" w:lineRule="auto"/>
              <w:jc w:val="left"/>
            </w:pPr>
            <w:r>
              <w:rPr>
                <w:rFonts w:ascii="Arial" w:hAnsi="Arial" w:eastAsia="Arial"/>
                <w:b w:val="0"/>
                <w:i w:val="0"/>
                <w:sz w:val="14"/>
              </w:rPr>
              <w:t>Primary adversity–heart-disease association</w:t>
            </w:r>
          </w:p>
        </w:tc>
      </w:tr>
      <w:tr w14:paraId="7C17A6E4">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68AEC759">
            <w:pPr>
              <w:spacing w:before="0" w:after="0" w:line="240" w:lineRule="auto"/>
              <w:jc w:val="center"/>
            </w:pPr>
            <w:r>
              <w:rPr>
                <w:rFonts w:ascii="Arial" w:hAnsi="Arial" w:eastAsia="Arial"/>
                <w:b w:val="0"/>
                <w:i w:val="0"/>
                <w:sz w:val="14"/>
              </w:rPr>
              <w:t>HRS</w:t>
            </w:r>
          </w:p>
        </w:tc>
        <w:tc>
          <w:tcPr>
            <w:tcW w:w="2951" w:type="dxa"/>
            <w:shd w:val="clear" w:color="auto" w:fill="F6F8FA"/>
            <w:tcMar>
              <w:top w:w="50" w:type="dxa"/>
              <w:left w:w="55" w:type="dxa"/>
              <w:bottom w:w="50" w:type="dxa"/>
              <w:right w:w="55" w:type="dxa"/>
            </w:tcMar>
            <w:vAlign w:val="top"/>
          </w:tcPr>
          <w:p w14:paraId="29329CD6">
            <w:pPr>
              <w:spacing w:before="0" w:after="0" w:line="240" w:lineRule="auto"/>
              <w:jc w:val="left"/>
            </w:pPr>
            <w:r>
              <w:rPr>
                <w:rFonts w:ascii="Arial" w:hAnsi="Arial" w:eastAsia="Arial"/>
                <w:b w:val="0"/>
                <w:i w:val="0"/>
                <w:sz w:val="14"/>
              </w:rPr>
              <w:t>Endpoint-state psychological-burden formation</w:t>
            </w:r>
          </w:p>
        </w:tc>
        <w:tc>
          <w:tcPr>
            <w:tcW w:w="1080" w:type="dxa"/>
            <w:shd w:val="clear" w:color="auto" w:fill="F6F8FA"/>
            <w:tcMar>
              <w:top w:w="50" w:type="dxa"/>
              <w:left w:w="55" w:type="dxa"/>
              <w:bottom w:w="50" w:type="dxa"/>
              <w:right w:w="55" w:type="dxa"/>
            </w:tcMar>
            <w:vAlign w:val="top"/>
          </w:tcPr>
          <w:p w14:paraId="548AD9F7">
            <w:pPr>
              <w:spacing w:before="0" w:after="0" w:line="240" w:lineRule="auto"/>
              <w:jc w:val="center"/>
            </w:pPr>
            <w:r>
              <w:rPr>
                <w:rFonts w:ascii="Arial" w:hAnsi="Arial" w:eastAsia="Arial"/>
                <w:b w:val="0"/>
                <w:i w:val="0"/>
                <w:sz w:val="14"/>
              </w:rPr>
              <w:t>7,292</w:t>
            </w:r>
          </w:p>
        </w:tc>
        <w:tc>
          <w:tcPr>
            <w:tcW w:w="1152" w:type="dxa"/>
            <w:shd w:val="clear" w:color="auto" w:fill="F6F8FA"/>
            <w:tcMar>
              <w:top w:w="50" w:type="dxa"/>
              <w:left w:w="55" w:type="dxa"/>
              <w:bottom w:w="50" w:type="dxa"/>
              <w:right w:w="55" w:type="dxa"/>
            </w:tcMar>
            <w:vAlign w:val="top"/>
          </w:tcPr>
          <w:p w14:paraId="43E56D0C">
            <w:pPr>
              <w:spacing w:before="0" w:after="0" w:line="240" w:lineRule="auto"/>
              <w:jc w:val="center"/>
            </w:pPr>
          </w:p>
        </w:tc>
        <w:tc>
          <w:tcPr>
            <w:tcW w:w="864" w:type="dxa"/>
            <w:shd w:val="clear" w:color="auto" w:fill="F6F8FA"/>
            <w:tcMar>
              <w:top w:w="50" w:type="dxa"/>
              <w:left w:w="55" w:type="dxa"/>
              <w:bottom w:w="50" w:type="dxa"/>
              <w:right w:w="55" w:type="dxa"/>
            </w:tcMar>
            <w:vAlign w:val="top"/>
          </w:tcPr>
          <w:p w14:paraId="49600A53">
            <w:pPr>
              <w:spacing w:before="0" w:after="0" w:line="240" w:lineRule="auto"/>
              <w:jc w:val="center"/>
            </w:pPr>
          </w:p>
        </w:tc>
        <w:tc>
          <w:tcPr>
            <w:tcW w:w="4031" w:type="dxa"/>
            <w:shd w:val="clear" w:color="auto" w:fill="F6F8FA"/>
            <w:tcMar>
              <w:top w:w="50" w:type="dxa"/>
              <w:left w:w="55" w:type="dxa"/>
              <w:bottom w:w="50" w:type="dxa"/>
              <w:right w:w="55" w:type="dxa"/>
            </w:tcMar>
            <w:vAlign w:val="top"/>
          </w:tcPr>
          <w:p w14:paraId="14CC117C">
            <w:pPr>
              <w:spacing w:before="0" w:after="0" w:line="240" w:lineRule="auto"/>
              <w:jc w:val="left"/>
            </w:pPr>
            <w:r>
              <w:rPr>
                <w:rFonts w:ascii="Arial" w:hAnsi="Arial" w:eastAsia="Arial"/>
                <w:b w:val="0"/>
                <w:i w:val="0"/>
                <w:sz w:val="14"/>
              </w:rPr>
              <w:t>Low at both endpoints, incident high, remitted high, and persistent high states</w:t>
            </w:r>
          </w:p>
        </w:tc>
        <w:tc>
          <w:tcPr>
            <w:tcW w:w="4536" w:type="dxa"/>
            <w:shd w:val="clear" w:color="auto" w:fill="F6F8FA"/>
            <w:tcMar>
              <w:top w:w="50" w:type="dxa"/>
              <w:left w:w="55" w:type="dxa"/>
              <w:bottom w:w="50" w:type="dxa"/>
              <w:right w:w="55" w:type="dxa"/>
            </w:tcMar>
            <w:vAlign w:val="top"/>
          </w:tcPr>
          <w:p w14:paraId="5F296C6E">
            <w:pPr>
              <w:spacing w:before="0" w:after="0" w:line="240" w:lineRule="auto"/>
              <w:jc w:val="left"/>
            </w:pPr>
            <w:r>
              <w:rPr>
                <w:rFonts w:ascii="Arial" w:hAnsi="Arial" w:eastAsia="Arial"/>
                <w:b w:val="0"/>
                <w:i w:val="0"/>
                <w:sz w:val="14"/>
              </w:rPr>
              <w:t>The three nonreference state estimates share this analysis sample.</w:t>
            </w:r>
          </w:p>
        </w:tc>
      </w:tr>
      <w:tr w14:paraId="585599C2">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402CF148">
            <w:pPr>
              <w:spacing w:before="0" w:after="0" w:line="240" w:lineRule="auto"/>
              <w:jc w:val="center"/>
            </w:pPr>
            <w:r>
              <w:rPr>
                <w:rFonts w:ascii="Arial" w:hAnsi="Arial" w:eastAsia="Arial"/>
                <w:b w:val="0"/>
                <w:i w:val="0"/>
                <w:sz w:val="14"/>
              </w:rPr>
              <w:t>HRS</w:t>
            </w:r>
          </w:p>
        </w:tc>
        <w:tc>
          <w:tcPr>
            <w:tcW w:w="2951" w:type="dxa"/>
            <w:shd w:val="clear" w:color="auto" w:fill="FFFFFF"/>
            <w:tcMar>
              <w:top w:w="50" w:type="dxa"/>
              <w:left w:w="55" w:type="dxa"/>
              <w:bottom w:w="50" w:type="dxa"/>
              <w:right w:w="55" w:type="dxa"/>
            </w:tcMar>
            <w:vAlign w:val="top"/>
          </w:tcPr>
          <w:p w14:paraId="0771AA66">
            <w:pPr>
              <w:spacing w:before="0" w:after="0" w:line="240" w:lineRule="auto"/>
              <w:jc w:val="left"/>
            </w:pPr>
            <w:r>
              <w:rPr>
                <w:rFonts w:ascii="Arial" w:hAnsi="Arial" w:eastAsia="Arial"/>
                <w:b w:val="0"/>
                <w:i w:val="0"/>
                <w:sz w:val="14"/>
              </w:rPr>
              <w:t>Three-wave cumulative psychological-burden outcomes</w:t>
            </w:r>
          </w:p>
        </w:tc>
        <w:tc>
          <w:tcPr>
            <w:tcW w:w="1080" w:type="dxa"/>
            <w:shd w:val="clear" w:color="auto" w:fill="FFFFFF"/>
            <w:tcMar>
              <w:top w:w="50" w:type="dxa"/>
              <w:left w:w="55" w:type="dxa"/>
              <w:bottom w:w="50" w:type="dxa"/>
              <w:right w:w="55" w:type="dxa"/>
            </w:tcMar>
            <w:vAlign w:val="top"/>
          </w:tcPr>
          <w:p w14:paraId="19A0DAA7">
            <w:pPr>
              <w:spacing w:before="0" w:after="0" w:line="240" w:lineRule="auto"/>
              <w:jc w:val="center"/>
            </w:pPr>
            <w:r>
              <w:rPr>
                <w:rFonts w:ascii="Arial" w:hAnsi="Arial" w:eastAsia="Arial"/>
                <w:b w:val="0"/>
                <w:i w:val="0"/>
                <w:sz w:val="14"/>
              </w:rPr>
              <w:t>7,193</w:t>
            </w:r>
          </w:p>
        </w:tc>
        <w:tc>
          <w:tcPr>
            <w:tcW w:w="1152" w:type="dxa"/>
            <w:shd w:val="clear" w:color="auto" w:fill="FFFFFF"/>
            <w:tcMar>
              <w:top w:w="50" w:type="dxa"/>
              <w:left w:w="55" w:type="dxa"/>
              <w:bottom w:w="50" w:type="dxa"/>
              <w:right w:w="55" w:type="dxa"/>
            </w:tcMar>
            <w:vAlign w:val="top"/>
          </w:tcPr>
          <w:p w14:paraId="21B4C8CB">
            <w:pPr>
              <w:spacing w:before="0" w:after="0" w:line="240" w:lineRule="auto"/>
              <w:jc w:val="center"/>
            </w:pPr>
          </w:p>
        </w:tc>
        <w:tc>
          <w:tcPr>
            <w:tcW w:w="864" w:type="dxa"/>
            <w:shd w:val="clear" w:color="auto" w:fill="FFFFFF"/>
            <w:tcMar>
              <w:top w:w="50" w:type="dxa"/>
              <w:left w:w="55" w:type="dxa"/>
              <w:bottom w:w="50" w:type="dxa"/>
              <w:right w:w="55" w:type="dxa"/>
            </w:tcMar>
            <w:vAlign w:val="top"/>
          </w:tcPr>
          <w:p w14:paraId="3BAB8256">
            <w:pPr>
              <w:spacing w:before="0" w:after="0" w:line="240" w:lineRule="auto"/>
              <w:jc w:val="center"/>
            </w:pPr>
          </w:p>
        </w:tc>
        <w:tc>
          <w:tcPr>
            <w:tcW w:w="4031" w:type="dxa"/>
            <w:shd w:val="clear" w:color="auto" w:fill="FFFFFF"/>
            <w:tcMar>
              <w:top w:w="50" w:type="dxa"/>
              <w:left w:w="55" w:type="dxa"/>
              <w:bottom w:w="50" w:type="dxa"/>
              <w:right w:w="55" w:type="dxa"/>
            </w:tcMar>
            <w:vAlign w:val="top"/>
          </w:tcPr>
          <w:p w14:paraId="09F669A8">
            <w:pPr>
              <w:spacing w:before="0" w:after="0" w:line="240" w:lineRule="auto"/>
              <w:jc w:val="left"/>
            </w:pPr>
            <w:r>
              <w:rPr>
                <w:rFonts w:ascii="Arial" w:hAnsi="Arial" w:eastAsia="Arial"/>
                <w:b w:val="0"/>
                <w:i w:val="0"/>
                <w:sz w:val="14"/>
              </w:rPr>
              <w:t>Complete CES-D-8 measurements in 2012, 2014, and 2016</w:t>
            </w:r>
          </w:p>
        </w:tc>
        <w:tc>
          <w:tcPr>
            <w:tcW w:w="4536" w:type="dxa"/>
            <w:shd w:val="clear" w:color="auto" w:fill="FFFFFF"/>
            <w:tcMar>
              <w:top w:w="50" w:type="dxa"/>
              <w:left w:w="55" w:type="dxa"/>
              <w:bottom w:w="50" w:type="dxa"/>
              <w:right w:w="55" w:type="dxa"/>
            </w:tcMar>
            <w:vAlign w:val="top"/>
          </w:tcPr>
          <w:p w14:paraId="54013FE4">
            <w:pPr>
              <w:spacing w:before="0" w:after="0" w:line="240" w:lineRule="auto"/>
              <w:jc w:val="left"/>
            </w:pPr>
            <w:r>
              <w:rPr>
                <w:rFonts w:ascii="Arial" w:hAnsi="Arial" w:eastAsia="Arial"/>
                <w:b w:val="0"/>
                <w:i w:val="0"/>
                <w:sz w:val="14"/>
              </w:rPr>
              <w:t>Shared sample for mean burden and number of high-burden waves.</w:t>
            </w:r>
          </w:p>
        </w:tc>
      </w:tr>
      <w:tr w14:paraId="19B13489">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7047D305">
            <w:pPr>
              <w:spacing w:before="0" w:after="0" w:line="240" w:lineRule="auto"/>
              <w:jc w:val="center"/>
            </w:pPr>
            <w:r>
              <w:rPr>
                <w:rFonts w:ascii="Arial" w:hAnsi="Arial" w:eastAsia="Arial"/>
                <w:b w:val="0"/>
                <w:i w:val="0"/>
                <w:sz w:val="14"/>
              </w:rPr>
              <w:t>HRS</w:t>
            </w:r>
          </w:p>
        </w:tc>
        <w:tc>
          <w:tcPr>
            <w:tcW w:w="2951" w:type="dxa"/>
            <w:shd w:val="clear" w:color="auto" w:fill="F6F8FA"/>
            <w:tcMar>
              <w:top w:w="50" w:type="dxa"/>
              <w:left w:w="55" w:type="dxa"/>
              <w:bottom w:w="50" w:type="dxa"/>
              <w:right w:w="55" w:type="dxa"/>
            </w:tcMar>
            <w:vAlign w:val="top"/>
          </w:tcPr>
          <w:p w14:paraId="1282C713">
            <w:pPr>
              <w:spacing w:before="0" w:after="0" w:line="240" w:lineRule="auto"/>
              <w:jc w:val="left"/>
            </w:pPr>
            <w:r>
              <w:rPr>
                <w:rFonts w:ascii="Arial" w:hAnsi="Arial" w:eastAsia="Arial"/>
                <w:b w:val="0"/>
                <w:i w:val="0"/>
                <w:sz w:val="14"/>
              </w:rPr>
              <w:t>Repeated psychological level and adversity × time</w:t>
            </w:r>
          </w:p>
        </w:tc>
        <w:tc>
          <w:tcPr>
            <w:tcW w:w="1080" w:type="dxa"/>
            <w:shd w:val="clear" w:color="auto" w:fill="F6F8FA"/>
            <w:tcMar>
              <w:top w:w="50" w:type="dxa"/>
              <w:left w:w="55" w:type="dxa"/>
              <w:bottom w:w="50" w:type="dxa"/>
              <w:right w:w="55" w:type="dxa"/>
            </w:tcMar>
            <w:vAlign w:val="top"/>
          </w:tcPr>
          <w:p w14:paraId="705A185C">
            <w:pPr>
              <w:spacing w:before="0" w:after="0" w:line="240" w:lineRule="auto"/>
              <w:jc w:val="center"/>
            </w:pPr>
            <w:r>
              <w:rPr>
                <w:rFonts w:ascii="Arial" w:hAnsi="Arial" w:eastAsia="Arial"/>
                <w:b w:val="0"/>
                <w:i w:val="0"/>
                <w:sz w:val="14"/>
              </w:rPr>
              <w:t>7,292</w:t>
            </w:r>
          </w:p>
        </w:tc>
        <w:tc>
          <w:tcPr>
            <w:tcW w:w="1152" w:type="dxa"/>
            <w:shd w:val="clear" w:color="auto" w:fill="F6F8FA"/>
            <w:tcMar>
              <w:top w:w="50" w:type="dxa"/>
              <w:left w:w="55" w:type="dxa"/>
              <w:bottom w:w="50" w:type="dxa"/>
              <w:right w:w="55" w:type="dxa"/>
            </w:tcMar>
            <w:vAlign w:val="top"/>
          </w:tcPr>
          <w:p w14:paraId="0D6B4C5E">
            <w:pPr>
              <w:spacing w:before="0" w:after="0" w:line="240" w:lineRule="auto"/>
              <w:jc w:val="center"/>
            </w:pPr>
            <w:r>
              <w:rPr>
                <w:rFonts w:ascii="Arial" w:hAnsi="Arial" w:eastAsia="Arial"/>
                <w:b w:val="0"/>
                <w:i w:val="0"/>
                <w:sz w:val="14"/>
              </w:rPr>
              <w:t>21,777</w:t>
            </w:r>
          </w:p>
        </w:tc>
        <w:tc>
          <w:tcPr>
            <w:tcW w:w="864" w:type="dxa"/>
            <w:shd w:val="clear" w:color="auto" w:fill="F6F8FA"/>
            <w:tcMar>
              <w:top w:w="50" w:type="dxa"/>
              <w:left w:w="55" w:type="dxa"/>
              <w:bottom w:w="50" w:type="dxa"/>
              <w:right w:w="55" w:type="dxa"/>
            </w:tcMar>
            <w:vAlign w:val="top"/>
          </w:tcPr>
          <w:p w14:paraId="629431CC">
            <w:pPr>
              <w:spacing w:before="0" w:after="0" w:line="240" w:lineRule="auto"/>
              <w:jc w:val="center"/>
            </w:pPr>
          </w:p>
        </w:tc>
        <w:tc>
          <w:tcPr>
            <w:tcW w:w="4031" w:type="dxa"/>
            <w:shd w:val="clear" w:color="auto" w:fill="F6F8FA"/>
            <w:tcMar>
              <w:top w:w="50" w:type="dxa"/>
              <w:left w:w="55" w:type="dxa"/>
              <w:bottom w:w="50" w:type="dxa"/>
              <w:right w:w="55" w:type="dxa"/>
            </w:tcMar>
            <w:vAlign w:val="top"/>
          </w:tcPr>
          <w:p w14:paraId="085DDCA1">
            <w:pPr>
              <w:spacing w:before="0" w:after="0" w:line="240" w:lineRule="auto"/>
              <w:jc w:val="left"/>
            </w:pPr>
            <w:r>
              <w:rPr>
                <w:rFonts w:ascii="Arial" w:hAnsi="Arial" w:eastAsia="Arial"/>
                <w:b w:val="0"/>
                <w:i w:val="0"/>
                <w:sz w:val="14"/>
              </w:rPr>
              <w:t>Repeated CES-D-8 observations from 2012 to 2016</w:t>
            </w:r>
          </w:p>
        </w:tc>
        <w:tc>
          <w:tcPr>
            <w:tcW w:w="4536" w:type="dxa"/>
            <w:shd w:val="clear" w:color="auto" w:fill="F6F8FA"/>
            <w:tcMar>
              <w:top w:w="50" w:type="dxa"/>
              <w:left w:w="55" w:type="dxa"/>
              <w:bottom w:w="50" w:type="dxa"/>
              <w:right w:w="55" w:type="dxa"/>
            </w:tcMar>
            <w:vAlign w:val="top"/>
          </w:tcPr>
          <w:p w14:paraId="5A2013EF">
            <w:pPr>
              <w:spacing w:before="0" w:after="0" w:line="240" w:lineRule="auto"/>
              <w:jc w:val="left"/>
            </w:pPr>
            <w:r>
              <w:rPr>
                <w:rFonts w:ascii="Arial" w:hAnsi="Arial" w:eastAsia="Arial"/>
                <w:b w:val="0"/>
                <w:i w:val="0"/>
                <w:sz w:val="14"/>
              </w:rPr>
              <w:t>7,292 participants contributed 21,777 repeated CES-D-8 observations.</w:t>
            </w:r>
          </w:p>
        </w:tc>
      </w:tr>
      <w:tr w14:paraId="1B1D31E0">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4A961105">
            <w:pPr>
              <w:spacing w:before="0" w:after="0" w:line="240" w:lineRule="auto"/>
              <w:jc w:val="center"/>
            </w:pPr>
            <w:r>
              <w:rPr>
                <w:rFonts w:ascii="Arial" w:hAnsi="Arial" w:eastAsia="Arial"/>
                <w:b w:val="0"/>
                <w:i w:val="0"/>
                <w:sz w:val="14"/>
              </w:rPr>
              <w:t>HRS</w:t>
            </w:r>
          </w:p>
        </w:tc>
        <w:tc>
          <w:tcPr>
            <w:tcW w:w="2951" w:type="dxa"/>
            <w:shd w:val="clear" w:color="auto" w:fill="FFFFFF"/>
            <w:tcMar>
              <w:top w:w="50" w:type="dxa"/>
              <w:left w:w="55" w:type="dxa"/>
              <w:bottom w:w="50" w:type="dxa"/>
              <w:right w:w="55" w:type="dxa"/>
            </w:tcMar>
            <w:vAlign w:val="top"/>
          </w:tcPr>
          <w:p w14:paraId="06951E2F">
            <w:pPr>
              <w:spacing w:before="0" w:after="0" w:line="240" w:lineRule="auto"/>
              <w:jc w:val="left"/>
            </w:pPr>
            <w:r>
              <w:rPr>
                <w:rFonts w:ascii="Arial" w:hAnsi="Arial" w:eastAsia="Arial"/>
                <w:b w:val="0"/>
                <w:i w:val="0"/>
                <w:sz w:val="14"/>
              </w:rPr>
              <w:t>Strictly lagged dynamic decomposition</w:t>
            </w:r>
          </w:p>
        </w:tc>
        <w:tc>
          <w:tcPr>
            <w:tcW w:w="1080" w:type="dxa"/>
            <w:shd w:val="clear" w:color="auto" w:fill="FFFFFF"/>
            <w:tcMar>
              <w:top w:w="50" w:type="dxa"/>
              <w:left w:w="55" w:type="dxa"/>
              <w:bottom w:w="50" w:type="dxa"/>
              <w:right w:w="55" w:type="dxa"/>
            </w:tcMar>
            <w:vAlign w:val="top"/>
          </w:tcPr>
          <w:p w14:paraId="1A6D35BB">
            <w:pPr>
              <w:spacing w:before="0" w:after="0" w:line="240" w:lineRule="auto"/>
              <w:jc w:val="center"/>
            </w:pPr>
            <w:r>
              <w:rPr>
                <w:rFonts w:ascii="Arial" w:hAnsi="Arial" w:eastAsia="Arial"/>
                <w:b w:val="0"/>
                <w:i w:val="0"/>
                <w:sz w:val="14"/>
              </w:rPr>
              <w:t>7,094</w:t>
            </w:r>
          </w:p>
        </w:tc>
        <w:tc>
          <w:tcPr>
            <w:tcW w:w="1152" w:type="dxa"/>
            <w:shd w:val="clear" w:color="auto" w:fill="FFFFFF"/>
            <w:tcMar>
              <w:top w:w="50" w:type="dxa"/>
              <w:left w:w="55" w:type="dxa"/>
              <w:bottom w:w="50" w:type="dxa"/>
              <w:right w:w="55" w:type="dxa"/>
            </w:tcMar>
            <w:vAlign w:val="top"/>
          </w:tcPr>
          <w:p w14:paraId="77E69A3F">
            <w:pPr>
              <w:spacing w:before="0" w:after="0" w:line="240" w:lineRule="auto"/>
              <w:jc w:val="center"/>
            </w:pPr>
            <w:r>
              <w:rPr>
                <w:rFonts w:ascii="Arial" w:hAnsi="Arial" w:eastAsia="Arial"/>
                <w:b w:val="0"/>
                <w:i w:val="0"/>
                <w:sz w:val="14"/>
              </w:rPr>
              <w:t>17,611</w:t>
            </w:r>
          </w:p>
        </w:tc>
        <w:tc>
          <w:tcPr>
            <w:tcW w:w="864" w:type="dxa"/>
            <w:shd w:val="clear" w:color="auto" w:fill="FFFFFF"/>
            <w:tcMar>
              <w:top w:w="50" w:type="dxa"/>
              <w:left w:w="55" w:type="dxa"/>
              <w:bottom w:w="50" w:type="dxa"/>
              <w:right w:w="55" w:type="dxa"/>
            </w:tcMar>
            <w:vAlign w:val="top"/>
          </w:tcPr>
          <w:p w14:paraId="46637CF4">
            <w:pPr>
              <w:spacing w:before="0" w:after="0" w:line="240" w:lineRule="auto"/>
              <w:jc w:val="center"/>
            </w:pPr>
            <w:r>
              <w:rPr>
                <w:rFonts w:ascii="Arial" w:hAnsi="Arial" w:eastAsia="Arial"/>
                <w:b w:val="0"/>
                <w:i w:val="0"/>
                <w:sz w:val="14"/>
              </w:rPr>
              <w:t>821</w:t>
            </w:r>
          </w:p>
        </w:tc>
        <w:tc>
          <w:tcPr>
            <w:tcW w:w="4031" w:type="dxa"/>
            <w:shd w:val="clear" w:color="auto" w:fill="FFFFFF"/>
            <w:tcMar>
              <w:top w:w="50" w:type="dxa"/>
              <w:left w:w="55" w:type="dxa"/>
              <w:bottom w:w="50" w:type="dxa"/>
              <w:right w:w="55" w:type="dxa"/>
            </w:tcMar>
            <w:vAlign w:val="top"/>
          </w:tcPr>
          <w:p w14:paraId="5B4BA892">
            <w:pPr>
              <w:spacing w:before="0" w:after="0" w:line="240" w:lineRule="auto"/>
              <w:jc w:val="left"/>
            </w:pPr>
            <w:r>
              <w:rPr>
                <w:rFonts w:ascii="Arial" w:hAnsi="Arial" w:eastAsia="Arial"/>
                <w:b w:val="0"/>
                <w:i w:val="0"/>
                <w:sz w:val="14"/>
              </w:rPr>
              <w:t>At least 2 prior measurements; all eligible prior values used</w:t>
            </w:r>
          </w:p>
        </w:tc>
        <w:tc>
          <w:tcPr>
            <w:tcW w:w="4536" w:type="dxa"/>
            <w:shd w:val="clear" w:color="auto" w:fill="FFFFFF"/>
            <w:tcMar>
              <w:top w:w="50" w:type="dxa"/>
              <w:left w:w="55" w:type="dxa"/>
              <w:bottom w:w="50" w:type="dxa"/>
              <w:right w:w="55" w:type="dxa"/>
            </w:tcMar>
            <w:vAlign w:val="top"/>
          </w:tcPr>
          <w:p w14:paraId="62D1D995">
            <w:pPr>
              <w:spacing w:before="0" w:after="0" w:line="240" w:lineRule="auto"/>
              <w:jc w:val="left"/>
            </w:pPr>
            <w:r>
              <w:rPr>
                <w:rFonts w:ascii="Arial" w:hAnsi="Arial" w:eastAsia="Arial"/>
                <w:b w:val="0"/>
                <w:i w:val="0"/>
                <w:sz w:val="14"/>
              </w:rPr>
              <w:t>Primary HRS prior-burden/current-deviation sample</w:t>
            </w:r>
          </w:p>
        </w:tc>
      </w:tr>
      <w:tr w14:paraId="6108B01D">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1C15C1DD">
            <w:pPr>
              <w:spacing w:before="0" w:after="0" w:line="240" w:lineRule="auto"/>
              <w:jc w:val="center"/>
            </w:pPr>
            <w:r>
              <w:rPr>
                <w:rFonts w:ascii="Arial" w:hAnsi="Arial" w:eastAsia="Arial"/>
                <w:b w:val="0"/>
                <w:i w:val="0"/>
                <w:sz w:val="14"/>
              </w:rPr>
              <w:t>HRS</w:t>
            </w:r>
          </w:p>
        </w:tc>
        <w:tc>
          <w:tcPr>
            <w:tcW w:w="2951" w:type="dxa"/>
            <w:shd w:val="clear" w:color="auto" w:fill="F6F8FA"/>
            <w:tcMar>
              <w:top w:w="50" w:type="dxa"/>
              <w:left w:w="55" w:type="dxa"/>
              <w:bottom w:w="50" w:type="dxa"/>
              <w:right w:w="55" w:type="dxa"/>
            </w:tcMar>
            <w:vAlign w:val="top"/>
          </w:tcPr>
          <w:p w14:paraId="3FBFF103">
            <w:pPr>
              <w:spacing w:before="0" w:after="0" w:line="240" w:lineRule="auto"/>
              <w:jc w:val="left"/>
            </w:pPr>
            <w:r>
              <w:rPr>
                <w:rFonts w:ascii="Arial" w:hAnsi="Arial" w:eastAsia="Arial"/>
                <w:b w:val="0"/>
                <w:i w:val="0"/>
                <w:sz w:val="14"/>
              </w:rPr>
              <w:t>Biomarker-selection source population</w:t>
            </w:r>
          </w:p>
        </w:tc>
        <w:tc>
          <w:tcPr>
            <w:tcW w:w="1080" w:type="dxa"/>
            <w:shd w:val="clear" w:color="auto" w:fill="F6F8FA"/>
            <w:tcMar>
              <w:top w:w="50" w:type="dxa"/>
              <w:left w:w="55" w:type="dxa"/>
              <w:bottom w:w="50" w:type="dxa"/>
              <w:right w:w="55" w:type="dxa"/>
            </w:tcMar>
            <w:vAlign w:val="top"/>
          </w:tcPr>
          <w:p w14:paraId="0F7F15B6">
            <w:pPr>
              <w:spacing w:before="0" w:after="0" w:line="240" w:lineRule="auto"/>
              <w:jc w:val="center"/>
            </w:pPr>
            <w:r>
              <w:rPr>
                <w:rFonts w:ascii="Arial" w:hAnsi="Arial" w:eastAsia="Arial"/>
                <w:b w:val="0"/>
                <w:i w:val="0"/>
                <w:sz w:val="14"/>
              </w:rPr>
              <w:t>6,805</w:t>
            </w:r>
          </w:p>
        </w:tc>
        <w:tc>
          <w:tcPr>
            <w:tcW w:w="1152" w:type="dxa"/>
            <w:shd w:val="clear" w:color="auto" w:fill="F6F8FA"/>
            <w:tcMar>
              <w:top w:w="50" w:type="dxa"/>
              <w:left w:w="55" w:type="dxa"/>
              <w:bottom w:w="50" w:type="dxa"/>
              <w:right w:w="55" w:type="dxa"/>
            </w:tcMar>
            <w:vAlign w:val="top"/>
          </w:tcPr>
          <w:p w14:paraId="2493BDC1">
            <w:pPr>
              <w:spacing w:before="0" w:after="0" w:line="240" w:lineRule="auto"/>
              <w:jc w:val="center"/>
            </w:pPr>
          </w:p>
        </w:tc>
        <w:tc>
          <w:tcPr>
            <w:tcW w:w="864" w:type="dxa"/>
            <w:shd w:val="clear" w:color="auto" w:fill="F6F8FA"/>
            <w:tcMar>
              <w:top w:w="50" w:type="dxa"/>
              <w:left w:w="55" w:type="dxa"/>
              <w:bottom w:w="50" w:type="dxa"/>
              <w:right w:w="55" w:type="dxa"/>
            </w:tcMar>
            <w:vAlign w:val="top"/>
          </w:tcPr>
          <w:p w14:paraId="1C81C113">
            <w:pPr>
              <w:spacing w:before="0" w:after="0" w:line="240" w:lineRule="auto"/>
              <w:jc w:val="center"/>
            </w:pPr>
            <w:r>
              <w:rPr>
                <w:rFonts w:ascii="Arial" w:hAnsi="Arial" w:eastAsia="Arial"/>
                <w:b w:val="0"/>
                <w:i w:val="0"/>
                <w:sz w:val="14"/>
              </w:rPr>
              <w:t>814</w:t>
            </w:r>
          </w:p>
        </w:tc>
        <w:tc>
          <w:tcPr>
            <w:tcW w:w="4031" w:type="dxa"/>
            <w:shd w:val="clear" w:color="auto" w:fill="F6F8FA"/>
            <w:tcMar>
              <w:top w:w="50" w:type="dxa"/>
              <w:left w:w="55" w:type="dxa"/>
              <w:bottom w:w="50" w:type="dxa"/>
              <w:right w:w="55" w:type="dxa"/>
            </w:tcMar>
            <w:vAlign w:val="top"/>
          </w:tcPr>
          <w:p w14:paraId="4F883489">
            <w:pPr>
              <w:spacing w:before="0" w:after="0" w:line="240" w:lineRule="auto"/>
              <w:jc w:val="left"/>
            </w:pPr>
            <w:r>
              <w:rPr>
                <w:rFonts w:ascii="Arial" w:hAnsi="Arial" w:eastAsia="Arial"/>
                <w:b w:val="0"/>
                <w:i w:val="0"/>
                <w:sz w:val="14"/>
              </w:rPr>
              <w:t>2016 psychological history/current deviation available before biomarker restriction</w:t>
            </w:r>
          </w:p>
        </w:tc>
        <w:tc>
          <w:tcPr>
            <w:tcW w:w="4536" w:type="dxa"/>
            <w:shd w:val="clear" w:color="auto" w:fill="F6F8FA"/>
            <w:tcMar>
              <w:top w:w="50" w:type="dxa"/>
              <w:left w:w="55" w:type="dxa"/>
              <w:bottom w:w="50" w:type="dxa"/>
              <w:right w:w="55" w:type="dxa"/>
            </w:tcMar>
            <w:vAlign w:val="top"/>
          </w:tcPr>
          <w:p w14:paraId="63E3F56E">
            <w:pPr>
              <w:spacing w:before="0" w:after="0" w:line="240" w:lineRule="auto"/>
              <w:jc w:val="left"/>
            </w:pPr>
            <w:r>
              <w:rPr>
                <w:rFonts w:ascii="Arial" w:hAnsi="Arial" w:eastAsia="Arial"/>
                <w:b w:val="0"/>
                <w:i w:val="0"/>
                <w:sz w:val="14"/>
              </w:rPr>
              <w:t>Target population represented by biomarker-selection weights</w:t>
            </w:r>
          </w:p>
        </w:tc>
      </w:tr>
      <w:tr w14:paraId="077D3360">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0D7E9D01">
            <w:pPr>
              <w:spacing w:before="0" w:after="0" w:line="240" w:lineRule="auto"/>
              <w:jc w:val="center"/>
            </w:pPr>
            <w:r>
              <w:rPr>
                <w:rFonts w:ascii="Arial" w:hAnsi="Arial" w:eastAsia="Arial"/>
                <w:b w:val="0"/>
                <w:i w:val="0"/>
                <w:sz w:val="14"/>
              </w:rPr>
              <w:t>HRS</w:t>
            </w:r>
          </w:p>
        </w:tc>
        <w:tc>
          <w:tcPr>
            <w:tcW w:w="2951" w:type="dxa"/>
            <w:shd w:val="clear" w:color="auto" w:fill="FFFFFF"/>
            <w:tcMar>
              <w:top w:w="50" w:type="dxa"/>
              <w:left w:w="55" w:type="dxa"/>
              <w:bottom w:w="50" w:type="dxa"/>
              <w:right w:w="55" w:type="dxa"/>
            </w:tcMar>
            <w:vAlign w:val="top"/>
          </w:tcPr>
          <w:p w14:paraId="47DA6F49">
            <w:pPr>
              <w:spacing w:before="0" w:after="0" w:line="240" w:lineRule="auto"/>
              <w:jc w:val="left"/>
            </w:pPr>
            <w:r>
              <w:rPr>
                <w:rFonts w:ascii="Arial" w:hAnsi="Arial" w:eastAsia="Arial"/>
                <w:b w:val="0"/>
                <w:i w:val="0"/>
                <w:sz w:val="14"/>
              </w:rPr>
              <w:t>Biomarker common sample</w:t>
            </w:r>
          </w:p>
        </w:tc>
        <w:tc>
          <w:tcPr>
            <w:tcW w:w="1080" w:type="dxa"/>
            <w:shd w:val="clear" w:color="auto" w:fill="FFFFFF"/>
            <w:tcMar>
              <w:top w:w="50" w:type="dxa"/>
              <w:left w:w="55" w:type="dxa"/>
              <w:bottom w:w="50" w:type="dxa"/>
              <w:right w:w="55" w:type="dxa"/>
            </w:tcMar>
            <w:vAlign w:val="top"/>
          </w:tcPr>
          <w:p w14:paraId="44A37ADC">
            <w:pPr>
              <w:spacing w:before="0" w:after="0" w:line="240" w:lineRule="auto"/>
              <w:jc w:val="center"/>
            </w:pPr>
            <w:r>
              <w:rPr>
                <w:rFonts w:ascii="Arial" w:hAnsi="Arial" w:eastAsia="Arial"/>
                <w:b w:val="0"/>
                <w:i w:val="0"/>
                <w:sz w:val="14"/>
              </w:rPr>
              <w:t>3,217</w:t>
            </w:r>
          </w:p>
        </w:tc>
        <w:tc>
          <w:tcPr>
            <w:tcW w:w="1152" w:type="dxa"/>
            <w:shd w:val="clear" w:color="auto" w:fill="FFFFFF"/>
            <w:tcMar>
              <w:top w:w="50" w:type="dxa"/>
              <w:left w:w="55" w:type="dxa"/>
              <w:bottom w:w="50" w:type="dxa"/>
              <w:right w:w="55" w:type="dxa"/>
            </w:tcMar>
            <w:vAlign w:val="top"/>
          </w:tcPr>
          <w:p w14:paraId="02F896FE">
            <w:pPr>
              <w:spacing w:before="0" w:after="0" w:line="240" w:lineRule="auto"/>
              <w:jc w:val="center"/>
            </w:pPr>
          </w:p>
        </w:tc>
        <w:tc>
          <w:tcPr>
            <w:tcW w:w="864" w:type="dxa"/>
            <w:shd w:val="clear" w:color="auto" w:fill="FFFFFF"/>
            <w:tcMar>
              <w:top w:w="50" w:type="dxa"/>
              <w:left w:w="55" w:type="dxa"/>
              <w:bottom w:w="50" w:type="dxa"/>
              <w:right w:w="55" w:type="dxa"/>
            </w:tcMar>
            <w:vAlign w:val="top"/>
          </w:tcPr>
          <w:p w14:paraId="52064170">
            <w:pPr>
              <w:spacing w:before="0" w:after="0" w:line="240" w:lineRule="auto"/>
              <w:jc w:val="center"/>
            </w:pPr>
            <w:r>
              <w:rPr>
                <w:rFonts w:ascii="Arial" w:hAnsi="Arial" w:eastAsia="Arial"/>
                <w:b w:val="0"/>
                <w:i w:val="0"/>
                <w:sz w:val="14"/>
              </w:rPr>
              <w:t>366</w:t>
            </w:r>
          </w:p>
        </w:tc>
        <w:tc>
          <w:tcPr>
            <w:tcW w:w="4031" w:type="dxa"/>
            <w:shd w:val="clear" w:color="auto" w:fill="FFFFFF"/>
            <w:tcMar>
              <w:top w:w="50" w:type="dxa"/>
              <w:left w:w="55" w:type="dxa"/>
              <w:bottom w:w="50" w:type="dxa"/>
              <w:right w:w="55" w:type="dxa"/>
            </w:tcMar>
            <w:vAlign w:val="top"/>
          </w:tcPr>
          <w:p w14:paraId="67C78D50">
            <w:pPr>
              <w:spacing w:before="0" w:after="0" w:line="240" w:lineRule="auto"/>
              <w:jc w:val="left"/>
            </w:pPr>
            <w:r>
              <w:rPr>
                <w:rFonts w:ascii="Arial" w:hAnsi="Arial" w:eastAsia="Arial"/>
                <w:b w:val="0"/>
                <w:i w:val="0"/>
                <w:sz w:val="14"/>
              </w:rPr>
              <w:t>IL-6, sTNFR1, and the prespecified two-marker composite jointly available</w:t>
            </w:r>
          </w:p>
        </w:tc>
        <w:tc>
          <w:tcPr>
            <w:tcW w:w="4536" w:type="dxa"/>
            <w:shd w:val="clear" w:color="auto" w:fill="FFFFFF"/>
            <w:tcMar>
              <w:top w:w="50" w:type="dxa"/>
              <w:left w:w="55" w:type="dxa"/>
              <w:bottom w:w="50" w:type="dxa"/>
              <w:right w:w="55" w:type="dxa"/>
            </w:tcMar>
            <w:vAlign w:val="top"/>
          </w:tcPr>
          <w:p w14:paraId="475A6934">
            <w:pPr>
              <w:spacing w:before="0" w:after="0" w:line="240" w:lineRule="auto"/>
              <w:jc w:val="left"/>
            </w:pPr>
            <w:r>
              <w:rPr>
                <w:rFonts w:ascii="Arial" w:hAnsi="Arial" w:eastAsia="Arial"/>
                <w:b w:val="0"/>
                <w:i w:val="0"/>
                <w:sz w:val="14"/>
              </w:rPr>
              <w:t>Secondary selection-weighted biomarker analysis</w:t>
            </w:r>
          </w:p>
        </w:tc>
      </w:tr>
      <w:tr w14:paraId="769413B7">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129D515E">
            <w:pPr>
              <w:spacing w:before="0" w:after="0" w:line="240" w:lineRule="auto"/>
              <w:jc w:val="center"/>
            </w:pPr>
            <w:r>
              <w:rPr>
                <w:rFonts w:ascii="Arial" w:hAnsi="Arial" w:eastAsia="Arial"/>
                <w:b w:val="0"/>
                <w:i w:val="0"/>
                <w:sz w:val="14"/>
              </w:rPr>
              <w:t>HRS</w:t>
            </w:r>
          </w:p>
        </w:tc>
        <w:tc>
          <w:tcPr>
            <w:tcW w:w="2951" w:type="dxa"/>
            <w:shd w:val="clear" w:color="auto" w:fill="F6F8FA"/>
            <w:tcMar>
              <w:top w:w="50" w:type="dxa"/>
              <w:left w:w="55" w:type="dxa"/>
              <w:bottom w:w="50" w:type="dxa"/>
              <w:right w:w="55" w:type="dxa"/>
            </w:tcMar>
            <w:vAlign w:val="top"/>
          </w:tcPr>
          <w:p w14:paraId="0EFD72B9">
            <w:pPr>
              <w:spacing w:before="0" w:after="0" w:line="240" w:lineRule="auto"/>
              <w:jc w:val="left"/>
            </w:pPr>
            <w:r>
              <w:rPr>
                <w:rFonts w:ascii="Arial" w:hAnsi="Arial" w:eastAsia="Arial"/>
                <w:b w:val="0"/>
                <w:i w:val="0"/>
                <w:sz w:val="14"/>
              </w:rPr>
              <w:t>HRS source sample for reweighting to ELSA</w:t>
            </w:r>
          </w:p>
        </w:tc>
        <w:tc>
          <w:tcPr>
            <w:tcW w:w="1080" w:type="dxa"/>
            <w:shd w:val="clear" w:color="auto" w:fill="F6F8FA"/>
            <w:tcMar>
              <w:top w:w="50" w:type="dxa"/>
              <w:left w:w="55" w:type="dxa"/>
              <w:bottom w:w="50" w:type="dxa"/>
              <w:right w:w="55" w:type="dxa"/>
            </w:tcMar>
            <w:vAlign w:val="top"/>
          </w:tcPr>
          <w:p w14:paraId="7A4605AE">
            <w:pPr>
              <w:spacing w:before="0" w:after="0" w:line="240" w:lineRule="auto"/>
              <w:jc w:val="center"/>
            </w:pPr>
            <w:r>
              <w:rPr>
                <w:rFonts w:ascii="Arial" w:hAnsi="Arial" w:eastAsia="Arial"/>
                <w:b w:val="0"/>
                <w:i w:val="0"/>
                <w:sz w:val="14"/>
              </w:rPr>
              <w:t>7,094</w:t>
            </w:r>
          </w:p>
        </w:tc>
        <w:tc>
          <w:tcPr>
            <w:tcW w:w="1152" w:type="dxa"/>
            <w:shd w:val="clear" w:color="auto" w:fill="F6F8FA"/>
            <w:tcMar>
              <w:top w:w="50" w:type="dxa"/>
              <w:left w:w="55" w:type="dxa"/>
              <w:bottom w:w="50" w:type="dxa"/>
              <w:right w:w="55" w:type="dxa"/>
            </w:tcMar>
            <w:vAlign w:val="top"/>
          </w:tcPr>
          <w:p w14:paraId="5879E4E0">
            <w:pPr>
              <w:spacing w:before="0" w:after="0" w:line="240" w:lineRule="auto"/>
              <w:jc w:val="center"/>
            </w:pPr>
            <w:r>
              <w:rPr>
                <w:rFonts w:ascii="Arial" w:hAnsi="Arial" w:eastAsia="Arial"/>
                <w:b w:val="0"/>
                <w:i w:val="0"/>
                <w:sz w:val="14"/>
              </w:rPr>
              <w:t>17,611</w:t>
            </w:r>
          </w:p>
        </w:tc>
        <w:tc>
          <w:tcPr>
            <w:tcW w:w="864" w:type="dxa"/>
            <w:shd w:val="clear" w:color="auto" w:fill="F6F8FA"/>
            <w:tcMar>
              <w:top w:w="50" w:type="dxa"/>
              <w:left w:w="55" w:type="dxa"/>
              <w:bottom w:w="50" w:type="dxa"/>
              <w:right w:w="55" w:type="dxa"/>
            </w:tcMar>
            <w:vAlign w:val="top"/>
          </w:tcPr>
          <w:p w14:paraId="24B3FCF3">
            <w:pPr>
              <w:spacing w:before="0" w:after="0" w:line="240" w:lineRule="auto"/>
              <w:jc w:val="center"/>
            </w:pPr>
            <w:r>
              <w:rPr>
                <w:rFonts w:ascii="Arial" w:hAnsi="Arial" w:eastAsia="Arial"/>
                <w:b w:val="0"/>
                <w:i w:val="0"/>
                <w:sz w:val="14"/>
              </w:rPr>
              <w:t>821</w:t>
            </w:r>
          </w:p>
        </w:tc>
        <w:tc>
          <w:tcPr>
            <w:tcW w:w="4031" w:type="dxa"/>
            <w:shd w:val="clear" w:color="auto" w:fill="F6F8FA"/>
            <w:tcMar>
              <w:top w:w="50" w:type="dxa"/>
              <w:left w:w="55" w:type="dxa"/>
              <w:bottom w:w="50" w:type="dxa"/>
              <w:right w:w="55" w:type="dxa"/>
            </w:tcMar>
            <w:vAlign w:val="top"/>
          </w:tcPr>
          <w:p w14:paraId="1CD5917D">
            <w:pPr>
              <w:spacing w:before="0" w:after="0" w:line="240" w:lineRule="auto"/>
              <w:jc w:val="left"/>
            </w:pPr>
            <w:r>
              <w:rPr>
                <w:rFonts w:ascii="Arial" w:hAnsi="Arial" w:eastAsia="Arial"/>
                <w:b w:val="0"/>
                <w:i w:val="0"/>
                <w:sz w:val="14"/>
              </w:rPr>
              <w:t>Raw CES-D-point history and deviation used for the HRS–ELSA reweighting analysis</w:t>
            </w:r>
          </w:p>
        </w:tc>
        <w:tc>
          <w:tcPr>
            <w:tcW w:w="4536" w:type="dxa"/>
            <w:shd w:val="clear" w:color="auto" w:fill="F6F8FA"/>
            <w:tcMar>
              <w:top w:w="50" w:type="dxa"/>
              <w:left w:w="55" w:type="dxa"/>
              <w:bottom w:w="50" w:type="dxa"/>
              <w:right w:w="55" w:type="dxa"/>
            </w:tcMar>
            <w:vAlign w:val="top"/>
          </w:tcPr>
          <w:p w14:paraId="1B17F281">
            <w:pPr>
              <w:spacing w:before="0" w:after="0" w:line="240" w:lineRule="auto"/>
              <w:jc w:val="left"/>
            </w:pPr>
            <w:r>
              <w:rPr>
                <w:rFonts w:ascii="Arial" w:hAnsi="Arial" w:eastAsia="Arial"/>
                <w:b w:val="0"/>
                <w:i w:val="0"/>
                <w:sz w:val="14"/>
              </w:rPr>
              <w:t>Participant-level HRS source population</w:t>
            </w:r>
          </w:p>
        </w:tc>
      </w:tr>
    </w:tbl>
    <w:p w14:paraId="73F3DF31">
      <w:pPr>
        <w:spacing w:before="0" w:after="40"/>
      </w:pPr>
    </w:p>
    <w:p w14:paraId="51054C00">
      <w:pPr>
        <w:pStyle w:val="165"/>
        <w:keepNext/>
      </w:pPr>
      <w:r>
        <w:rPr>
          <w:rFonts w:ascii="Arial" w:hAnsi="Arial" w:eastAsia="Arial"/>
          <w:b/>
          <w:i w:val="0"/>
          <w:color w:val="355C7D"/>
          <w:sz w:val="17"/>
        </w:rPr>
        <w:t>Panel B. SHARE analysis branches</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2240"/>
        <w:gridCol w:w="2240"/>
        <w:gridCol w:w="2240"/>
        <w:gridCol w:w="2240"/>
        <w:gridCol w:w="2240"/>
        <w:gridCol w:w="2240"/>
        <w:gridCol w:w="2240"/>
      </w:tblGrid>
      <w:tr w14:paraId="52CA51AB">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936" w:type="dxa"/>
            <w:shd w:val="clear" w:color="auto" w:fill="355C7D"/>
            <w:tcMar>
              <w:top w:w="60" w:type="dxa"/>
              <w:left w:w="55" w:type="dxa"/>
              <w:bottom w:w="60" w:type="dxa"/>
              <w:right w:w="55" w:type="dxa"/>
            </w:tcMar>
            <w:vAlign w:val="center"/>
          </w:tcPr>
          <w:p w14:paraId="1062736A">
            <w:pPr>
              <w:spacing w:before="0" w:after="0" w:line="240" w:lineRule="auto"/>
              <w:jc w:val="center"/>
            </w:pPr>
            <w:r>
              <w:rPr>
                <w:rFonts w:ascii="Arial" w:hAnsi="Arial" w:eastAsia="Arial"/>
                <w:b/>
                <w:i w:val="0"/>
                <w:color w:val="FFFFFF"/>
                <w:sz w:val="15"/>
              </w:rPr>
              <w:t>Cohort</w:t>
            </w:r>
          </w:p>
        </w:tc>
        <w:tc>
          <w:tcPr>
            <w:tcW w:w="2951" w:type="dxa"/>
            <w:shd w:val="clear" w:color="auto" w:fill="355C7D"/>
            <w:tcMar>
              <w:top w:w="60" w:type="dxa"/>
              <w:left w:w="55" w:type="dxa"/>
              <w:bottom w:w="60" w:type="dxa"/>
              <w:right w:w="55" w:type="dxa"/>
            </w:tcMar>
            <w:vAlign w:val="center"/>
          </w:tcPr>
          <w:p w14:paraId="78A0B8F8">
            <w:pPr>
              <w:spacing w:before="0" w:after="0" w:line="240" w:lineRule="auto"/>
              <w:jc w:val="center"/>
            </w:pPr>
            <w:r>
              <w:rPr>
                <w:rFonts w:ascii="Arial" w:hAnsi="Arial" w:eastAsia="Arial"/>
                <w:b/>
                <w:i w:val="0"/>
                <w:color w:val="FFFFFF"/>
                <w:sz w:val="15"/>
              </w:rPr>
              <w:t>Analysis branch</w:t>
            </w:r>
          </w:p>
        </w:tc>
        <w:tc>
          <w:tcPr>
            <w:tcW w:w="1080" w:type="dxa"/>
            <w:shd w:val="clear" w:color="auto" w:fill="355C7D"/>
            <w:tcMar>
              <w:top w:w="60" w:type="dxa"/>
              <w:left w:w="55" w:type="dxa"/>
              <w:bottom w:w="60" w:type="dxa"/>
              <w:right w:w="55" w:type="dxa"/>
            </w:tcMar>
            <w:vAlign w:val="center"/>
          </w:tcPr>
          <w:p w14:paraId="00F2232F">
            <w:pPr>
              <w:spacing w:before="0" w:after="0" w:line="240" w:lineRule="auto"/>
              <w:jc w:val="center"/>
            </w:pPr>
            <w:r>
              <w:rPr>
                <w:rFonts w:ascii="Arial" w:hAnsi="Arial" w:eastAsia="Arial"/>
                <w:b/>
                <w:i w:val="0"/>
                <w:color w:val="FFFFFF"/>
                <w:sz w:val="15"/>
              </w:rPr>
              <w:t>Participants</w:t>
            </w:r>
          </w:p>
        </w:tc>
        <w:tc>
          <w:tcPr>
            <w:tcW w:w="1152" w:type="dxa"/>
            <w:shd w:val="clear" w:color="auto" w:fill="355C7D"/>
            <w:tcMar>
              <w:top w:w="60" w:type="dxa"/>
              <w:left w:w="55" w:type="dxa"/>
              <w:bottom w:w="60" w:type="dxa"/>
              <w:right w:w="55" w:type="dxa"/>
            </w:tcMar>
            <w:vAlign w:val="center"/>
          </w:tcPr>
          <w:p w14:paraId="480D0D9D">
            <w:pPr>
              <w:spacing w:before="0" w:after="0" w:line="240" w:lineRule="auto"/>
              <w:jc w:val="center"/>
            </w:pPr>
            <w:r>
              <w:rPr>
                <w:rFonts w:ascii="Arial" w:hAnsi="Arial" w:eastAsia="Arial"/>
                <w:b/>
                <w:i w:val="0"/>
                <w:color w:val="FFFFFF"/>
                <w:sz w:val="15"/>
              </w:rPr>
              <w:t>Person-waves</w:t>
            </w:r>
          </w:p>
        </w:tc>
        <w:tc>
          <w:tcPr>
            <w:tcW w:w="864" w:type="dxa"/>
            <w:shd w:val="clear" w:color="auto" w:fill="355C7D"/>
            <w:tcMar>
              <w:top w:w="60" w:type="dxa"/>
              <w:left w:w="55" w:type="dxa"/>
              <w:bottom w:w="60" w:type="dxa"/>
              <w:right w:w="55" w:type="dxa"/>
            </w:tcMar>
            <w:vAlign w:val="center"/>
          </w:tcPr>
          <w:p w14:paraId="347BFB2D">
            <w:pPr>
              <w:spacing w:before="0" w:after="0" w:line="240" w:lineRule="auto"/>
              <w:jc w:val="center"/>
            </w:pPr>
            <w:r>
              <w:rPr>
                <w:rFonts w:ascii="Arial" w:hAnsi="Arial" w:eastAsia="Arial"/>
                <w:b/>
                <w:i w:val="0"/>
                <w:color w:val="FFFFFF"/>
                <w:sz w:val="15"/>
              </w:rPr>
              <w:t>Events</w:t>
            </w:r>
          </w:p>
        </w:tc>
        <w:tc>
          <w:tcPr>
            <w:tcW w:w="4031" w:type="dxa"/>
            <w:shd w:val="clear" w:color="auto" w:fill="355C7D"/>
            <w:tcMar>
              <w:top w:w="60" w:type="dxa"/>
              <w:left w:w="55" w:type="dxa"/>
              <w:bottom w:w="60" w:type="dxa"/>
              <w:right w:w="55" w:type="dxa"/>
            </w:tcMar>
            <w:vAlign w:val="center"/>
          </w:tcPr>
          <w:p w14:paraId="1BE33465">
            <w:pPr>
              <w:spacing w:before="0" w:after="0" w:line="240" w:lineRule="auto"/>
              <w:jc w:val="center"/>
            </w:pPr>
            <w:r>
              <w:rPr>
                <w:rFonts w:ascii="Arial" w:hAnsi="Arial" w:eastAsia="Arial"/>
                <w:b/>
                <w:i w:val="0"/>
                <w:color w:val="FFFFFF"/>
                <w:sz w:val="15"/>
              </w:rPr>
              <w:t>History/eligibility information</w:t>
            </w:r>
          </w:p>
        </w:tc>
        <w:tc>
          <w:tcPr>
            <w:tcW w:w="4536" w:type="dxa"/>
            <w:shd w:val="clear" w:color="auto" w:fill="355C7D"/>
            <w:tcMar>
              <w:top w:w="60" w:type="dxa"/>
              <w:left w:w="55" w:type="dxa"/>
              <w:bottom w:w="60" w:type="dxa"/>
              <w:right w:w="55" w:type="dxa"/>
            </w:tcMar>
            <w:vAlign w:val="center"/>
          </w:tcPr>
          <w:p w14:paraId="1FDD8ABD">
            <w:pPr>
              <w:spacing w:before="0" w:after="0" w:line="240" w:lineRule="auto"/>
              <w:jc w:val="center"/>
            </w:pPr>
            <w:r>
              <w:rPr>
                <w:rFonts w:ascii="Arial" w:hAnsi="Arial" w:eastAsia="Arial"/>
                <w:b/>
                <w:i w:val="0"/>
                <w:color w:val="FFFFFF"/>
                <w:sz w:val="15"/>
              </w:rPr>
              <w:t>Notes</w:t>
            </w:r>
          </w:p>
        </w:tc>
      </w:tr>
      <w:tr w14:paraId="5853B698">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4C5547CB">
            <w:pPr>
              <w:spacing w:before="0" w:after="0" w:line="240" w:lineRule="auto"/>
              <w:jc w:val="center"/>
            </w:pPr>
            <w:r>
              <w:rPr>
                <w:rFonts w:ascii="Arial" w:hAnsi="Arial" w:eastAsia="Arial"/>
                <w:b w:val="0"/>
                <w:i w:val="0"/>
                <w:sz w:val="14"/>
              </w:rPr>
              <w:t>SHARE</w:t>
            </w:r>
          </w:p>
        </w:tc>
        <w:tc>
          <w:tcPr>
            <w:tcW w:w="2951" w:type="dxa"/>
            <w:shd w:val="clear" w:color="auto" w:fill="FFFFFF"/>
            <w:tcMar>
              <w:top w:w="50" w:type="dxa"/>
              <w:left w:w="55" w:type="dxa"/>
              <w:bottom w:w="50" w:type="dxa"/>
              <w:right w:w="55" w:type="dxa"/>
            </w:tcMar>
            <w:vAlign w:val="top"/>
          </w:tcPr>
          <w:p w14:paraId="0E0D218C">
            <w:pPr>
              <w:spacing w:before="0" w:after="0" w:line="240" w:lineRule="auto"/>
              <w:jc w:val="left"/>
            </w:pPr>
            <w:r>
              <w:rPr>
                <w:rFonts w:ascii="Arial" w:hAnsi="Arial" w:eastAsia="Arial"/>
                <w:b w:val="0"/>
                <w:i w:val="0"/>
                <w:sz w:val="14"/>
              </w:rPr>
              <w:t>Feasibility-qualified independent EURO-D analysis</w:t>
            </w:r>
          </w:p>
        </w:tc>
        <w:tc>
          <w:tcPr>
            <w:tcW w:w="1080" w:type="dxa"/>
            <w:shd w:val="clear" w:color="auto" w:fill="FFFFFF"/>
            <w:tcMar>
              <w:top w:w="50" w:type="dxa"/>
              <w:left w:w="55" w:type="dxa"/>
              <w:bottom w:w="50" w:type="dxa"/>
              <w:right w:w="55" w:type="dxa"/>
            </w:tcMar>
            <w:vAlign w:val="top"/>
          </w:tcPr>
          <w:p w14:paraId="787B431D">
            <w:pPr>
              <w:spacing w:before="0" w:after="0" w:line="240" w:lineRule="auto"/>
              <w:jc w:val="center"/>
            </w:pPr>
            <w:r>
              <w:rPr>
                <w:rFonts w:ascii="Arial" w:hAnsi="Arial" w:eastAsia="Arial"/>
                <w:b w:val="0"/>
                <w:i w:val="0"/>
                <w:sz w:val="14"/>
              </w:rPr>
              <w:t>26,489</w:t>
            </w:r>
          </w:p>
        </w:tc>
        <w:tc>
          <w:tcPr>
            <w:tcW w:w="1152" w:type="dxa"/>
            <w:shd w:val="clear" w:color="auto" w:fill="FFFFFF"/>
            <w:tcMar>
              <w:top w:w="50" w:type="dxa"/>
              <w:left w:w="55" w:type="dxa"/>
              <w:bottom w:w="50" w:type="dxa"/>
              <w:right w:w="55" w:type="dxa"/>
            </w:tcMar>
            <w:vAlign w:val="top"/>
          </w:tcPr>
          <w:p w14:paraId="6247AB37">
            <w:pPr>
              <w:spacing w:before="0" w:after="0" w:line="240" w:lineRule="auto"/>
              <w:jc w:val="center"/>
            </w:pPr>
            <w:r>
              <w:rPr>
                <w:rFonts w:ascii="Arial" w:hAnsi="Arial" w:eastAsia="Arial"/>
                <w:b w:val="0"/>
                <w:i w:val="0"/>
                <w:sz w:val="14"/>
              </w:rPr>
              <w:t>47,295</w:t>
            </w:r>
          </w:p>
        </w:tc>
        <w:tc>
          <w:tcPr>
            <w:tcW w:w="864" w:type="dxa"/>
            <w:shd w:val="clear" w:color="auto" w:fill="FFFFFF"/>
            <w:tcMar>
              <w:top w:w="50" w:type="dxa"/>
              <w:left w:w="55" w:type="dxa"/>
              <w:bottom w:w="50" w:type="dxa"/>
              <w:right w:w="55" w:type="dxa"/>
            </w:tcMar>
            <w:vAlign w:val="top"/>
          </w:tcPr>
          <w:p w14:paraId="5C7B1B0B">
            <w:pPr>
              <w:spacing w:before="0" w:after="0" w:line="240" w:lineRule="auto"/>
              <w:jc w:val="center"/>
            </w:pPr>
            <w:r>
              <w:rPr>
                <w:rFonts w:ascii="Arial" w:hAnsi="Arial" w:eastAsia="Arial"/>
                <w:b w:val="0"/>
                <w:i w:val="0"/>
                <w:sz w:val="14"/>
              </w:rPr>
              <w:t>2,792</w:t>
            </w:r>
          </w:p>
        </w:tc>
        <w:tc>
          <w:tcPr>
            <w:tcW w:w="4031" w:type="dxa"/>
            <w:shd w:val="clear" w:color="auto" w:fill="FFFFFF"/>
            <w:tcMar>
              <w:top w:w="50" w:type="dxa"/>
              <w:left w:w="55" w:type="dxa"/>
              <w:bottom w:w="50" w:type="dxa"/>
              <w:right w:w="55" w:type="dxa"/>
            </w:tcMar>
            <w:vAlign w:val="top"/>
          </w:tcPr>
          <w:p w14:paraId="3DE671CB">
            <w:pPr>
              <w:spacing w:before="0" w:after="0" w:line="240" w:lineRule="auto"/>
              <w:jc w:val="left"/>
            </w:pPr>
            <w:r>
              <w:rPr>
                <w:rFonts w:ascii="Arial" w:hAnsi="Arial" w:eastAsia="Arial"/>
                <w:b w:val="0"/>
                <w:i w:val="0"/>
                <w:sz w:val="14"/>
              </w:rPr>
              <w:t>All available eligible prior EURO-D values</w:t>
            </w:r>
          </w:p>
        </w:tc>
        <w:tc>
          <w:tcPr>
            <w:tcW w:w="4536" w:type="dxa"/>
            <w:shd w:val="clear" w:color="auto" w:fill="FFFFFF"/>
            <w:tcMar>
              <w:top w:w="50" w:type="dxa"/>
              <w:left w:w="55" w:type="dxa"/>
              <w:bottom w:w="50" w:type="dxa"/>
              <w:right w:w="55" w:type="dxa"/>
            </w:tcMar>
            <w:vAlign w:val="top"/>
          </w:tcPr>
          <w:p w14:paraId="17723020">
            <w:pPr>
              <w:spacing w:before="0" w:after="0" w:line="240" w:lineRule="auto"/>
              <w:jc w:val="left"/>
            </w:pPr>
            <w:r>
              <w:rPr>
                <w:rFonts w:ascii="Arial" w:hAnsi="Arial" w:eastAsia="Arial"/>
                <w:b w:val="0"/>
                <w:i w:val="0"/>
                <w:sz w:val="14"/>
              </w:rPr>
              <w:t>Independent EURO-D dynamic-process sample</w:t>
            </w:r>
          </w:p>
        </w:tc>
      </w:tr>
      <w:tr w14:paraId="2BB51437">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109E5544">
            <w:pPr>
              <w:spacing w:before="0" w:after="0" w:line="240" w:lineRule="auto"/>
              <w:jc w:val="center"/>
            </w:pPr>
            <w:r>
              <w:rPr>
                <w:rFonts w:ascii="Arial" w:hAnsi="Arial" w:eastAsia="Arial"/>
                <w:b w:val="0"/>
                <w:i w:val="0"/>
                <w:sz w:val="14"/>
              </w:rPr>
              <w:t>SHARE</w:t>
            </w:r>
          </w:p>
        </w:tc>
        <w:tc>
          <w:tcPr>
            <w:tcW w:w="2951" w:type="dxa"/>
            <w:shd w:val="clear" w:color="auto" w:fill="F6F8FA"/>
            <w:tcMar>
              <w:top w:w="50" w:type="dxa"/>
              <w:left w:w="55" w:type="dxa"/>
              <w:bottom w:w="50" w:type="dxa"/>
              <w:right w:w="55" w:type="dxa"/>
            </w:tcMar>
            <w:vAlign w:val="top"/>
          </w:tcPr>
          <w:p w14:paraId="6CF0ED2F">
            <w:pPr>
              <w:spacing w:before="0" w:after="0" w:line="240" w:lineRule="auto"/>
              <w:jc w:val="left"/>
            </w:pPr>
            <w:r>
              <w:rPr>
                <w:rFonts w:ascii="Arial" w:hAnsi="Arial" w:eastAsia="Arial"/>
                <w:b w:val="0"/>
                <w:i w:val="0"/>
                <w:sz w:val="14"/>
              </w:rPr>
              <w:t>Next-wave outcome-observability audit</w:t>
            </w:r>
          </w:p>
        </w:tc>
        <w:tc>
          <w:tcPr>
            <w:tcW w:w="1080" w:type="dxa"/>
            <w:shd w:val="clear" w:color="auto" w:fill="F6F8FA"/>
            <w:tcMar>
              <w:top w:w="50" w:type="dxa"/>
              <w:left w:w="55" w:type="dxa"/>
              <w:bottom w:w="50" w:type="dxa"/>
              <w:right w:w="55" w:type="dxa"/>
            </w:tcMar>
            <w:vAlign w:val="top"/>
          </w:tcPr>
          <w:p w14:paraId="40503A59">
            <w:pPr>
              <w:spacing w:before="0" w:after="0" w:line="240" w:lineRule="auto"/>
              <w:jc w:val="center"/>
            </w:pPr>
            <w:r>
              <w:t>39,658</w:t>
            </w:r>
          </w:p>
        </w:tc>
        <w:tc>
          <w:tcPr>
            <w:tcW w:w="1152" w:type="dxa"/>
            <w:shd w:val="clear" w:color="auto" w:fill="F6F8FA"/>
            <w:tcMar>
              <w:top w:w="50" w:type="dxa"/>
              <w:left w:w="55" w:type="dxa"/>
              <w:bottom w:w="50" w:type="dxa"/>
              <w:right w:w="55" w:type="dxa"/>
            </w:tcMar>
            <w:vAlign w:val="top"/>
          </w:tcPr>
          <w:p w14:paraId="2280A760">
            <w:pPr>
              <w:spacing w:before="0" w:after="0" w:line="240" w:lineRule="auto"/>
              <w:jc w:val="center"/>
            </w:pPr>
            <w:r>
              <w:rPr>
                <w:rFonts w:ascii="Arial" w:hAnsi="Arial" w:eastAsia="Arial"/>
                <w:b w:val="0"/>
                <w:i w:val="0"/>
                <w:sz w:val="14"/>
              </w:rPr>
              <w:t>69,366</w:t>
            </w:r>
          </w:p>
        </w:tc>
        <w:tc>
          <w:tcPr>
            <w:tcW w:w="864" w:type="dxa"/>
            <w:shd w:val="clear" w:color="auto" w:fill="F6F8FA"/>
            <w:tcMar>
              <w:top w:w="50" w:type="dxa"/>
              <w:left w:w="55" w:type="dxa"/>
              <w:bottom w:w="50" w:type="dxa"/>
              <w:right w:w="55" w:type="dxa"/>
            </w:tcMar>
            <w:vAlign w:val="top"/>
          </w:tcPr>
          <w:p w14:paraId="79E7F8C6">
            <w:pPr>
              <w:spacing w:before="0" w:after="0" w:line="240" w:lineRule="auto"/>
              <w:jc w:val="center"/>
            </w:pPr>
          </w:p>
        </w:tc>
        <w:tc>
          <w:tcPr>
            <w:tcW w:w="4031" w:type="dxa"/>
            <w:shd w:val="clear" w:color="auto" w:fill="F6F8FA"/>
            <w:tcMar>
              <w:top w:w="50" w:type="dxa"/>
              <w:left w:w="55" w:type="dxa"/>
              <w:bottom w:w="50" w:type="dxa"/>
              <w:right w:w="55" w:type="dxa"/>
            </w:tcMar>
            <w:vAlign w:val="top"/>
          </w:tcPr>
          <w:p w14:paraId="65F38F57">
            <w:pPr>
              <w:spacing w:before="0" w:after="0" w:line="240" w:lineRule="auto"/>
              <w:jc w:val="left"/>
            </w:pPr>
            <w:r>
              <w:rPr>
                <w:rFonts w:ascii="Arial" w:hAnsi="Arial" w:eastAsia="Arial"/>
                <w:b w:val="0"/>
                <w:i w:val="0"/>
                <w:sz w:val="14"/>
              </w:rPr>
              <w:t>Rows eligible before requiring observed next-wave heart-disease status; 47,336 outcomes were observed and 22,030 were missing</w:t>
            </w:r>
          </w:p>
        </w:tc>
        <w:tc>
          <w:tcPr>
            <w:tcW w:w="4536" w:type="dxa"/>
            <w:shd w:val="clear" w:color="auto" w:fill="F6F8FA"/>
            <w:tcMar>
              <w:top w:w="50" w:type="dxa"/>
              <w:left w:w="55" w:type="dxa"/>
              <w:bottom w:w="50" w:type="dxa"/>
              <w:right w:w="55" w:type="dxa"/>
            </w:tcMar>
            <w:vAlign w:val="top"/>
          </w:tcPr>
          <w:p w14:paraId="7FB12123">
            <w:pPr>
              <w:spacing w:before="0" w:after="0" w:line="240" w:lineRule="auto"/>
              <w:jc w:val="left"/>
            </w:pPr>
            <w:r>
              <w:rPr>
                <w:rFonts w:ascii="Arial" w:hAnsi="Arial" w:eastAsia="Arial"/>
                <w:b w:val="0"/>
                <w:i w:val="0"/>
                <w:sz w:val="14"/>
              </w:rPr>
              <w:t>Of 47,336 rows with observed next-wave outcomes, 41 were excluded because partnered status was missing, leaving 47,295 person-waves in the primary model</w:t>
            </w:r>
          </w:p>
        </w:tc>
      </w:tr>
      <w:tr w14:paraId="7C93674E">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57F0057D">
            <w:pPr>
              <w:spacing w:before="0" w:after="0" w:line="240" w:lineRule="auto"/>
              <w:jc w:val="center"/>
            </w:pPr>
            <w:r>
              <w:rPr>
                <w:rFonts w:ascii="Arial" w:hAnsi="Arial" w:eastAsia="Arial"/>
                <w:b w:val="0"/>
                <w:i w:val="0"/>
                <w:sz w:val="14"/>
              </w:rPr>
              <w:t>SHARE</w:t>
            </w:r>
          </w:p>
        </w:tc>
        <w:tc>
          <w:tcPr>
            <w:tcW w:w="2951" w:type="dxa"/>
            <w:shd w:val="clear" w:color="auto" w:fill="FFFFFF"/>
            <w:tcMar>
              <w:top w:w="50" w:type="dxa"/>
              <w:left w:w="55" w:type="dxa"/>
              <w:bottom w:w="50" w:type="dxa"/>
              <w:right w:w="55" w:type="dxa"/>
            </w:tcMar>
            <w:vAlign w:val="top"/>
          </w:tcPr>
          <w:p w14:paraId="02999CA7">
            <w:pPr>
              <w:spacing w:before="0" w:after="0" w:line="240" w:lineRule="auto"/>
              <w:jc w:val="left"/>
            </w:pPr>
            <w:r>
              <w:rPr>
                <w:rFonts w:ascii="Arial" w:hAnsi="Arial" w:eastAsia="Arial"/>
                <w:b w:val="0"/>
                <w:i w:val="0"/>
                <w:sz w:val="14"/>
              </w:rPr>
              <w:t>Observation-probability IPW sensitivity</w:t>
            </w:r>
          </w:p>
        </w:tc>
        <w:tc>
          <w:tcPr>
            <w:tcW w:w="1080" w:type="dxa"/>
            <w:shd w:val="clear" w:color="auto" w:fill="FFFFFF"/>
            <w:tcMar>
              <w:top w:w="50" w:type="dxa"/>
              <w:left w:w="55" w:type="dxa"/>
              <w:bottom w:w="50" w:type="dxa"/>
              <w:right w:w="55" w:type="dxa"/>
            </w:tcMar>
            <w:vAlign w:val="top"/>
          </w:tcPr>
          <w:p w14:paraId="300DC0E2">
            <w:pPr>
              <w:spacing w:before="0" w:after="0" w:line="240" w:lineRule="auto"/>
              <w:jc w:val="center"/>
            </w:pPr>
            <w:r>
              <w:rPr>
                <w:rFonts w:ascii="Arial" w:hAnsi="Arial" w:eastAsia="Arial"/>
                <w:b w:val="0"/>
                <w:i w:val="0"/>
                <w:sz w:val="14"/>
              </w:rPr>
              <w:t>26,489</w:t>
            </w:r>
          </w:p>
        </w:tc>
        <w:tc>
          <w:tcPr>
            <w:tcW w:w="1152" w:type="dxa"/>
            <w:shd w:val="clear" w:color="auto" w:fill="FFFFFF"/>
            <w:tcMar>
              <w:top w:w="50" w:type="dxa"/>
              <w:left w:w="55" w:type="dxa"/>
              <w:bottom w:w="50" w:type="dxa"/>
              <w:right w:w="55" w:type="dxa"/>
            </w:tcMar>
            <w:vAlign w:val="top"/>
          </w:tcPr>
          <w:p w14:paraId="728C31B1">
            <w:pPr>
              <w:spacing w:before="0" w:after="0" w:line="240" w:lineRule="auto"/>
              <w:jc w:val="center"/>
            </w:pPr>
            <w:r>
              <w:rPr>
                <w:rFonts w:ascii="Arial" w:hAnsi="Arial" w:eastAsia="Arial"/>
                <w:b w:val="0"/>
                <w:i w:val="0"/>
                <w:sz w:val="14"/>
              </w:rPr>
              <w:t>47,295</w:t>
            </w:r>
          </w:p>
        </w:tc>
        <w:tc>
          <w:tcPr>
            <w:tcW w:w="864" w:type="dxa"/>
            <w:shd w:val="clear" w:color="auto" w:fill="FFFFFF"/>
            <w:tcMar>
              <w:top w:w="50" w:type="dxa"/>
              <w:left w:w="55" w:type="dxa"/>
              <w:bottom w:w="50" w:type="dxa"/>
              <w:right w:w="55" w:type="dxa"/>
            </w:tcMar>
            <w:vAlign w:val="top"/>
          </w:tcPr>
          <w:p w14:paraId="1560C881">
            <w:pPr>
              <w:spacing w:before="0" w:after="0" w:line="240" w:lineRule="auto"/>
              <w:jc w:val="center"/>
            </w:pPr>
            <w:r>
              <w:rPr>
                <w:rFonts w:ascii="Arial" w:hAnsi="Arial" w:eastAsia="Arial"/>
                <w:b w:val="0"/>
                <w:i w:val="0"/>
                <w:sz w:val="14"/>
              </w:rPr>
              <w:t>2,792</w:t>
            </w:r>
          </w:p>
        </w:tc>
        <w:tc>
          <w:tcPr>
            <w:tcW w:w="4031" w:type="dxa"/>
            <w:shd w:val="clear" w:color="auto" w:fill="FFFFFF"/>
            <w:tcMar>
              <w:top w:w="50" w:type="dxa"/>
              <w:left w:w="55" w:type="dxa"/>
              <w:bottom w:w="50" w:type="dxa"/>
              <w:right w:w="55" w:type="dxa"/>
            </w:tcMar>
            <w:vAlign w:val="top"/>
          </w:tcPr>
          <w:p w14:paraId="673984B0">
            <w:pPr>
              <w:spacing w:before="0" w:after="0" w:line="240" w:lineRule="auto"/>
              <w:jc w:val="left"/>
            </w:pPr>
            <w:r>
              <w:rPr>
                <w:rFonts w:ascii="Arial" w:hAnsi="Arial" w:eastAsia="Arial"/>
                <w:b w:val="0"/>
                <w:i w:val="0"/>
                <w:sz w:val="14"/>
              </w:rPr>
              <w:t>Observed next-wave outcomes with stabilized, truncated observation weights</w:t>
            </w:r>
          </w:p>
        </w:tc>
        <w:tc>
          <w:tcPr>
            <w:tcW w:w="4536" w:type="dxa"/>
            <w:shd w:val="clear" w:color="auto" w:fill="FFFFFF"/>
            <w:tcMar>
              <w:top w:w="50" w:type="dxa"/>
              <w:left w:w="55" w:type="dxa"/>
              <w:bottom w:w="50" w:type="dxa"/>
              <w:right w:w="55" w:type="dxa"/>
            </w:tcMar>
            <w:vAlign w:val="top"/>
          </w:tcPr>
          <w:p w14:paraId="11322F70">
            <w:pPr>
              <w:spacing w:before="0" w:after="0" w:line="240" w:lineRule="auto"/>
              <w:jc w:val="left"/>
            </w:pPr>
            <w:r>
              <w:rPr>
                <w:rFonts w:ascii="Arial" w:hAnsi="Arial" w:eastAsia="Arial"/>
                <w:b w:val="0"/>
                <w:i w:val="0"/>
                <w:sz w:val="14"/>
              </w:rPr>
              <w:t>Stabilized and truncated observation weights</w:t>
            </w:r>
          </w:p>
        </w:tc>
      </w:tr>
    </w:tbl>
    <w:p w14:paraId="72C0759A">
      <w:pPr>
        <w:spacing w:before="0" w:after="40"/>
      </w:pPr>
    </w:p>
    <w:p w14:paraId="5AFE0604">
      <w:pPr>
        <w:pStyle w:val="165"/>
        <w:keepNext/>
      </w:pPr>
      <w:r>
        <w:rPr>
          <w:rFonts w:ascii="Arial" w:hAnsi="Arial" w:eastAsia="Arial"/>
          <w:b/>
          <w:i w:val="0"/>
          <w:color w:val="355C7D"/>
          <w:sz w:val="17"/>
        </w:rPr>
        <w:t>Panel C. ELSA analysis branches</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2240"/>
        <w:gridCol w:w="2240"/>
        <w:gridCol w:w="2240"/>
        <w:gridCol w:w="2240"/>
        <w:gridCol w:w="2240"/>
        <w:gridCol w:w="2240"/>
        <w:gridCol w:w="2240"/>
      </w:tblGrid>
      <w:tr w14:paraId="73B3EA9D">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936" w:type="dxa"/>
            <w:shd w:val="clear" w:color="auto" w:fill="355C7D"/>
            <w:tcMar>
              <w:top w:w="60" w:type="dxa"/>
              <w:left w:w="55" w:type="dxa"/>
              <w:bottom w:w="60" w:type="dxa"/>
              <w:right w:w="55" w:type="dxa"/>
            </w:tcMar>
            <w:vAlign w:val="center"/>
          </w:tcPr>
          <w:p w14:paraId="6B36D82B">
            <w:pPr>
              <w:spacing w:before="0" w:after="0" w:line="240" w:lineRule="auto"/>
              <w:jc w:val="center"/>
            </w:pPr>
            <w:r>
              <w:rPr>
                <w:rFonts w:ascii="Arial" w:hAnsi="Arial" w:eastAsia="Arial"/>
                <w:b/>
                <w:i w:val="0"/>
                <w:color w:val="FFFFFF"/>
                <w:sz w:val="15"/>
              </w:rPr>
              <w:t>Cohort</w:t>
            </w:r>
          </w:p>
        </w:tc>
        <w:tc>
          <w:tcPr>
            <w:tcW w:w="2951" w:type="dxa"/>
            <w:shd w:val="clear" w:color="auto" w:fill="355C7D"/>
            <w:tcMar>
              <w:top w:w="60" w:type="dxa"/>
              <w:left w:w="55" w:type="dxa"/>
              <w:bottom w:w="60" w:type="dxa"/>
              <w:right w:w="55" w:type="dxa"/>
            </w:tcMar>
            <w:vAlign w:val="center"/>
          </w:tcPr>
          <w:p w14:paraId="0A116827">
            <w:pPr>
              <w:spacing w:before="0" w:after="0" w:line="240" w:lineRule="auto"/>
              <w:jc w:val="center"/>
            </w:pPr>
            <w:r>
              <w:rPr>
                <w:rFonts w:ascii="Arial" w:hAnsi="Arial" w:eastAsia="Arial"/>
                <w:b/>
                <w:i w:val="0"/>
                <w:color w:val="FFFFFF"/>
                <w:sz w:val="15"/>
              </w:rPr>
              <w:t>Analysis branch</w:t>
            </w:r>
          </w:p>
        </w:tc>
        <w:tc>
          <w:tcPr>
            <w:tcW w:w="1080" w:type="dxa"/>
            <w:shd w:val="clear" w:color="auto" w:fill="355C7D"/>
            <w:tcMar>
              <w:top w:w="60" w:type="dxa"/>
              <w:left w:w="55" w:type="dxa"/>
              <w:bottom w:w="60" w:type="dxa"/>
              <w:right w:w="55" w:type="dxa"/>
            </w:tcMar>
            <w:vAlign w:val="center"/>
          </w:tcPr>
          <w:p w14:paraId="6DDF7283">
            <w:pPr>
              <w:spacing w:before="0" w:after="0" w:line="240" w:lineRule="auto"/>
              <w:jc w:val="center"/>
            </w:pPr>
            <w:r>
              <w:rPr>
                <w:rFonts w:ascii="Arial" w:hAnsi="Arial" w:eastAsia="Arial"/>
                <w:b/>
                <w:i w:val="0"/>
                <w:color w:val="FFFFFF"/>
                <w:sz w:val="15"/>
              </w:rPr>
              <w:t>Participants</w:t>
            </w:r>
          </w:p>
        </w:tc>
        <w:tc>
          <w:tcPr>
            <w:tcW w:w="1152" w:type="dxa"/>
            <w:shd w:val="clear" w:color="auto" w:fill="355C7D"/>
            <w:tcMar>
              <w:top w:w="60" w:type="dxa"/>
              <w:left w:w="55" w:type="dxa"/>
              <w:bottom w:w="60" w:type="dxa"/>
              <w:right w:w="55" w:type="dxa"/>
            </w:tcMar>
            <w:vAlign w:val="center"/>
          </w:tcPr>
          <w:p w14:paraId="20FC5E83">
            <w:pPr>
              <w:spacing w:before="0" w:after="0" w:line="240" w:lineRule="auto"/>
              <w:jc w:val="center"/>
            </w:pPr>
            <w:r>
              <w:rPr>
                <w:rFonts w:ascii="Arial" w:hAnsi="Arial" w:eastAsia="Arial"/>
                <w:b/>
                <w:i w:val="0"/>
                <w:color w:val="FFFFFF"/>
                <w:sz w:val="15"/>
              </w:rPr>
              <w:t>Person-waves</w:t>
            </w:r>
          </w:p>
        </w:tc>
        <w:tc>
          <w:tcPr>
            <w:tcW w:w="864" w:type="dxa"/>
            <w:shd w:val="clear" w:color="auto" w:fill="355C7D"/>
            <w:tcMar>
              <w:top w:w="60" w:type="dxa"/>
              <w:left w:w="55" w:type="dxa"/>
              <w:bottom w:w="60" w:type="dxa"/>
              <w:right w:w="55" w:type="dxa"/>
            </w:tcMar>
            <w:vAlign w:val="center"/>
          </w:tcPr>
          <w:p w14:paraId="52B134DD">
            <w:pPr>
              <w:spacing w:before="0" w:after="0" w:line="240" w:lineRule="auto"/>
              <w:jc w:val="center"/>
            </w:pPr>
            <w:r>
              <w:rPr>
                <w:rFonts w:ascii="Arial" w:hAnsi="Arial" w:eastAsia="Arial"/>
                <w:b/>
                <w:i w:val="0"/>
                <w:color w:val="FFFFFF"/>
                <w:sz w:val="15"/>
              </w:rPr>
              <w:t>Events</w:t>
            </w:r>
          </w:p>
        </w:tc>
        <w:tc>
          <w:tcPr>
            <w:tcW w:w="4031" w:type="dxa"/>
            <w:shd w:val="clear" w:color="auto" w:fill="355C7D"/>
            <w:tcMar>
              <w:top w:w="60" w:type="dxa"/>
              <w:left w:w="55" w:type="dxa"/>
              <w:bottom w:w="60" w:type="dxa"/>
              <w:right w:w="55" w:type="dxa"/>
            </w:tcMar>
            <w:vAlign w:val="center"/>
          </w:tcPr>
          <w:p w14:paraId="295FB443">
            <w:pPr>
              <w:spacing w:before="0" w:after="0" w:line="240" w:lineRule="auto"/>
              <w:jc w:val="center"/>
            </w:pPr>
            <w:r>
              <w:rPr>
                <w:rFonts w:ascii="Arial" w:hAnsi="Arial" w:eastAsia="Arial"/>
                <w:b/>
                <w:i w:val="0"/>
                <w:color w:val="FFFFFF"/>
                <w:sz w:val="15"/>
              </w:rPr>
              <w:t>History/eligibility information</w:t>
            </w:r>
          </w:p>
        </w:tc>
        <w:tc>
          <w:tcPr>
            <w:tcW w:w="4536" w:type="dxa"/>
            <w:shd w:val="clear" w:color="auto" w:fill="355C7D"/>
            <w:tcMar>
              <w:top w:w="60" w:type="dxa"/>
              <w:left w:w="55" w:type="dxa"/>
              <w:bottom w:w="60" w:type="dxa"/>
              <w:right w:w="55" w:type="dxa"/>
            </w:tcMar>
            <w:vAlign w:val="center"/>
          </w:tcPr>
          <w:p w14:paraId="6EEEBE19">
            <w:pPr>
              <w:spacing w:before="0" w:after="0" w:line="240" w:lineRule="auto"/>
              <w:jc w:val="center"/>
            </w:pPr>
            <w:r>
              <w:rPr>
                <w:rFonts w:ascii="Arial" w:hAnsi="Arial" w:eastAsia="Arial"/>
                <w:b/>
                <w:i w:val="0"/>
                <w:color w:val="FFFFFF"/>
                <w:sz w:val="15"/>
              </w:rPr>
              <w:t>Notes</w:t>
            </w:r>
          </w:p>
        </w:tc>
      </w:tr>
      <w:tr w14:paraId="57DC374E">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25AE3504">
            <w:pPr>
              <w:spacing w:before="0" w:after="0" w:line="240" w:lineRule="auto"/>
              <w:jc w:val="center"/>
            </w:pPr>
            <w:r>
              <w:rPr>
                <w:rFonts w:ascii="Arial" w:hAnsi="Arial" w:eastAsia="Arial"/>
                <w:b w:val="0"/>
                <w:i w:val="0"/>
                <w:sz w:val="14"/>
              </w:rPr>
              <w:t>ELSA</w:t>
            </w:r>
          </w:p>
        </w:tc>
        <w:tc>
          <w:tcPr>
            <w:tcW w:w="2951" w:type="dxa"/>
            <w:shd w:val="clear" w:color="auto" w:fill="F6F8FA"/>
            <w:tcMar>
              <w:top w:w="50" w:type="dxa"/>
              <w:left w:w="55" w:type="dxa"/>
              <w:bottom w:w="50" w:type="dxa"/>
              <w:right w:w="55" w:type="dxa"/>
            </w:tcMar>
            <w:vAlign w:val="top"/>
          </w:tcPr>
          <w:p w14:paraId="180B0CF9">
            <w:pPr>
              <w:spacing w:before="0" w:after="0" w:line="240" w:lineRule="auto"/>
              <w:jc w:val="left"/>
            </w:pPr>
            <w:r>
              <w:rPr>
                <w:rFonts w:ascii="Arial" w:hAnsi="Arial" w:eastAsia="Arial"/>
                <w:b w:val="0"/>
                <w:i w:val="0"/>
                <w:sz w:val="14"/>
              </w:rPr>
              <w:t>Same-structure dynamic-process analysis</w:t>
            </w:r>
          </w:p>
        </w:tc>
        <w:tc>
          <w:tcPr>
            <w:tcW w:w="1080" w:type="dxa"/>
            <w:shd w:val="clear" w:color="auto" w:fill="F6F8FA"/>
            <w:tcMar>
              <w:top w:w="50" w:type="dxa"/>
              <w:left w:w="55" w:type="dxa"/>
              <w:bottom w:w="50" w:type="dxa"/>
              <w:right w:w="55" w:type="dxa"/>
            </w:tcMar>
            <w:vAlign w:val="top"/>
          </w:tcPr>
          <w:p w14:paraId="2BFB3F68">
            <w:pPr>
              <w:spacing w:before="0" w:after="0" w:line="240" w:lineRule="auto"/>
              <w:jc w:val="center"/>
            </w:pPr>
            <w:r>
              <w:rPr>
                <w:rFonts w:ascii="Arial" w:hAnsi="Arial" w:eastAsia="Arial"/>
                <w:b w:val="0"/>
                <w:i w:val="0"/>
                <w:sz w:val="14"/>
              </w:rPr>
              <w:t>2,271</w:t>
            </w:r>
          </w:p>
        </w:tc>
        <w:tc>
          <w:tcPr>
            <w:tcW w:w="1152" w:type="dxa"/>
            <w:shd w:val="clear" w:color="auto" w:fill="F6F8FA"/>
            <w:tcMar>
              <w:top w:w="50" w:type="dxa"/>
              <w:left w:w="55" w:type="dxa"/>
              <w:bottom w:w="50" w:type="dxa"/>
              <w:right w:w="55" w:type="dxa"/>
            </w:tcMar>
            <w:vAlign w:val="top"/>
          </w:tcPr>
          <w:p w14:paraId="3910E8A7">
            <w:pPr>
              <w:spacing w:before="0" w:after="0" w:line="240" w:lineRule="auto"/>
              <w:jc w:val="center"/>
            </w:pPr>
            <w:r>
              <w:rPr>
                <w:rFonts w:ascii="Arial" w:hAnsi="Arial" w:eastAsia="Arial"/>
                <w:b w:val="0"/>
                <w:i w:val="0"/>
                <w:sz w:val="14"/>
              </w:rPr>
              <w:t>9,248</w:t>
            </w:r>
          </w:p>
        </w:tc>
        <w:tc>
          <w:tcPr>
            <w:tcW w:w="864" w:type="dxa"/>
            <w:shd w:val="clear" w:color="auto" w:fill="F6F8FA"/>
            <w:tcMar>
              <w:top w:w="50" w:type="dxa"/>
              <w:left w:w="55" w:type="dxa"/>
              <w:bottom w:w="50" w:type="dxa"/>
              <w:right w:w="55" w:type="dxa"/>
            </w:tcMar>
            <w:vAlign w:val="top"/>
          </w:tcPr>
          <w:p w14:paraId="37F8F994">
            <w:pPr>
              <w:spacing w:before="0" w:after="0" w:line="240" w:lineRule="auto"/>
              <w:jc w:val="center"/>
            </w:pPr>
            <w:r>
              <w:rPr>
                <w:rFonts w:ascii="Arial" w:hAnsi="Arial" w:eastAsia="Arial"/>
                <w:b w:val="0"/>
                <w:i w:val="0"/>
                <w:sz w:val="14"/>
              </w:rPr>
              <w:t>419</w:t>
            </w:r>
          </w:p>
        </w:tc>
        <w:tc>
          <w:tcPr>
            <w:tcW w:w="4031" w:type="dxa"/>
            <w:shd w:val="clear" w:color="auto" w:fill="F6F8FA"/>
            <w:tcMar>
              <w:top w:w="50" w:type="dxa"/>
              <w:left w:w="55" w:type="dxa"/>
              <w:bottom w:w="50" w:type="dxa"/>
              <w:right w:w="55" w:type="dxa"/>
            </w:tcMar>
            <w:vAlign w:val="top"/>
          </w:tcPr>
          <w:p w14:paraId="53DB319A">
            <w:pPr>
              <w:spacing w:before="0" w:after="0" w:line="240" w:lineRule="auto"/>
              <w:jc w:val="left"/>
            </w:pPr>
            <w:r>
              <w:rPr>
                <w:rFonts w:ascii="Arial" w:hAnsi="Arial" w:eastAsia="Arial"/>
                <w:b w:val="0"/>
                <w:i w:val="0"/>
                <w:sz w:val="14"/>
              </w:rPr>
              <w:t>At least 2 prior CES-D-8 measurements</w:t>
            </w:r>
          </w:p>
        </w:tc>
        <w:tc>
          <w:tcPr>
            <w:tcW w:w="4536" w:type="dxa"/>
            <w:shd w:val="clear" w:color="auto" w:fill="F6F8FA"/>
            <w:tcMar>
              <w:top w:w="50" w:type="dxa"/>
              <w:left w:w="55" w:type="dxa"/>
              <w:bottom w:w="50" w:type="dxa"/>
              <w:right w:w="55" w:type="dxa"/>
            </w:tcMar>
            <w:vAlign w:val="top"/>
          </w:tcPr>
          <w:p w14:paraId="00A3D58E">
            <w:pPr>
              <w:spacing w:before="0" w:after="0" w:line="240" w:lineRule="auto"/>
              <w:jc w:val="left"/>
            </w:pPr>
            <w:r>
              <w:rPr>
                <w:rFonts w:ascii="Arial" w:hAnsi="Arial" w:eastAsia="Arial"/>
                <w:b w:val="0"/>
                <w:i w:val="0"/>
                <w:sz w:val="14"/>
              </w:rPr>
              <w:t>Prespecified ELSA process analysis</w:t>
            </w:r>
          </w:p>
        </w:tc>
      </w:tr>
      <w:tr w14:paraId="16702CE0">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728706C3">
            <w:pPr>
              <w:spacing w:before="0" w:after="0" w:line="240" w:lineRule="auto"/>
              <w:jc w:val="center"/>
            </w:pPr>
            <w:r>
              <w:rPr>
                <w:rFonts w:ascii="Arial" w:hAnsi="Arial" w:eastAsia="Arial"/>
                <w:b w:val="0"/>
                <w:i w:val="0"/>
                <w:sz w:val="14"/>
              </w:rPr>
              <w:t>ELSA</w:t>
            </w:r>
          </w:p>
        </w:tc>
        <w:tc>
          <w:tcPr>
            <w:tcW w:w="2951" w:type="dxa"/>
            <w:shd w:val="clear" w:color="auto" w:fill="FFFFFF"/>
            <w:tcMar>
              <w:top w:w="50" w:type="dxa"/>
              <w:left w:w="55" w:type="dxa"/>
              <w:bottom w:w="50" w:type="dxa"/>
              <w:right w:w="55" w:type="dxa"/>
            </w:tcMar>
            <w:vAlign w:val="top"/>
          </w:tcPr>
          <w:p w14:paraId="7E988CB3">
            <w:pPr>
              <w:spacing w:before="0" w:after="0" w:line="240" w:lineRule="auto"/>
              <w:jc w:val="left"/>
            </w:pPr>
            <w:r>
              <w:rPr>
                <w:rFonts w:ascii="Arial" w:hAnsi="Arial" w:eastAsia="Arial"/>
                <w:b w:val="0"/>
                <w:i w:val="0"/>
                <w:sz w:val="14"/>
              </w:rPr>
              <w:t>Common-scale heterogeneity and reweighting target</w:t>
            </w:r>
          </w:p>
        </w:tc>
        <w:tc>
          <w:tcPr>
            <w:tcW w:w="1080" w:type="dxa"/>
            <w:shd w:val="clear" w:color="auto" w:fill="FFFFFF"/>
            <w:tcMar>
              <w:top w:w="50" w:type="dxa"/>
              <w:left w:w="55" w:type="dxa"/>
              <w:bottom w:w="50" w:type="dxa"/>
              <w:right w:w="55" w:type="dxa"/>
            </w:tcMar>
            <w:vAlign w:val="top"/>
          </w:tcPr>
          <w:p w14:paraId="565FF40E">
            <w:pPr>
              <w:spacing w:before="0" w:after="0" w:line="240" w:lineRule="auto"/>
              <w:jc w:val="center"/>
            </w:pPr>
            <w:r>
              <w:rPr>
                <w:rFonts w:ascii="Arial" w:hAnsi="Arial" w:eastAsia="Arial"/>
                <w:b w:val="0"/>
                <w:i w:val="0"/>
                <w:sz w:val="14"/>
              </w:rPr>
              <w:t>2,271</w:t>
            </w:r>
          </w:p>
        </w:tc>
        <w:tc>
          <w:tcPr>
            <w:tcW w:w="1152" w:type="dxa"/>
            <w:shd w:val="clear" w:color="auto" w:fill="FFFFFF"/>
            <w:tcMar>
              <w:top w:w="50" w:type="dxa"/>
              <w:left w:w="55" w:type="dxa"/>
              <w:bottom w:w="50" w:type="dxa"/>
              <w:right w:w="55" w:type="dxa"/>
            </w:tcMar>
            <w:vAlign w:val="top"/>
          </w:tcPr>
          <w:p w14:paraId="55A4ACEE">
            <w:pPr>
              <w:spacing w:before="0" w:after="0" w:line="240" w:lineRule="auto"/>
              <w:jc w:val="center"/>
            </w:pPr>
            <w:r>
              <w:rPr>
                <w:rFonts w:ascii="Arial" w:hAnsi="Arial" w:eastAsia="Arial"/>
                <w:b w:val="0"/>
                <w:i w:val="0"/>
                <w:sz w:val="14"/>
              </w:rPr>
              <w:t>9,248</w:t>
            </w:r>
          </w:p>
        </w:tc>
        <w:tc>
          <w:tcPr>
            <w:tcW w:w="864" w:type="dxa"/>
            <w:shd w:val="clear" w:color="auto" w:fill="FFFFFF"/>
            <w:tcMar>
              <w:top w:w="50" w:type="dxa"/>
              <w:left w:w="55" w:type="dxa"/>
              <w:bottom w:w="50" w:type="dxa"/>
              <w:right w:w="55" w:type="dxa"/>
            </w:tcMar>
            <w:vAlign w:val="top"/>
          </w:tcPr>
          <w:p w14:paraId="4970F3AD">
            <w:pPr>
              <w:spacing w:before="0" w:after="0" w:line="240" w:lineRule="auto"/>
              <w:jc w:val="center"/>
            </w:pPr>
            <w:r>
              <w:rPr>
                <w:rFonts w:ascii="Arial" w:hAnsi="Arial" w:eastAsia="Arial"/>
                <w:b w:val="0"/>
                <w:i w:val="0"/>
                <w:sz w:val="14"/>
              </w:rPr>
              <w:t>419</w:t>
            </w:r>
          </w:p>
        </w:tc>
        <w:tc>
          <w:tcPr>
            <w:tcW w:w="4031" w:type="dxa"/>
            <w:shd w:val="clear" w:color="auto" w:fill="FFFFFF"/>
            <w:tcMar>
              <w:top w:w="50" w:type="dxa"/>
              <w:left w:w="55" w:type="dxa"/>
              <w:bottom w:w="50" w:type="dxa"/>
              <w:right w:w="55" w:type="dxa"/>
            </w:tcMar>
            <w:vAlign w:val="top"/>
          </w:tcPr>
          <w:p w14:paraId="6D63EE60">
            <w:pPr>
              <w:spacing w:before="0" w:after="0" w:line="240" w:lineRule="auto"/>
              <w:jc w:val="left"/>
            </w:pPr>
            <w:r>
              <w:rPr>
                <w:rFonts w:ascii="Arial" w:hAnsi="Arial" w:eastAsia="Arial"/>
                <w:b w:val="0"/>
                <w:i w:val="0"/>
                <w:sz w:val="14"/>
              </w:rPr>
              <w:t>Raw CES-D-point history and deviation</w:t>
            </w:r>
          </w:p>
        </w:tc>
        <w:tc>
          <w:tcPr>
            <w:tcW w:w="4536" w:type="dxa"/>
            <w:shd w:val="clear" w:color="auto" w:fill="FFFFFF"/>
            <w:tcMar>
              <w:top w:w="50" w:type="dxa"/>
              <w:left w:w="55" w:type="dxa"/>
              <w:bottom w:w="50" w:type="dxa"/>
              <w:right w:w="55" w:type="dxa"/>
            </w:tcMar>
            <w:vAlign w:val="top"/>
          </w:tcPr>
          <w:p w14:paraId="709C25BE">
            <w:pPr>
              <w:spacing w:before="0" w:after="0" w:line="240" w:lineRule="auto"/>
              <w:jc w:val="left"/>
            </w:pPr>
            <w:r>
              <w:rPr>
                <w:rFonts w:ascii="Arial" w:hAnsi="Arial" w:eastAsia="Arial"/>
                <w:b w:val="0"/>
                <w:i w:val="0"/>
                <w:sz w:val="14"/>
              </w:rPr>
              <w:t>Raw CES-D-point comparison and measured-composition reweighting target</w:t>
            </w:r>
          </w:p>
        </w:tc>
      </w:tr>
    </w:tbl>
    <w:p w14:paraId="3F435C79">
      <w:pPr>
        <w:spacing w:before="0" w:after="40"/>
      </w:pPr>
    </w:p>
    <w:p w14:paraId="64E0E00C">
      <w:pPr>
        <w:pStyle w:val="165"/>
        <w:keepNext/>
      </w:pPr>
      <w:r>
        <w:rPr>
          <w:rFonts w:ascii="Arial" w:hAnsi="Arial" w:eastAsia="Arial"/>
          <w:b/>
          <w:i w:val="0"/>
          <w:color w:val="355C7D"/>
          <w:sz w:val="17"/>
        </w:rPr>
        <w:t>Panel D. Risk-interval samples</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2240"/>
        <w:gridCol w:w="2240"/>
        <w:gridCol w:w="2240"/>
        <w:gridCol w:w="2240"/>
        <w:gridCol w:w="2240"/>
        <w:gridCol w:w="2240"/>
        <w:gridCol w:w="2240"/>
      </w:tblGrid>
      <w:tr w14:paraId="17816C7B">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936" w:type="dxa"/>
            <w:shd w:val="clear" w:color="auto" w:fill="355C7D"/>
            <w:tcMar>
              <w:top w:w="60" w:type="dxa"/>
              <w:left w:w="55" w:type="dxa"/>
              <w:bottom w:w="60" w:type="dxa"/>
              <w:right w:w="55" w:type="dxa"/>
            </w:tcMar>
            <w:vAlign w:val="center"/>
          </w:tcPr>
          <w:p w14:paraId="30F2779C">
            <w:pPr>
              <w:spacing w:before="0" w:after="0" w:line="240" w:lineRule="auto"/>
              <w:jc w:val="center"/>
            </w:pPr>
            <w:r>
              <w:rPr>
                <w:rFonts w:ascii="Arial" w:hAnsi="Arial" w:eastAsia="Arial"/>
                <w:b/>
                <w:i w:val="0"/>
                <w:color w:val="FFFFFF"/>
                <w:sz w:val="15"/>
              </w:rPr>
              <w:t>Cohort</w:t>
            </w:r>
          </w:p>
        </w:tc>
        <w:tc>
          <w:tcPr>
            <w:tcW w:w="2951" w:type="dxa"/>
            <w:shd w:val="clear" w:color="auto" w:fill="355C7D"/>
            <w:tcMar>
              <w:top w:w="60" w:type="dxa"/>
              <w:left w:w="55" w:type="dxa"/>
              <w:bottom w:w="60" w:type="dxa"/>
              <w:right w:w="55" w:type="dxa"/>
            </w:tcMar>
            <w:vAlign w:val="center"/>
          </w:tcPr>
          <w:p w14:paraId="1B75E95D">
            <w:pPr>
              <w:spacing w:before="0" w:after="0" w:line="240" w:lineRule="auto"/>
              <w:jc w:val="center"/>
            </w:pPr>
            <w:r>
              <w:rPr>
                <w:rFonts w:ascii="Arial" w:hAnsi="Arial" w:eastAsia="Arial"/>
                <w:b/>
                <w:i w:val="0"/>
                <w:color w:val="FFFFFF"/>
                <w:sz w:val="15"/>
              </w:rPr>
              <w:t>Analysis branch</w:t>
            </w:r>
          </w:p>
        </w:tc>
        <w:tc>
          <w:tcPr>
            <w:tcW w:w="1080" w:type="dxa"/>
            <w:shd w:val="clear" w:color="auto" w:fill="355C7D"/>
            <w:tcMar>
              <w:top w:w="60" w:type="dxa"/>
              <w:left w:w="55" w:type="dxa"/>
              <w:bottom w:w="60" w:type="dxa"/>
              <w:right w:w="55" w:type="dxa"/>
            </w:tcMar>
            <w:vAlign w:val="center"/>
          </w:tcPr>
          <w:p w14:paraId="5417EA25">
            <w:pPr>
              <w:spacing w:before="0" w:after="0" w:line="240" w:lineRule="auto"/>
              <w:jc w:val="center"/>
            </w:pPr>
            <w:r>
              <w:rPr>
                <w:rFonts w:ascii="Arial" w:hAnsi="Arial" w:eastAsia="Arial"/>
                <w:b/>
                <w:i w:val="0"/>
                <w:color w:val="FFFFFF"/>
                <w:sz w:val="15"/>
              </w:rPr>
              <w:t>Participants</w:t>
            </w:r>
          </w:p>
        </w:tc>
        <w:tc>
          <w:tcPr>
            <w:tcW w:w="1152" w:type="dxa"/>
            <w:shd w:val="clear" w:color="auto" w:fill="355C7D"/>
            <w:tcMar>
              <w:top w:w="60" w:type="dxa"/>
              <w:left w:w="55" w:type="dxa"/>
              <w:bottom w:w="60" w:type="dxa"/>
              <w:right w:w="55" w:type="dxa"/>
            </w:tcMar>
            <w:vAlign w:val="center"/>
          </w:tcPr>
          <w:p w14:paraId="089B6851">
            <w:pPr>
              <w:spacing w:before="0" w:after="0" w:line="240" w:lineRule="auto"/>
              <w:jc w:val="center"/>
            </w:pPr>
            <w:r>
              <w:rPr>
                <w:rFonts w:ascii="Arial" w:hAnsi="Arial" w:eastAsia="Arial"/>
                <w:b/>
                <w:i w:val="0"/>
                <w:color w:val="FFFFFF"/>
                <w:sz w:val="15"/>
              </w:rPr>
              <w:t>Person-waves</w:t>
            </w:r>
          </w:p>
        </w:tc>
        <w:tc>
          <w:tcPr>
            <w:tcW w:w="864" w:type="dxa"/>
            <w:shd w:val="clear" w:color="auto" w:fill="355C7D"/>
            <w:tcMar>
              <w:top w:w="60" w:type="dxa"/>
              <w:left w:w="55" w:type="dxa"/>
              <w:bottom w:w="60" w:type="dxa"/>
              <w:right w:w="55" w:type="dxa"/>
            </w:tcMar>
            <w:vAlign w:val="center"/>
          </w:tcPr>
          <w:p w14:paraId="2C916F22">
            <w:pPr>
              <w:spacing w:before="0" w:after="0" w:line="240" w:lineRule="auto"/>
              <w:jc w:val="center"/>
            </w:pPr>
            <w:r>
              <w:rPr>
                <w:rFonts w:ascii="Arial" w:hAnsi="Arial" w:eastAsia="Arial"/>
                <w:b/>
                <w:i w:val="0"/>
                <w:color w:val="FFFFFF"/>
                <w:sz w:val="15"/>
              </w:rPr>
              <w:t>Events</w:t>
            </w:r>
          </w:p>
        </w:tc>
        <w:tc>
          <w:tcPr>
            <w:tcW w:w="4031" w:type="dxa"/>
            <w:shd w:val="clear" w:color="auto" w:fill="355C7D"/>
            <w:tcMar>
              <w:top w:w="60" w:type="dxa"/>
              <w:left w:w="55" w:type="dxa"/>
              <w:bottom w:w="60" w:type="dxa"/>
              <w:right w:w="55" w:type="dxa"/>
            </w:tcMar>
            <w:vAlign w:val="center"/>
          </w:tcPr>
          <w:p w14:paraId="6F455344">
            <w:pPr>
              <w:spacing w:before="0" w:after="0" w:line="240" w:lineRule="auto"/>
              <w:jc w:val="center"/>
            </w:pPr>
            <w:r>
              <w:rPr>
                <w:rFonts w:ascii="Arial" w:hAnsi="Arial" w:eastAsia="Arial"/>
                <w:b/>
                <w:i w:val="0"/>
                <w:color w:val="FFFFFF"/>
                <w:sz w:val="15"/>
              </w:rPr>
              <w:t>History/eligibility information</w:t>
            </w:r>
          </w:p>
        </w:tc>
        <w:tc>
          <w:tcPr>
            <w:tcW w:w="4536" w:type="dxa"/>
            <w:shd w:val="clear" w:color="auto" w:fill="355C7D"/>
            <w:tcMar>
              <w:top w:w="60" w:type="dxa"/>
              <w:left w:w="55" w:type="dxa"/>
              <w:bottom w:w="60" w:type="dxa"/>
              <w:right w:w="55" w:type="dxa"/>
            </w:tcMar>
            <w:vAlign w:val="center"/>
          </w:tcPr>
          <w:p w14:paraId="63C99022">
            <w:pPr>
              <w:spacing w:before="0" w:after="0" w:line="240" w:lineRule="auto"/>
              <w:jc w:val="center"/>
            </w:pPr>
            <w:r>
              <w:rPr>
                <w:rFonts w:ascii="Arial" w:hAnsi="Arial" w:eastAsia="Arial"/>
                <w:b/>
                <w:i w:val="0"/>
                <w:color w:val="FFFFFF"/>
                <w:sz w:val="15"/>
              </w:rPr>
              <w:t>Notes</w:t>
            </w:r>
          </w:p>
        </w:tc>
      </w:tr>
      <w:tr w14:paraId="2C338398">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1CBA816F">
            <w:pPr>
              <w:spacing w:before="0" w:after="0" w:line="240" w:lineRule="auto"/>
              <w:jc w:val="center"/>
            </w:pPr>
            <w:r>
              <w:rPr>
                <w:rFonts w:ascii="Arial" w:hAnsi="Arial" w:eastAsia="Arial"/>
                <w:b w:val="0"/>
                <w:i w:val="0"/>
                <w:sz w:val="14"/>
              </w:rPr>
              <w:t>HRS</w:t>
            </w:r>
          </w:p>
        </w:tc>
        <w:tc>
          <w:tcPr>
            <w:tcW w:w="2951" w:type="dxa"/>
            <w:shd w:val="clear" w:color="auto" w:fill="F6F8FA"/>
            <w:tcMar>
              <w:top w:w="50" w:type="dxa"/>
              <w:left w:w="55" w:type="dxa"/>
              <w:bottom w:w="50" w:type="dxa"/>
              <w:right w:w="55" w:type="dxa"/>
            </w:tcMar>
            <w:vAlign w:val="top"/>
          </w:tcPr>
          <w:p w14:paraId="2BE4BB0A">
            <w:pPr>
              <w:spacing w:before="0" w:after="0" w:line="240" w:lineRule="auto"/>
              <w:jc w:val="left"/>
            </w:pPr>
            <w:r>
              <w:rPr>
                <w:rFonts w:ascii="Arial" w:hAnsi="Arial" w:eastAsia="Arial"/>
                <w:b w:val="0"/>
                <w:i w:val="0"/>
                <w:sz w:val="14"/>
              </w:rPr>
              <w:t>2016–2018</w:t>
            </w:r>
          </w:p>
        </w:tc>
        <w:tc>
          <w:tcPr>
            <w:tcW w:w="1080" w:type="dxa"/>
            <w:shd w:val="clear" w:color="auto" w:fill="F6F8FA"/>
            <w:tcMar>
              <w:top w:w="50" w:type="dxa"/>
              <w:left w:w="55" w:type="dxa"/>
              <w:bottom w:w="50" w:type="dxa"/>
              <w:right w:w="55" w:type="dxa"/>
            </w:tcMar>
            <w:vAlign w:val="top"/>
          </w:tcPr>
          <w:p w14:paraId="751AD488">
            <w:pPr>
              <w:spacing w:before="0" w:after="0" w:line="240" w:lineRule="auto"/>
              <w:jc w:val="center"/>
            </w:pPr>
            <w:r>
              <w:rPr>
                <w:rFonts w:ascii="Arial" w:hAnsi="Arial" w:eastAsia="Arial"/>
                <w:b w:val="0"/>
                <w:i w:val="0"/>
                <w:sz w:val="14"/>
              </w:rPr>
              <w:t>6,805</w:t>
            </w:r>
          </w:p>
        </w:tc>
        <w:tc>
          <w:tcPr>
            <w:tcW w:w="1152" w:type="dxa"/>
            <w:shd w:val="clear" w:color="auto" w:fill="F6F8FA"/>
            <w:tcMar>
              <w:top w:w="50" w:type="dxa"/>
              <w:left w:w="55" w:type="dxa"/>
              <w:bottom w:w="50" w:type="dxa"/>
              <w:right w:w="55" w:type="dxa"/>
            </w:tcMar>
            <w:vAlign w:val="top"/>
          </w:tcPr>
          <w:p w14:paraId="23CC4E2F">
            <w:pPr>
              <w:spacing w:before="0" w:after="0" w:line="240" w:lineRule="auto"/>
              <w:jc w:val="center"/>
            </w:pPr>
            <w:r>
              <w:rPr>
                <w:rFonts w:ascii="Arial" w:hAnsi="Arial" w:eastAsia="Arial"/>
                <w:b w:val="0"/>
                <w:i w:val="0"/>
                <w:sz w:val="14"/>
              </w:rPr>
              <w:t>6,805</w:t>
            </w:r>
          </w:p>
        </w:tc>
        <w:tc>
          <w:tcPr>
            <w:tcW w:w="864" w:type="dxa"/>
            <w:shd w:val="clear" w:color="auto" w:fill="F6F8FA"/>
            <w:tcMar>
              <w:top w:w="50" w:type="dxa"/>
              <w:left w:w="55" w:type="dxa"/>
              <w:bottom w:w="50" w:type="dxa"/>
              <w:right w:w="55" w:type="dxa"/>
            </w:tcMar>
            <w:vAlign w:val="top"/>
          </w:tcPr>
          <w:p w14:paraId="3CD8482D">
            <w:pPr>
              <w:spacing w:before="0" w:after="0" w:line="240" w:lineRule="auto"/>
              <w:jc w:val="center"/>
            </w:pPr>
            <w:r>
              <w:rPr>
                <w:rFonts w:ascii="Arial" w:hAnsi="Arial" w:eastAsia="Arial"/>
                <w:b w:val="0"/>
                <w:i w:val="0"/>
                <w:sz w:val="14"/>
              </w:rPr>
              <w:t>280</w:t>
            </w:r>
          </w:p>
        </w:tc>
        <w:tc>
          <w:tcPr>
            <w:tcW w:w="4031" w:type="dxa"/>
            <w:shd w:val="clear" w:color="auto" w:fill="F6F8FA"/>
            <w:tcMar>
              <w:top w:w="50" w:type="dxa"/>
              <w:left w:w="55" w:type="dxa"/>
              <w:bottom w:w="50" w:type="dxa"/>
              <w:right w:w="55" w:type="dxa"/>
            </w:tcMar>
            <w:vAlign w:val="top"/>
          </w:tcPr>
          <w:p w14:paraId="28017477">
            <w:pPr>
              <w:spacing w:before="0" w:after="0" w:line="240" w:lineRule="auto"/>
              <w:jc w:val="left"/>
            </w:pPr>
            <w:r>
              <w:rPr>
                <w:rFonts w:ascii="Arial" w:hAnsi="Arial" w:eastAsia="Arial"/>
                <w:b w:val="0"/>
                <w:i w:val="0"/>
                <w:sz w:val="14"/>
              </w:rPr>
              <w:t>Mean prior-measure count=2.00; complete-history=100.0%</w:t>
            </w:r>
          </w:p>
        </w:tc>
        <w:tc>
          <w:tcPr>
            <w:tcW w:w="4536" w:type="dxa"/>
            <w:shd w:val="clear" w:color="auto" w:fill="F6F8FA"/>
            <w:tcMar>
              <w:top w:w="50" w:type="dxa"/>
              <w:left w:w="55" w:type="dxa"/>
              <w:bottom w:w="50" w:type="dxa"/>
              <w:right w:w="55" w:type="dxa"/>
            </w:tcMar>
            <w:vAlign w:val="top"/>
          </w:tcPr>
          <w:p w14:paraId="58783969">
            <w:pPr>
              <w:spacing w:before="0" w:after="0" w:line="240" w:lineRule="auto"/>
              <w:jc w:val="left"/>
            </w:pPr>
            <w:r>
              <w:rPr>
                <w:rFonts w:ascii="Arial" w:hAnsi="Arial" w:eastAsia="Arial"/>
                <w:b w:val="0"/>
                <w:i w:val="0"/>
                <w:sz w:val="14"/>
              </w:rPr>
              <w:t>Interval-specific descriptive count</w:t>
            </w:r>
          </w:p>
        </w:tc>
      </w:tr>
      <w:tr w14:paraId="1686490C">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7A1311F2">
            <w:pPr>
              <w:spacing w:before="0" w:after="0" w:line="240" w:lineRule="auto"/>
              <w:jc w:val="center"/>
            </w:pPr>
            <w:r>
              <w:rPr>
                <w:rFonts w:ascii="Arial" w:hAnsi="Arial" w:eastAsia="Arial"/>
                <w:b w:val="0"/>
                <w:i w:val="0"/>
                <w:sz w:val="14"/>
              </w:rPr>
              <w:t>HRS</w:t>
            </w:r>
          </w:p>
        </w:tc>
        <w:tc>
          <w:tcPr>
            <w:tcW w:w="2951" w:type="dxa"/>
            <w:shd w:val="clear" w:color="auto" w:fill="FFFFFF"/>
            <w:tcMar>
              <w:top w:w="50" w:type="dxa"/>
              <w:left w:w="55" w:type="dxa"/>
              <w:bottom w:w="50" w:type="dxa"/>
              <w:right w:w="55" w:type="dxa"/>
            </w:tcMar>
            <w:vAlign w:val="top"/>
          </w:tcPr>
          <w:p w14:paraId="3106FF22">
            <w:pPr>
              <w:spacing w:before="0" w:after="0" w:line="240" w:lineRule="auto"/>
              <w:jc w:val="left"/>
            </w:pPr>
            <w:r>
              <w:rPr>
                <w:rFonts w:ascii="Arial" w:hAnsi="Arial" w:eastAsia="Arial"/>
                <w:b w:val="0"/>
                <w:i w:val="0"/>
                <w:sz w:val="14"/>
              </w:rPr>
              <w:t>2018–2020</w:t>
            </w:r>
          </w:p>
        </w:tc>
        <w:tc>
          <w:tcPr>
            <w:tcW w:w="1080" w:type="dxa"/>
            <w:shd w:val="clear" w:color="auto" w:fill="FFFFFF"/>
            <w:tcMar>
              <w:top w:w="50" w:type="dxa"/>
              <w:left w:w="55" w:type="dxa"/>
              <w:bottom w:w="50" w:type="dxa"/>
              <w:right w:w="55" w:type="dxa"/>
            </w:tcMar>
            <w:vAlign w:val="top"/>
          </w:tcPr>
          <w:p w14:paraId="31D8CA07">
            <w:pPr>
              <w:spacing w:before="0" w:after="0" w:line="240" w:lineRule="auto"/>
              <w:jc w:val="center"/>
            </w:pPr>
            <w:r>
              <w:rPr>
                <w:rFonts w:ascii="Arial" w:hAnsi="Arial" w:eastAsia="Arial"/>
                <w:b w:val="0"/>
                <w:i w:val="0"/>
                <w:sz w:val="14"/>
              </w:rPr>
              <w:t>5,899</w:t>
            </w:r>
          </w:p>
        </w:tc>
        <w:tc>
          <w:tcPr>
            <w:tcW w:w="1152" w:type="dxa"/>
            <w:shd w:val="clear" w:color="auto" w:fill="FFFFFF"/>
            <w:tcMar>
              <w:top w:w="50" w:type="dxa"/>
              <w:left w:w="55" w:type="dxa"/>
              <w:bottom w:w="50" w:type="dxa"/>
              <w:right w:w="55" w:type="dxa"/>
            </w:tcMar>
            <w:vAlign w:val="top"/>
          </w:tcPr>
          <w:p w14:paraId="3432B31F">
            <w:pPr>
              <w:spacing w:before="0" w:after="0" w:line="240" w:lineRule="auto"/>
              <w:jc w:val="center"/>
            </w:pPr>
            <w:r>
              <w:rPr>
                <w:rFonts w:ascii="Arial" w:hAnsi="Arial" w:eastAsia="Arial"/>
                <w:b w:val="0"/>
                <w:i w:val="0"/>
                <w:sz w:val="14"/>
              </w:rPr>
              <w:t>5,899</w:t>
            </w:r>
          </w:p>
        </w:tc>
        <w:tc>
          <w:tcPr>
            <w:tcW w:w="864" w:type="dxa"/>
            <w:shd w:val="clear" w:color="auto" w:fill="FFFFFF"/>
            <w:tcMar>
              <w:top w:w="50" w:type="dxa"/>
              <w:left w:w="55" w:type="dxa"/>
              <w:bottom w:w="50" w:type="dxa"/>
              <w:right w:w="55" w:type="dxa"/>
            </w:tcMar>
            <w:vAlign w:val="top"/>
          </w:tcPr>
          <w:p w14:paraId="215607C9">
            <w:pPr>
              <w:spacing w:before="0" w:after="0" w:line="240" w:lineRule="auto"/>
              <w:jc w:val="center"/>
            </w:pPr>
            <w:r>
              <w:rPr>
                <w:rFonts w:ascii="Arial" w:hAnsi="Arial" w:eastAsia="Arial"/>
                <w:b w:val="0"/>
                <w:i w:val="0"/>
                <w:sz w:val="14"/>
              </w:rPr>
              <w:t>253</w:t>
            </w:r>
          </w:p>
        </w:tc>
        <w:tc>
          <w:tcPr>
            <w:tcW w:w="4031" w:type="dxa"/>
            <w:shd w:val="clear" w:color="auto" w:fill="FFFFFF"/>
            <w:tcMar>
              <w:top w:w="50" w:type="dxa"/>
              <w:left w:w="55" w:type="dxa"/>
              <w:bottom w:w="50" w:type="dxa"/>
              <w:right w:w="55" w:type="dxa"/>
            </w:tcMar>
            <w:vAlign w:val="top"/>
          </w:tcPr>
          <w:p w14:paraId="6EC0D226">
            <w:pPr>
              <w:spacing w:before="0" w:after="0" w:line="240" w:lineRule="auto"/>
              <w:jc w:val="left"/>
            </w:pPr>
            <w:r>
              <w:rPr>
                <w:rFonts w:ascii="Arial" w:hAnsi="Arial" w:eastAsia="Arial"/>
                <w:b w:val="0"/>
                <w:i w:val="0"/>
                <w:sz w:val="14"/>
              </w:rPr>
              <w:t>Mean prior-measure count=2.98; complete-history=98.3%</w:t>
            </w:r>
          </w:p>
        </w:tc>
        <w:tc>
          <w:tcPr>
            <w:tcW w:w="4536" w:type="dxa"/>
            <w:shd w:val="clear" w:color="auto" w:fill="FFFFFF"/>
            <w:tcMar>
              <w:top w:w="50" w:type="dxa"/>
              <w:left w:w="55" w:type="dxa"/>
              <w:bottom w:w="50" w:type="dxa"/>
              <w:right w:w="55" w:type="dxa"/>
            </w:tcMar>
            <w:vAlign w:val="top"/>
          </w:tcPr>
          <w:p w14:paraId="7E73F6AA">
            <w:pPr>
              <w:spacing w:before="0" w:after="0" w:line="240" w:lineRule="auto"/>
              <w:jc w:val="left"/>
            </w:pPr>
            <w:r>
              <w:rPr>
                <w:rFonts w:ascii="Arial" w:hAnsi="Arial" w:eastAsia="Arial"/>
                <w:b w:val="0"/>
                <w:i w:val="0"/>
                <w:sz w:val="14"/>
              </w:rPr>
              <w:t>Interval-specific descriptive count</w:t>
            </w:r>
          </w:p>
        </w:tc>
      </w:tr>
      <w:tr w14:paraId="09B55FA4">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1FC015AC">
            <w:pPr>
              <w:spacing w:before="0" w:after="0" w:line="240" w:lineRule="auto"/>
              <w:jc w:val="center"/>
            </w:pPr>
            <w:r>
              <w:rPr>
                <w:rFonts w:ascii="Arial" w:hAnsi="Arial" w:eastAsia="Arial"/>
                <w:b w:val="0"/>
                <w:i w:val="0"/>
                <w:sz w:val="14"/>
              </w:rPr>
              <w:t>HRS</w:t>
            </w:r>
          </w:p>
        </w:tc>
        <w:tc>
          <w:tcPr>
            <w:tcW w:w="2951" w:type="dxa"/>
            <w:shd w:val="clear" w:color="auto" w:fill="F6F8FA"/>
            <w:tcMar>
              <w:top w:w="50" w:type="dxa"/>
              <w:left w:w="55" w:type="dxa"/>
              <w:bottom w:w="50" w:type="dxa"/>
              <w:right w:w="55" w:type="dxa"/>
            </w:tcMar>
            <w:vAlign w:val="top"/>
          </w:tcPr>
          <w:p w14:paraId="1E6AA726">
            <w:pPr>
              <w:spacing w:before="0" w:after="0" w:line="240" w:lineRule="auto"/>
              <w:jc w:val="left"/>
            </w:pPr>
            <w:r>
              <w:rPr>
                <w:rFonts w:ascii="Arial" w:hAnsi="Arial" w:eastAsia="Arial"/>
                <w:b w:val="0"/>
                <w:i w:val="0"/>
                <w:sz w:val="14"/>
              </w:rPr>
              <w:t>2020–2022</w:t>
            </w:r>
          </w:p>
        </w:tc>
        <w:tc>
          <w:tcPr>
            <w:tcW w:w="1080" w:type="dxa"/>
            <w:shd w:val="clear" w:color="auto" w:fill="F6F8FA"/>
            <w:tcMar>
              <w:top w:w="50" w:type="dxa"/>
              <w:left w:w="55" w:type="dxa"/>
              <w:bottom w:w="50" w:type="dxa"/>
              <w:right w:w="55" w:type="dxa"/>
            </w:tcMar>
            <w:vAlign w:val="top"/>
          </w:tcPr>
          <w:p w14:paraId="01E78C98">
            <w:pPr>
              <w:spacing w:before="0" w:after="0" w:line="240" w:lineRule="auto"/>
              <w:jc w:val="center"/>
            </w:pPr>
            <w:r>
              <w:rPr>
                <w:rFonts w:ascii="Arial" w:hAnsi="Arial" w:eastAsia="Arial"/>
                <w:b w:val="0"/>
                <w:i w:val="0"/>
                <w:sz w:val="14"/>
              </w:rPr>
              <w:t>4,907</w:t>
            </w:r>
          </w:p>
        </w:tc>
        <w:tc>
          <w:tcPr>
            <w:tcW w:w="1152" w:type="dxa"/>
            <w:shd w:val="clear" w:color="auto" w:fill="F6F8FA"/>
            <w:tcMar>
              <w:top w:w="50" w:type="dxa"/>
              <w:left w:w="55" w:type="dxa"/>
              <w:bottom w:w="50" w:type="dxa"/>
              <w:right w:w="55" w:type="dxa"/>
            </w:tcMar>
            <w:vAlign w:val="top"/>
          </w:tcPr>
          <w:p w14:paraId="306A453F">
            <w:pPr>
              <w:spacing w:before="0" w:after="0" w:line="240" w:lineRule="auto"/>
              <w:jc w:val="center"/>
            </w:pPr>
            <w:r>
              <w:rPr>
                <w:rFonts w:ascii="Arial" w:hAnsi="Arial" w:eastAsia="Arial"/>
                <w:b w:val="0"/>
                <w:i w:val="0"/>
                <w:sz w:val="14"/>
              </w:rPr>
              <w:t>4,907</w:t>
            </w:r>
          </w:p>
        </w:tc>
        <w:tc>
          <w:tcPr>
            <w:tcW w:w="864" w:type="dxa"/>
            <w:shd w:val="clear" w:color="auto" w:fill="F6F8FA"/>
            <w:tcMar>
              <w:top w:w="50" w:type="dxa"/>
              <w:left w:w="55" w:type="dxa"/>
              <w:bottom w:w="50" w:type="dxa"/>
              <w:right w:w="55" w:type="dxa"/>
            </w:tcMar>
            <w:vAlign w:val="top"/>
          </w:tcPr>
          <w:p w14:paraId="20A175F1">
            <w:pPr>
              <w:spacing w:before="0" w:after="0" w:line="240" w:lineRule="auto"/>
              <w:jc w:val="center"/>
            </w:pPr>
            <w:r>
              <w:rPr>
                <w:rFonts w:ascii="Arial" w:hAnsi="Arial" w:eastAsia="Arial"/>
                <w:b w:val="0"/>
                <w:i w:val="0"/>
                <w:sz w:val="14"/>
              </w:rPr>
              <w:t>288</w:t>
            </w:r>
          </w:p>
        </w:tc>
        <w:tc>
          <w:tcPr>
            <w:tcW w:w="4031" w:type="dxa"/>
            <w:shd w:val="clear" w:color="auto" w:fill="F6F8FA"/>
            <w:tcMar>
              <w:top w:w="50" w:type="dxa"/>
              <w:left w:w="55" w:type="dxa"/>
              <w:bottom w:w="50" w:type="dxa"/>
              <w:right w:w="55" w:type="dxa"/>
            </w:tcMar>
            <w:vAlign w:val="top"/>
          </w:tcPr>
          <w:p w14:paraId="6A9FBFC8">
            <w:pPr>
              <w:spacing w:before="0" w:after="0" w:line="240" w:lineRule="auto"/>
              <w:jc w:val="left"/>
            </w:pPr>
            <w:r>
              <w:rPr>
                <w:rFonts w:ascii="Arial" w:hAnsi="Arial" w:eastAsia="Arial"/>
                <w:b w:val="0"/>
                <w:i w:val="0"/>
                <w:sz w:val="14"/>
              </w:rPr>
              <w:t>Mean prior-measure count=3.94; complete-history=94.8%</w:t>
            </w:r>
          </w:p>
        </w:tc>
        <w:tc>
          <w:tcPr>
            <w:tcW w:w="4536" w:type="dxa"/>
            <w:shd w:val="clear" w:color="auto" w:fill="F6F8FA"/>
            <w:tcMar>
              <w:top w:w="50" w:type="dxa"/>
              <w:left w:w="55" w:type="dxa"/>
              <w:bottom w:w="50" w:type="dxa"/>
              <w:right w:w="55" w:type="dxa"/>
            </w:tcMar>
            <w:vAlign w:val="top"/>
          </w:tcPr>
          <w:p w14:paraId="188FA50B">
            <w:pPr>
              <w:spacing w:before="0" w:after="0" w:line="240" w:lineRule="auto"/>
              <w:jc w:val="left"/>
            </w:pPr>
            <w:r>
              <w:rPr>
                <w:rFonts w:ascii="Arial" w:hAnsi="Arial" w:eastAsia="Arial"/>
                <w:b w:val="0"/>
                <w:i w:val="0"/>
                <w:sz w:val="14"/>
              </w:rPr>
              <w:t>Interval-specific descriptive count</w:t>
            </w:r>
          </w:p>
        </w:tc>
      </w:tr>
      <w:tr w14:paraId="57739C00">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7B7FA4AB">
            <w:pPr>
              <w:spacing w:before="0" w:after="0" w:line="240" w:lineRule="auto"/>
              <w:jc w:val="center"/>
            </w:pPr>
            <w:r>
              <w:rPr>
                <w:rFonts w:ascii="Arial" w:hAnsi="Arial" w:eastAsia="Arial"/>
                <w:b w:val="0"/>
                <w:i w:val="0"/>
                <w:sz w:val="14"/>
              </w:rPr>
              <w:t>SHARE</w:t>
            </w:r>
          </w:p>
        </w:tc>
        <w:tc>
          <w:tcPr>
            <w:tcW w:w="2951" w:type="dxa"/>
            <w:shd w:val="clear" w:color="auto" w:fill="FFFFFF"/>
            <w:tcMar>
              <w:top w:w="50" w:type="dxa"/>
              <w:left w:w="55" w:type="dxa"/>
              <w:bottom w:w="50" w:type="dxa"/>
              <w:right w:w="55" w:type="dxa"/>
            </w:tcMar>
            <w:vAlign w:val="top"/>
          </w:tcPr>
          <w:p w14:paraId="08384E30">
            <w:pPr>
              <w:spacing w:before="0" w:after="0" w:line="240" w:lineRule="auto"/>
              <w:jc w:val="left"/>
            </w:pPr>
            <w:r>
              <w:rPr>
                <w:rFonts w:ascii="Arial" w:hAnsi="Arial" w:eastAsia="Arial"/>
                <w:b w:val="0"/>
                <w:i w:val="0"/>
                <w:sz w:val="14"/>
              </w:rPr>
              <w:t>W4–W5</w:t>
            </w:r>
          </w:p>
        </w:tc>
        <w:tc>
          <w:tcPr>
            <w:tcW w:w="1080" w:type="dxa"/>
            <w:shd w:val="clear" w:color="auto" w:fill="FFFFFF"/>
            <w:tcMar>
              <w:top w:w="50" w:type="dxa"/>
              <w:left w:w="55" w:type="dxa"/>
              <w:bottom w:w="50" w:type="dxa"/>
              <w:right w:w="55" w:type="dxa"/>
            </w:tcMar>
            <w:vAlign w:val="top"/>
          </w:tcPr>
          <w:p w14:paraId="2F084AB0">
            <w:pPr>
              <w:spacing w:before="0" w:after="0" w:line="240" w:lineRule="auto"/>
              <w:jc w:val="center"/>
            </w:pPr>
            <w:r>
              <w:rPr>
                <w:rFonts w:ascii="Arial" w:hAnsi="Arial" w:eastAsia="Arial"/>
                <w:b w:val="0"/>
                <w:i w:val="0"/>
                <w:sz w:val="14"/>
              </w:rPr>
              <w:t>7,052</w:t>
            </w:r>
          </w:p>
        </w:tc>
        <w:tc>
          <w:tcPr>
            <w:tcW w:w="1152" w:type="dxa"/>
            <w:shd w:val="clear" w:color="auto" w:fill="FFFFFF"/>
            <w:tcMar>
              <w:top w:w="50" w:type="dxa"/>
              <w:left w:w="55" w:type="dxa"/>
              <w:bottom w:w="50" w:type="dxa"/>
              <w:right w:w="55" w:type="dxa"/>
            </w:tcMar>
            <w:vAlign w:val="top"/>
          </w:tcPr>
          <w:p w14:paraId="23641AB4">
            <w:pPr>
              <w:spacing w:before="0" w:after="0" w:line="240" w:lineRule="auto"/>
              <w:jc w:val="center"/>
            </w:pPr>
            <w:r>
              <w:rPr>
                <w:rFonts w:ascii="Arial" w:hAnsi="Arial" w:eastAsia="Arial"/>
                <w:b w:val="0"/>
                <w:i w:val="0"/>
                <w:sz w:val="14"/>
              </w:rPr>
              <w:t>7,052</w:t>
            </w:r>
          </w:p>
        </w:tc>
        <w:tc>
          <w:tcPr>
            <w:tcW w:w="864" w:type="dxa"/>
            <w:shd w:val="clear" w:color="auto" w:fill="FFFFFF"/>
            <w:tcMar>
              <w:top w:w="50" w:type="dxa"/>
              <w:left w:w="55" w:type="dxa"/>
              <w:bottom w:w="50" w:type="dxa"/>
              <w:right w:w="55" w:type="dxa"/>
            </w:tcMar>
            <w:vAlign w:val="top"/>
          </w:tcPr>
          <w:p w14:paraId="0518A9B1">
            <w:pPr>
              <w:spacing w:before="0" w:after="0" w:line="240" w:lineRule="auto"/>
              <w:jc w:val="center"/>
            </w:pPr>
            <w:r>
              <w:rPr>
                <w:rFonts w:ascii="Arial" w:hAnsi="Arial" w:eastAsia="Arial"/>
                <w:b w:val="0"/>
                <w:i w:val="0"/>
                <w:sz w:val="14"/>
              </w:rPr>
              <w:t>302</w:t>
            </w:r>
          </w:p>
        </w:tc>
        <w:tc>
          <w:tcPr>
            <w:tcW w:w="4031" w:type="dxa"/>
            <w:shd w:val="clear" w:color="auto" w:fill="FFFFFF"/>
            <w:tcMar>
              <w:top w:w="50" w:type="dxa"/>
              <w:left w:w="55" w:type="dxa"/>
              <w:bottom w:w="50" w:type="dxa"/>
              <w:right w:w="55" w:type="dxa"/>
            </w:tcMar>
            <w:vAlign w:val="top"/>
          </w:tcPr>
          <w:p w14:paraId="785132D3">
            <w:pPr>
              <w:spacing w:before="0" w:after="0" w:line="240" w:lineRule="auto"/>
              <w:jc w:val="left"/>
            </w:pPr>
            <w:r>
              <w:rPr>
                <w:rFonts w:ascii="Arial" w:hAnsi="Arial" w:eastAsia="Arial"/>
                <w:b w:val="0"/>
                <w:i w:val="0"/>
                <w:sz w:val="14"/>
              </w:rPr>
              <w:t>Mean prior-measure count=2.00; complete-history=100.0%</w:t>
            </w:r>
          </w:p>
        </w:tc>
        <w:tc>
          <w:tcPr>
            <w:tcW w:w="4536" w:type="dxa"/>
            <w:shd w:val="clear" w:color="auto" w:fill="FFFFFF"/>
            <w:tcMar>
              <w:top w:w="50" w:type="dxa"/>
              <w:left w:w="55" w:type="dxa"/>
              <w:bottom w:w="50" w:type="dxa"/>
              <w:right w:w="55" w:type="dxa"/>
            </w:tcMar>
            <w:vAlign w:val="top"/>
          </w:tcPr>
          <w:p w14:paraId="72894D8A">
            <w:pPr>
              <w:spacing w:before="0" w:after="0" w:line="240" w:lineRule="auto"/>
              <w:jc w:val="left"/>
            </w:pPr>
            <w:r>
              <w:rPr>
                <w:rFonts w:ascii="Arial" w:hAnsi="Arial" w:eastAsia="Arial"/>
                <w:b w:val="0"/>
                <w:i w:val="0"/>
                <w:sz w:val="14"/>
              </w:rPr>
              <w:t>Interval-specific descriptive count</w:t>
            </w:r>
          </w:p>
        </w:tc>
      </w:tr>
      <w:tr w14:paraId="47A13028">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5CB80EC6">
            <w:pPr>
              <w:spacing w:before="0" w:after="0" w:line="240" w:lineRule="auto"/>
              <w:jc w:val="center"/>
            </w:pPr>
            <w:r>
              <w:rPr>
                <w:rFonts w:ascii="Arial" w:hAnsi="Arial" w:eastAsia="Arial"/>
                <w:b w:val="0"/>
                <w:i w:val="0"/>
                <w:sz w:val="14"/>
              </w:rPr>
              <w:t>SHARE</w:t>
            </w:r>
          </w:p>
        </w:tc>
        <w:tc>
          <w:tcPr>
            <w:tcW w:w="2951" w:type="dxa"/>
            <w:shd w:val="clear" w:color="auto" w:fill="F6F8FA"/>
            <w:tcMar>
              <w:top w:w="50" w:type="dxa"/>
              <w:left w:w="55" w:type="dxa"/>
              <w:bottom w:w="50" w:type="dxa"/>
              <w:right w:w="55" w:type="dxa"/>
            </w:tcMar>
            <w:vAlign w:val="top"/>
          </w:tcPr>
          <w:p w14:paraId="6DE0AECB">
            <w:pPr>
              <w:spacing w:before="0" w:after="0" w:line="240" w:lineRule="auto"/>
              <w:jc w:val="left"/>
            </w:pPr>
            <w:r>
              <w:rPr>
                <w:rFonts w:ascii="Arial" w:hAnsi="Arial" w:eastAsia="Arial"/>
                <w:b w:val="0"/>
                <w:i w:val="0"/>
                <w:sz w:val="14"/>
              </w:rPr>
              <w:t>W5–W6</w:t>
            </w:r>
          </w:p>
        </w:tc>
        <w:tc>
          <w:tcPr>
            <w:tcW w:w="1080" w:type="dxa"/>
            <w:shd w:val="clear" w:color="auto" w:fill="F6F8FA"/>
            <w:tcMar>
              <w:top w:w="50" w:type="dxa"/>
              <w:left w:w="55" w:type="dxa"/>
              <w:bottom w:w="50" w:type="dxa"/>
              <w:right w:w="55" w:type="dxa"/>
            </w:tcMar>
            <w:vAlign w:val="top"/>
          </w:tcPr>
          <w:p w14:paraId="69669FAF">
            <w:pPr>
              <w:spacing w:before="0" w:after="0" w:line="240" w:lineRule="auto"/>
              <w:jc w:val="center"/>
            </w:pPr>
            <w:r>
              <w:rPr>
                <w:rFonts w:ascii="Arial" w:hAnsi="Arial" w:eastAsia="Arial"/>
                <w:b w:val="0"/>
                <w:i w:val="0"/>
                <w:sz w:val="14"/>
              </w:rPr>
              <w:t>9,772</w:t>
            </w:r>
          </w:p>
        </w:tc>
        <w:tc>
          <w:tcPr>
            <w:tcW w:w="1152" w:type="dxa"/>
            <w:shd w:val="clear" w:color="auto" w:fill="F6F8FA"/>
            <w:tcMar>
              <w:top w:w="50" w:type="dxa"/>
              <w:left w:w="55" w:type="dxa"/>
              <w:bottom w:w="50" w:type="dxa"/>
              <w:right w:w="55" w:type="dxa"/>
            </w:tcMar>
            <w:vAlign w:val="top"/>
          </w:tcPr>
          <w:p w14:paraId="63C5B555">
            <w:pPr>
              <w:spacing w:before="0" w:after="0" w:line="240" w:lineRule="auto"/>
              <w:jc w:val="center"/>
            </w:pPr>
            <w:r>
              <w:rPr>
                <w:rFonts w:ascii="Arial" w:hAnsi="Arial" w:eastAsia="Arial"/>
                <w:b w:val="0"/>
                <w:i w:val="0"/>
                <w:sz w:val="14"/>
              </w:rPr>
              <w:t>9,772</w:t>
            </w:r>
          </w:p>
        </w:tc>
        <w:tc>
          <w:tcPr>
            <w:tcW w:w="864" w:type="dxa"/>
            <w:shd w:val="clear" w:color="auto" w:fill="F6F8FA"/>
            <w:tcMar>
              <w:top w:w="50" w:type="dxa"/>
              <w:left w:w="55" w:type="dxa"/>
              <w:bottom w:w="50" w:type="dxa"/>
              <w:right w:w="55" w:type="dxa"/>
            </w:tcMar>
            <w:vAlign w:val="top"/>
          </w:tcPr>
          <w:p w14:paraId="7B18FF44">
            <w:pPr>
              <w:spacing w:before="0" w:after="0" w:line="240" w:lineRule="auto"/>
              <w:jc w:val="center"/>
            </w:pPr>
            <w:r>
              <w:rPr>
                <w:rFonts w:ascii="Arial" w:hAnsi="Arial" w:eastAsia="Arial"/>
                <w:b w:val="0"/>
                <w:i w:val="0"/>
                <w:sz w:val="14"/>
              </w:rPr>
              <w:t>421</w:t>
            </w:r>
          </w:p>
        </w:tc>
        <w:tc>
          <w:tcPr>
            <w:tcW w:w="4031" w:type="dxa"/>
            <w:shd w:val="clear" w:color="auto" w:fill="F6F8FA"/>
            <w:tcMar>
              <w:top w:w="50" w:type="dxa"/>
              <w:left w:w="55" w:type="dxa"/>
              <w:bottom w:w="50" w:type="dxa"/>
              <w:right w:w="55" w:type="dxa"/>
            </w:tcMar>
            <w:vAlign w:val="top"/>
          </w:tcPr>
          <w:p w14:paraId="4BA73A0F">
            <w:pPr>
              <w:spacing w:before="0" w:after="0" w:line="240" w:lineRule="auto"/>
              <w:jc w:val="left"/>
            </w:pPr>
            <w:r>
              <w:rPr>
                <w:rFonts w:ascii="Arial" w:hAnsi="Arial" w:eastAsia="Arial"/>
                <w:b w:val="0"/>
                <w:i w:val="0"/>
                <w:sz w:val="14"/>
              </w:rPr>
              <w:t>Mean prior-measure count=2.52; complete-history=52.5%</w:t>
            </w:r>
          </w:p>
        </w:tc>
        <w:tc>
          <w:tcPr>
            <w:tcW w:w="4536" w:type="dxa"/>
            <w:shd w:val="clear" w:color="auto" w:fill="F6F8FA"/>
            <w:tcMar>
              <w:top w:w="50" w:type="dxa"/>
              <w:left w:w="55" w:type="dxa"/>
              <w:bottom w:w="50" w:type="dxa"/>
              <w:right w:w="55" w:type="dxa"/>
            </w:tcMar>
            <w:vAlign w:val="top"/>
          </w:tcPr>
          <w:p w14:paraId="16CE8EE8">
            <w:pPr>
              <w:spacing w:before="0" w:after="0" w:line="240" w:lineRule="auto"/>
              <w:jc w:val="left"/>
            </w:pPr>
            <w:r>
              <w:rPr>
                <w:rFonts w:ascii="Arial" w:hAnsi="Arial" w:eastAsia="Arial"/>
                <w:b w:val="0"/>
                <w:i w:val="0"/>
                <w:sz w:val="14"/>
              </w:rPr>
              <w:t>Interval-specific descriptive count</w:t>
            </w:r>
          </w:p>
        </w:tc>
      </w:tr>
      <w:tr w14:paraId="34EA94A4">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639E5615">
            <w:pPr>
              <w:spacing w:before="0" w:after="0" w:line="240" w:lineRule="auto"/>
              <w:jc w:val="center"/>
            </w:pPr>
            <w:r>
              <w:rPr>
                <w:rFonts w:ascii="Arial" w:hAnsi="Arial" w:eastAsia="Arial"/>
                <w:b w:val="0"/>
                <w:i w:val="0"/>
                <w:sz w:val="14"/>
              </w:rPr>
              <w:t>SHARE</w:t>
            </w:r>
          </w:p>
        </w:tc>
        <w:tc>
          <w:tcPr>
            <w:tcW w:w="2951" w:type="dxa"/>
            <w:shd w:val="clear" w:color="auto" w:fill="FFFFFF"/>
            <w:tcMar>
              <w:top w:w="50" w:type="dxa"/>
              <w:left w:w="55" w:type="dxa"/>
              <w:bottom w:w="50" w:type="dxa"/>
              <w:right w:w="55" w:type="dxa"/>
            </w:tcMar>
            <w:vAlign w:val="top"/>
          </w:tcPr>
          <w:p w14:paraId="65B68709">
            <w:pPr>
              <w:spacing w:before="0" w:after="0" w:line="240" w:lineRule="auto"/>
              <w:jc w:val="left"/>
            </w:pPr>
            <w:r>
              <w:rPr>
                <w:rFonts w:ascii="Arial" w:hAnsi="Arial" w:eastAsia="Arial"/>
                <w:b w:val="0"/>
                <w:i w:val="0"/>
                <w:sz w:val="14"/>
              </w:rPr>
              <w:t>W6–W8</w:t>
            </w:r>
          </w:p>
        </w:tc>
        <w:tc>
          <w:tcPr>
            <w:tcW w:w="1080" w:type="dxa"/>
            <w:shd w:val="clear" w:color="auto" w:fill="FFFFFF"/>
            <w:tcMar>
              <w:top w:w="50" w:type="dxa"/>
              <w:left w:w="55" w:type="dxa"/>
              <w:bottom w:w="50" w:type="dxa"/>
              <w:right w:w="55" w:type="dxa"/>
            </w:tcMar>
            <w:vAlign w:val="top"/>
          </w:tcPr>
          <w:p w14:paraId="1633FF22">
            <w:pPr>
              <w:spacing w:before="0" w:after="0" w:line="240" w:lineRule="auto"/>
              <w:jc w:val="center"/>
            </w:pPr>
            <w:r>
              <w:rPr>
                <w:rFonts w:ascii="Arial" w:hAnsi="Arial" w:eastAsia="Arial"/>
                <w:b w:val="0"/>
                <w:i w:val="0"/>
                <w:sz w:val="14"/>
              </w:rPr>
              <w:t>14,195</w:t>
            </w:r>
          </w:p>
        </w:tc>
        <w:tc>
          <w:tcPr>
            <w:tcW w:w="1152" w:type="dxa"/>
            <w:shd w:val="clear" w:color="auto" w:fill="FFFFFF"/>
            <w:tcMar>
              <w:top w:w="50" w:type="dxa"/>
              <w:left w:w="55" w:type="dxa"/>
              <w:bottom w:w="50" w:type="dxa"/>
              <w:right w:w="55" w:type="dxa"/>
            </w:tcMar>
            <w:vAlign w:val="top"/>
          </w:tcPr>
          <w:p w14:paraId="70558CB2">
            <w:pPr>
              <w:spacing w:before="0" w:after="0" w:line="240" w:lineRule="auto"/>
              <w:jc w:val="center"/>
            </w:pPr>
            <w:r>
              <w:rPr>
                <w:rFonts w:ascii="Arial" w:hAnsi="Arial" w:eastAsia="Arial"/>
                <w:b w:val="0"/>
                <w:i w:val="0"/>
                <w:sz w:val="14"/>
              </w:rPr>
              <w:t>14,195</w:t>
            </w:r>
          </w:p>
        </w:tc>
        <w:tc>
          <w:tcPr>
            <w:tcW w:w="864" w:type="dxa"/>
            <w:shd w:val="clear" w:color="auto" w:fill="FFFFFF"/>
            <w:tcMar>
              <w:top w:w="50" w:type="dxa"/>
              <w:left w:w="55" w:type="dxa"/>
              <w:bottom w:w="50" w:type="dxa"/>
              <w:right w:w="55" w:type="dxa"/>
            </w:tcMar>
            <w:vAlign w:val="top"/>
          </w:tcPr>
          <w:p w14:paraId="1981A054">
            <w:pPr>
              <w:spacing w:before="0" w:after="0" w:line="240" w:lineRule="auto"/>
              <w:jc w:val="center"/>
            </w:pPr>
            <w:r>
              <w:rPr>
                <w:rFonts w:ascii="Arial" w:hAnsi="Arial" w:eastAsia="Arial"/>
                <w:b w:val="0"/>
                <w:i w:val="0"/>
                <w:sz w:val="14"/>
              </w:rPr>
              <w:t>1,303</w:t>
            </w:r>
          </w:p>
        </w:tc>
        <w:tc>
          <w:tcPr>
            <w:tcW w:w="4031" w:type="dxa"/>
            <w:shd w:val="clear" w:color="auto" w:fill="FFFFFF"/>
            <w:tcMar>
              <w:top w:w="50" w:type="dxa"/>
              <w:left w:w="55" w:type="dxa"/>
              <w:bottom w:w="50" w:type="dxa"/>
              <w:right w:w="55" w:type="dxa"/>
            </w:tcMar>
            <w:vAlign w:val="top"/>
          </w:tcPr>
          <w:p w14:paraId="6198C2F0">
            <w:pPr>
              <w:spacing w:before="0" w:after="0" w:line="240" w:lineRule="auto"/>
              <w:jc w:val="left"/>
            </w:pPr>
            <w:r>
              <w:rPr>
                <w:rFonts w:ascii="Arial" w:hAnsi="Arial" w:eastAsia="Arial"/>
                <w:b w:val="0"/>
                <w:i w:val="0"/>
                <w:sz w:val="14"/>
              </w:rPr>
              <w:t>Mean prior-measure count=2.59; complete-history=20.2%</w:t>
            </w:r>
          </w:p>
        </w:tc>
        <w:tc>
          <w:tcPr>
            <w:tcW w:w="4536" w:type="dxa"/>
            <w:shd w:val="clear" w:color="auto" w:fill="FFFFFF"/>
            <w:tcMar>
              <w:top w:w="50" w:type="dxa"/>
              <w:left w:w="55" w:type="dxa"/>
              <w:bottom w:w="50" w:type="dxa"/>
              <w:right w:w="55" w:type="dxa"/>
            </w:tcMar>
            <w:vAlign w:val="top"/>
          </w:tcPr>
          <w:p w14:paraId="633A01F2">
            <w:pPr>
              <w:spacing w:before="0" w:after="0" w:line="240" w:lineRule="auto"/>
              <w:jc w:val="left"/>
            </w:pPr>
            <w:r>
              <w:rPr>
                <w:rFonts w:ascii="Arial" w:hAnsi="Arial" w:eastAsia="Arial"/>
                <w:b w:val="0"/>
                <w:i w:val="0"/>
                <w:sz w:val="14"/>
              </w:rPr>
              <w:t>Interval-specific descriptive count</w:t>
            </w:r>
          </w:p>
        </w:tc>
      </w:tr>
      <w:tr w14:paraId="70806D9A">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37AE1D26">
            <w:pPr>
              <w:spacing w:before="0" w:after="0" w:line="240" w:lineRule="auto"/>
              <w:jc w:val="center"/>
            </w:pPr>
            <w:r>
              <w:rPr>
                <w:rFonts w:ascii="Arial" w:hAnsi="Arial" w:eastAsia="Arial"/>
                <w:b w:val="0"/>
                <w:i w:val="0"/>
                <w:sz w:val="14"/>
              </w:rPr>
              <w:t>SHARE</w:t>
            </w:r>
          </w:p>
        </w:tc>
        <w:tc>
          <w:tcPr>
            <w:tcW w:w="2951" w:type="dxa"/>
            <w:shd w:val="clear" w:color="auto" w:fill="F6F8FA"/>
            <w:tcMar>
              <w:top w:w="50" w:type="dxa"/>
              <w:left w:w="55" w:type="dxa"/>
              <w:bottom w:w="50" w:type="dxa"/>
              <w:right w:w="55" w:type="dxa"/>
            </w:tcMar>
            <w:vAlign w:val="top"/>
          </w:tcPr>
          <w:p w14:paraId="62099A93">
            <w:pPr>
              <w:spacing w:before="0" w:after="0" w:line="240" w:lineRule="auto"/>
              <w:jc w:val="left"/>
            </w:pPr>
            <w:r>
              <w:rPr>
                <w:rFonts w:ascii="Arial" w:hAnsi="Arial" w:eastAsia="Arial"/>
                <w:b w:val="0"/>
                <w:i w:val="0"/>
                <w:sz w:val="14"/>
              </w:rPr>
              <w:t>W8–W9</w:t>
            </w:r>
          </w:p>
        </w:tc>
        <w:tc>
          <w:tcPr>
            <w:tcW w:w="1080" w:type="dxa"/>
            <w:shd w:val="clear" w:color="auto" w:fill="F6F8FA"/>
            <w:tcMar>
              <w:top w:w="50" w:type="dxa"/>
              <w:left w:w="55" w:type="dxa"/>
              <w:bottom w:w="50" w:type="dxa"/>
              <w:right w:w="55" w:type="dxa"/>
            </w:tcMar>
            <w:vAlign w:val="top"/>
          </w:tcPr>
          <w:p w14:paraId="0F522284">
            <w:pPr>
              <w:spacing w:before="0" w:after="0" w:line="240" w:lineRule="auto"/>
              <w:jc w:val="center"/>
            </w:pPr>
            <w:r>
              <w:rPr>
                <w:rFonts w:ascii="Arial" w:hAnsi="Arial" w:eastAsia="Arial"/>
                <w:b w:val="0"/>
                <w:i w:val="0"/>
                <w:sz w:val="14"/>
              </w:rPr>
              <w:t>16,276</w:t>
            </w:r>
          </w:p>
        </w:tc>
        <w:tc>
          <w:tcPr>
            <w:tcW w:w="1152" w:type="dxa"/>
            <w:shd w:val="clear" w:color="auto" w:fill="F6F8FA"/>
            <w:tcMar>
              <w:top w:w="50" w:type="dxa"/>
              <w:left w:w="55" w:type="dxa"/>
              <w:bottom w:w="50" w:type="dxa"/>
              <w:right w:w="55" w:type="dxa"/>
            </w:tcMar>
            <w:vAlign w:val="top"/>
          </w:tcPr>
          <w:p w14:paraId="2046CACA">
            <w:pPr>
              <w:spacing w:before="0" w:after="0" w:line="240" w:lineRule="auto"/>
              <w:jc w:val="center"/>
            </w:pPr>
            <w:r>
              <w:rPr>
                <w:rFonts w:ascii="Arial" w:hAnsi="Arial" w:eastAsia="Arial"/>
                <w:b w:val="0"/>
                <w:i w:val="0"/>
                <w:sz w:val="14"/>
              </w:rPr>
              <w:t>16,276</w:t>
            </w:r>
          </w:p>
        </w:tc>
        <w:tc>
          <w:tcPr>
            <w:tcW w:w="864" w:type="dxa"/>
            <w:shd w:val="clear" w:color="auto" w:fill="F6F8FA"/>
            <w:tcMar>
              <w:top w:w="50" w:type="dxa"/>
              <w:left w:w="55" w:type="dxa"/>
              <w:bottom w:w="50" w:type="dxa"/>
              <w:right w:w="55" w:type="dxa"/>
            </w:tcMar>
            <w:vAlign w:val="top"/>
          </w:tcPr>
          <w:p w14:paraId="1B1556FA">
            <w:pPr>
              <w:spacing w:before="0" w:after="0" w:line="240" w:lineRule="auto"/>
              <w:jc w:val="center"/>
            </w:pPr>
            <w:r>
              <w:rPr>
                <w:rFonts w:ascii="Arial" w:hAnsi="Arial" w:eastAsia="Arial"/>
                <w:b w:val="0"/>
                <w:i w:val="0"/>
                <w:sz w:val="14"/>
              </w:rPr>
              <w:t>766</w:t>
            </w:r>
          </w:p>
        </w:tc>
        <w:tc>
          <w:tcPr>
            <w:tcW w:w="4031" w:type="dxa"/>
            <w:shd w:val="clear" w:color="auto" w:fill="F6F8FA"/>
            <w:tcMar>
              <w:top w:w="50" w:type="dxa"/>
              <w:left w:w="55" w:type="dxa"/>
              <w:bottom w:w="50" w:type="dxa"/>
              <w:right w:w="55" w:type="dxa"/>
            </w:tcMar>
            <w:vAlign w:val="top"/>
          </w:tcPr>
          <w:p w14:paraId="7070020F">
            <w:pPr>
              <w:spacing w:before="0" w:after="0" w:line="240" w:lineRule="auto"/>
              <w:jc w:val="left"/>
            </w:pPr>
            <w:r>
              <w:rPr>
                <w:rFonts w:ascii="Arial" w:hAnsi="Arial" w:eastAsia="Arial"/>
                <w:b w:val="0"/>
                <w:i w:val="0"/>
                <w:sz w:val="14"/>
              </w:rPr>
              <w:t>Mean prior-measure count=3.05; complete-history=13.0%</w:t>
            </w:r>
          </w:p>
        </w:tc>
        <w:tc>
          <w:tcPr>
            <w:tcW w:w="4536" w:type="dxa"/>
            <w:shd w:val="clear" w:color="auto" w:fill="F6F8FA"/>
            <w:tcMar>
              <w:top w:w="50" w:type="dxa"/>
              <w:left w:w="55" w:type="dxa"/>
              <w:bottom w:w="50" w:type="dxa"/>
              <w:right w:w="55" w:type="dxa"/>
            </w:tcMar>
            <w:vAlign w:val="top"/>
          </w:tcPr>
          <w:p w14:paraId="38A5334D">
            <w:pPr>
              <w:spacing w:before="0" w:after="0" w:line="240" w:lineRule="auto"/>
              <w:jc w:val="left"/>
            </w:pPr>
            <w:r>
              <w:rPr>
                <w:rFonts w:ascii="Arial" w:hAnsi="Arial" w:eastAsia="Arial"/>
                <w:b w:val="0"/>
                <w:i w:val="0"/>
                <w:sz w:val="14"/>
              </w:rPr>
              <w:t>Interval-specific descriptive count</w:t>
            </w:r>
          </w:p>
        </w:tc>
      </w:tr>
      <w:tr w14:paraId="58AB6C61">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26DF3E6C">
            <w:pPr>
              <w:spacing w:before="0" w:after="0" w:line="240" w:lineRule="auto"/>
              <w:jc w:val="center"/>
            </w:pPr>
            <w:r>
              <w:rPr>
                <w:rFonts w:ascii="Arial" w:hAnsi="Arial" w:eastAsia="Arial"/>
                <w:b w:val="0"/>
                <w:i w:val="0"/>
                <w:sz w:val="14"/>
              </w:rPr>
              <w:t>ELSA</w:t>
            </w:r>
          </w:p>
        </w:tc>
        <w:tc>
          <w:tcPr>
            <w:tcW w:w="2951" w:type="dxa"/>
            <w:shd w:val="clear" w:color="auto" w:fill="FFFFFF"/>
            <w:tcMar>
              <w:top w:w="50" w:type="dxa"/>
              <w:left w:w="55" w:type="dxa"/>
              <w:bottom w:w="50" w:type="dxa"/>
              <w:right w:w="55" w:type="dxa"/>
            </w:tcMar>
            <w:vAlign w:val="top"/>
          </w:tcPr>
          <w:p w14:paraId="0654B0E6">
            <w:pPr>
              <w:spacing w:before="0" w:after="0" w:line="240" w:lineRule="auto"/>
              <w:jc w:val="left"/>
            </w:pPr>
            <w:r>
              <w:rPr>
                <w:rFonts w:ascii="Arial" w:hAnsi="Arial" w:eastAsia="Arial"/>
                <w:b w:val="0"/>
                <w:i w:val="0"/>
                <w:sz w:val="14"/>
              </w:rPr>
              <w:t>W4–W5</w:t>
            </w:r>
          </w:p>
        </w:tc>
        <w:tc>
          <w:tcPr>
            <w:tcW w:w="1080" w:type="dxa"/>
            <w:shd w:val="clear" w:color="auto" w:fill="FFFFFF"/>
            <w:tcMar>
              <w:top w:w="50" w:type="dxa"/>
              <w:left w:w="55" w:type="dxa"/>
              <w:bottom w:w="50" w:type="dxa"/>
              <w:right w:w="55" w:type="dxa"/>
            </w:tcMar>
            <w:vAlign w:val="top"/>
          </w:tcPr>
          <w:p w14:paraId="10542C68">
            <w:pPr>
              <w:spacing w:before="0" w:after="0" w:line="240" w:lineRule="auto"/>
              <w:jc w:val="center"/>
            </w:pPr>
            <w:r>
              <w:rPr>
                <w:rFonts w:ascii="Arial" w:hAnsi="Arial" w:eastAsia="Arial"/>
                <w:b w:val="0"/>
                <w:i w:val="0"/>
                <w:sz w:val="14"/>
              </w:rPr>
              <w:t>1,846</w:t>
            </w:r>
          </w:p>
        </w:tc>
        <w:tc>
          <w:tcPr>
            <w:tcW w:w="1152" w:type="dxa"/>
            <w:shd w:val="clear" w:color="auto" w:fill="FFFFFF"/>
            <w:tcMar>
              <w:top w:w="50" w:type="dxa"/>
              <w:left w:w="55" w:type="dxa"/>
              <w:bottom w:w="50" w:type="dxa"/>
              <w:right w:w="55" w:type="dxa"/>
            </w:tcMar>
            <w:vAlign w:val="top"/>
          </w:tcPr>
          <w:p w14:paraId="0DC11A6A">
            <w:pPr>
              <w:spacing w:before="0" w:after="0" w:line="240" w:lineRule="auto"/>
              <w:jc w:val="center"/>
            </w:pPr>
            <w:r>
              <w:rPr>
                <w:rFonts w:ascii="Arial" w:hAnsi="Arial" w:eastAsia="Arial"/>
                <w:b w:val="0"/>
                <w:i w:val="0"/>
                <w:sz w:val="14"/>
              </w:rPr>
              <w:t>1,846</w:t>
            </w:r>
          </w:p>
        </w:tc>
        <w:tc>
          <w:tcPr>
            <w:tcW w:w="864" w:type="dxa"/>
            <w:shd w:val="clear" w:color="auto" w:fill="FFFFFF"/>
            <w:tcMar>
              <w:top w:w="50" w:type="dxa"/>
              <w:left w:w="55" w:type="dxa"/>
              <w:bottom w:w="50" w:type="dxa"/>
              <w:right w:w="55" w:type="dxa"/>
            </w:tcMar>
            <w:vAlign w:val="top"/>
          </w:tcPr>
          <w:p w14:paraId="3D43A7FE">
            <w:pPr>
              <w:spacing w:before="0" w:after="0" w:line="240" w:lineRule="auto"/>
              <w:jc w:val="center"/>
            </w:pPr>
            <w:r>
              <w:rPr>
                <w:rFonts w:ascii="Arial" w:hAnsi="Arial" w:eastAsia="Arial"/>
                <w:b w:val="0"/>
                <w:i w:val="0"/>
                <w:sz w:val="14"/>
              </w:rPr>
              <w:t>65</w:t>
            </w:r>
          </w:p>
        </w:tc>
        <w:tc>
          <w:tcPr>
            <w:tcW w:w="4031" w:type="dxa"/>
            <w:shd w:val="clear" w:color="auto" w:fill="FFFFFF"/>
            <w:tcMar>
              <w:top w:w="50" w:type="dxa"/>
              <w:left w:w="55" w:type="dxa"/>
              <w:bottom w:w="50" w:type="dxa"/>
              <w:right w:w="55" w:type="dxa"/>
            </w:tcMar>
            <w:vAlign w:val="top"/>
          </w:tcPr>
          <w:p w14:paraId="55EF922C">
            <w:pPr>
              <w:spacing w:before="0" w:after="0" w:line="240" w:lineRule="auto"/>
              <w:jc w:val="left"/>
            </w:pPr>
            <w:r>
              <w:rPr>
                <w:rFonts w:ascii="Arial" w:hAnsi="Arial" w:eastAsia="Arial"/>
                <w:b w:val="0"/>
                <w:i w:val="0"/>
                <w:sz w:val="14"/>
              </w:rPr>
              <w:t>Mean prior-measure count=2.95; complete-history=95.0%</w:t>
            </w:r>
          </w:p>
        </w:tc>
        <w:tc>
          <w:tcPr>
            <w:tcW w:w="4536" w:type="dxa"/>
            <w:shd w:val="clear" w:color="auto" w:fill="FFFFFF"/>
            <w:tcMar>
              <w:top w:w="50" w:type="dxa"/>
              <w:left w:w="55" w:type="dxa"/>
              <w:bottom w:w="50" w:type="dxa"/>
              <w:right w:w="55" w:type="dxa"/>
            </w:tcMar>
            <w:vAlign w:val="top"/>
          </w:tcPr>
          <w:p w14:paraId="0612FB0D">
            <w:pPr>
              <w:spacing w:before="0" w:after="0" w:line="240" w:lineRule="auto"/>
              <w:jc w:val="left"/>
            </w:pPr>
            <w:r>
              <w:rPr>
                <w:rFonts w:ascii="Arial" w:hAnsi="Arial" w:eastAsia="Arial"/>
                <w:b w:val="0"/>
                <w:i w:val="0"/>
                <w:sz w:val="14"/>
              </w:rPr>
              <w:t>Interval-specific descriptive count</w:t>
            </w:r>
          </w:p>
        </w:tc>
      </w:tr>
      <w:tr w14:paraId="4A6ECE92">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195A0F06">
            <w:pPr>
              <w:spacing w:before="0" w:after="0" w:line="240" w:lineRule="auto"/>
              <w:jc w:val="center"/>
            </w:pPr>
            <w:r>
              <w:rPr>
                <w:rFonts w:ascii="Arial" w:hAnsi="Arial" w:eastAsia="Arial"/>
                <w:b w:val="0"/>
                <w:i w:val="0"/>
                <w:sz w:val="14"/>
              </w:rPr>
              <w:t>ELSA</w:t>
            </w:r>
          </w:p>
        </w:tc>
        <w:tc>
          <w:tcPr>
            <w:tcW w:w="2951" w:type="dxa"/>
            <w:shd w:val="clear" w:color="auto" w:fill="F6F8FA"/>
            <w:tcMar>
              <w:top w:w="50" w:type="dxa"/>
              <w:left w:w="55" w:type="dxa"/>
              <w:bottom w:w="50" w:type="dxa"/>
              <w:right w:w="55" w:type="dxa"/>
            </w:tcMar>
            <w:vAlign w:val="top"/>
          </w:tcPr>
          <w:p w14:paraId="01089BC0">
            <w:pPr>
              <w:spacing w:before="0" w:after="0" w:line="240" w:lineRule="auto"/>
              <w:jc w:val="left"/>
            </w:pPr>
            <w:r>
              <w:rPr>
                <w:rFonts w:ascii="Arial" w:hAnsi="Arial" w:eastAsia="Arial"/>
                <w:b w:val="0"/>
                <w:i w:val="0"/>
                <w:sz w:val="14"/>
              </w:rPr>
              <w:t>W5–W6</w:t>
            </w:r>
          </w:p>
        </w:tc>
        <w:tc>
          <w:tcPr>
            <w:tcW w:w="1080" w:type="dxa"/>
            <w:shd w:val="clear" w:color="auto" w:fill="F6F8FA"/>
            <w:tcMar>
              <w:top w:w="50" w:type="dxa"/>
              <w:left w:w="55" w:type="dxa"/>
              <w:bottom w:w="50" w:type="dxa"/>
              <w:right w:w="55" w:type="dxa"/>
            </w:tcMar>
            <w:vAlign w:val="top"/>
          </w:tcPr>
          <w:p w14:paraId="3A0D10EC">
            <w:pPr>
              <w:spacing w:before="0" w:after="0" w:line="240" w:lineRule="auto"/>
              <w:jc w:val="center"/>
            </w:pPr>
            <w:r>
              <w:rPr>
                <w:rFonts w:ascii="Arial" w:hAnsi="Arial" w:eastAsia="Arial"/>
                <w:b w:val="0"/>
                <w:i w:val="0"/>
                <w:sz w:val="14"/>
              </w:rPr>
              <w:t>1,957</w:t>
            </w:r>
          </w:p>
        </w:tc>
        <w:tc>
          <w:tcPr>
            <w:tcW w:w="1152" w:type="dxa"/>
            <w:shd w:val="clear" w:color="auto" w:fill="F6F8FA"/>
            <w:tcMar>
              <w:top w:w="50" w:type="dxa"/>
              <w:left w:w="55" w:type="dxa"/>
              <w:bottom w:w="50" w:type="dxa"/>
              <w:right w:w="55" w:type="dxa"/>
            </w:tcMar>
            <w:vAlign w:val="top"/>
          </w:tcPr>
          <w:p w14:paraId="66023A47">
            <w:pPr>
              <w:spacing w:before="0" w:after="0" w:line="240" w:lineRule="auto"/>
              <w:jc w:val="center"/>
            </w:pPr>
            <w:r>
              <w:rPr>
                <w:rFonts w:ascii="Arial" w:hAnsi="Arial" w:eastAsia="Arial"/>
                <w:b w:val="0"/>
                <w:i w:val="0"/>
                <w:sz w:val="14"/>
              </w:rPr>
              <w:t>1,957</w:t>
            </w:r>
          </w:p>
        </w:tc>
        <w:tc>
          <w:tcPr>
            <w:tcW w:w="864" w:type="dxa"/>
            <w:shd w:val="clear" w:color="auto" w:fill="F6F8FA"/>
            <w:tcMar>
              <w:top w:w="50" w:type="dxa"/>
              <w:left w:w="55" w:type="dxa"/>
              <w:bottom w:w="50" w:type="dxa"/>
              <w:right w:w="55" w:type="dxa"/>
            </w:tcMar>
            <w:vAlign w:val="top"/>
          </w:tcPr>
          <w:p w14:paraId="4484DB76">
            <w:pPr>
              <w:spacing w:before="0" w:after="0" w:line="240" w:lineRule="auto"/>
              <w:jc w:val="center"/>
            </w:pPr>
            <w:r>
              <w:rPr>
                <w:rFonts w:ascii="Arial" w:hAnsi="Arial" w:eastAsia="Arial"/>
                <w:b w:val="0"/>
                <w:i w:val="0"/>
                <w:sz w:val="14"/>
              </w:rPr>
              <w:t>47</w:t>
            </w:r>
          </w:p>
        </w:tc>
        <w:tc>
          <w:tcPr>
            <w:tcW w:w="4031" w:type="dxa"/>
            <w:shd w:val="clear" w:color="auto" w:fill="F6F8FA"/>
            <w:tcMar>
              <w:top w:w="50" w:type="dxa"/>
              <w:left w:w="55" w:type="dxa"/>
              <w:bottom w:w="50" w:type="dxa"/>
              <w:right w:w="55" w:type="dxa"/>
            </w:tcMar>
            <w:vAlign w:val="top"/>
          </w:tcPr>
          <w:p w14:paraId="5DEBA7A8">
            <w:pPr>
              <w:spacing w:before="0" w:after="0" w:line="240" w:lineRule="auto"/>
              <w:jc w:val="left"/>
            </w:pPr>
            <w:r>
              <w:rPr>
                <w:rFonts w:ascii="Arial" w:hAnsi="Arial" w:eastAsia="Arial"/>
                <w:b w:val="0"/>
                <w:i w:val="0"/>
                <w:sz w:val="14"/>
              </w:rPr>
              <w:t>Mean prior-measure count=3.62; complete-history=78.6%</w:t>
            </w:r>
          </w:p>
        </w:tc>
        <w:tc>
          <w:tcPr>
            <w:tcW w:w="4536" w:type="dxa"/>
            <w:shd w:val="clear" w:color="auto" w:fill="F6F8FA"/>
            <w:tcMar>
              <w:top w:w="50" w:type="dxa"/>
              <w:left w:w="55" w:type="dxa"/>
              <w:bottom w:w="50" w:type="dxa"/>
              <w:right w:w="55" w:type="dxa"/>
            </w:tcMar>
            <w:vAlign w:val="top"/>
          </w:tcPr>
          <w:p w14:paraId="45E28945">
            <w:pPr>
              <w:spacing w:before="0" w:after="0" w:line="240" w:lineRule="auto"/>
              <w:jc w:val="left"/>
            </w:pPr>
            <w:r>
              <w:rPr>
                <w:rFonts w:ascii="Arial" w:hAnsi="Arial" w:eastAsia="Arial"/>
                <w:b w:val="0"/>
                <w:i w:val="0"/>
                <w:sz w:val="14"/>
              </w:rPr>
              <w:t>Interval-specific descriptive count</w:t>
            </w:r>
          </w:p>
        </w:tc>
      </w:tr>
      <w:tr w14:paraId="6A7B526F">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6321207B">
            <w:pPr>
              <w:spacing w:before="0" w:after="0" w:line="240" w:lineRule="auto"/>
              <w:jc w:val="center"/>
            </w:pPr>
            <w:r>
              <w:rPr>
                <w:rFonts w:ascii="Arial" w:hAnsi="Arial" w:eastAsia="Arial"/>
                <w:b w:val="0"/>
                <w:i w:val="0"/>
                <w:sz w:val="14"/>
              </w:rPr>
              <w:t>ELSA</w:t>
            </w:r>
          </w:p>
        </w:tc>
        <w:tc>
          <w:tcPr>
            <w:tcW w:w="2951" w:type="dxa"/>
            <w:shd w:val="clear" w:color="auto" w:fill="FFFFFF"/>
            <w:tcMar>
              <w:top w:w="50" w:type="dxa"/>
              <w:left w:w="55" w:type="dxa"/>
              <w:bottom w:w="50" w:type="dxa"/>
              <w:right w:w="55" w:type="dxa"/>
            </w:tcMar>
            <w:vAlign w:val="top"/>
          </w:tcPr>
          <w:p w14:paraId="7F835227">
            <w:pPr>
              <w:spacing w:before="0" w:after="0" w:line="240" w:lineRule="auto"/>
              <w:jc w:val="left"/>
            </w:pPr>
            <w:r>
              <w:rPr>
                <w:rFonts w:ascii="Arial" w:hAnsi="Arial" w:eastAsia="Arial"/>
                <w:b w:val="0"/>
                <w:i w:val="0"/>
                <w:sz w:val="14"/>
              </w:rPr>
              <w:t>W6–W7</w:t>
            </w:r>
          </w:p>
        </w:tc>
        <w:tc>
          <w:tcPr>
            <w:tcW w:w="1080" w:type="dxa"/>
            <w:shd w:val="clear" w:color="auto" w:fill="FFFFFF"/>
            <w:tcMar>
              <w:top w:w="50" w:type="dxa"/>
              <w:left w:w="55" w:type="dxa"/>
              <w:bottom w:w="50" w:type="dxa"/>
              <w:right w:w="55" w:type="dxa"/>
            </w:tcMar>
            <w:vAlign w:val="top"/>
          </w:tcPr>
          <w:p w14:paraId="4CB887D0">
            <w:pPr>
              <w:spacing w:before="0" w:after="0" w:line="240" w:lineRule="auto"/>
              <w:jc w:val="center"/>
            </w:pPr>
            <w:r>
              <w:rPr>
                <w:rFonts w:ascii="Arial" w:hAnsi="Arial" w:eastAsia="Arial"/>
                <w:b w:val="0"/>
                <w:i w:val="0"/>
                <w:sz w:val="14"/>
              </w:rPr>
              <w:t>1,750</w:t>
            </w:r>
          </w:p>
        </w:tc>
        <w:tc>
          <w:tcPr>
            <w:tcW w:w="1152" w:type="dxa"/>
            <w:shd w:val="clear" w:color="auto" w:fill="FFFFFF"/>
            <w:tcMar>
              <w:top w:w="50" w:type="dxa"/>
              <w:left w:w="55" w:type="dxa"/>
              <w:bottom w:w="50" w:type="dxa"/>
              <w:right w:w="55" w:type="dxa"/>
            </w:tcMar>
            <w:vAlign w:val="top"/>
          </w:tcPr>
          <w:p w14:paraId="76A98833">
            <w:pPr>
              <w:spacing w:before="0" w:after="0" w:line="240" w:lineRule="auto"/>
              <w:jc w:val="center"/>
            </w:pPr>
            <w:r>
              <w:rPr>
                <w:rFonts w:ascii="Arial" w:hAnsi="Arial" w:eastAsia="Arial"/>
                <w:b w:val="0"/>
                <w:i w:val="0"/>
                <w:sz w:val="14"/>
              </w:rPr>
              <w:t>1,750</w:t>
            </w:r>
          </w:p>
        </w:tc>
        <w:tc>
          <w:tcPr>
            <w:tcW w:w="864" w:type="dxa"/>
            <w:shd w:val="clear" w:color="auto" w:fill="FFFFFF"/>
            <w:tcMar>
              <w:top w:w="50" w:type="dxa"/>
              <w:left w:w="55" w:type="dxa"/>
              <w:bottom w:w="50" w:type="dxa"/>
              <w:right w:w="55" w:type="dxa"/>
            </w:tcMar>
            <w:vAlign w:val="top"/>
          </w:tcPr>
          <w:p w14:paraId="575B0A77">
            <w:pPr>
              <w:spacing w:before="0" w:after="0" w:line="240" w:lineRule="auto"/>
              <w:jc w:val="center"/>
            </w:pPr>
            <w:r>
              <w:rPr>
                <w:rFonts w:ascii="Arial" w:hAnsi="Arial" w:eastAsia="Arial"/>
                <w:b w:val="0"/>
                <w:i w:val="0"/>
                <w:sz w:val="14"/>
              </w:rPr>
              <w:t>67</w:t>
            </w:r>
          </w:p>
        </w:tc>
        <w:tc>
          <w:tcPr>
            <w:tcW w:w="4031" w:type="dxa"/>
            <w:shd w:val="clear" w:color="auto" w:fill="FFFFFF"/>
            <w:tcMar>
              <w:top w:w="50" w:type="dxa"/>
              <w:left w:w="55" w:type="dxa"/>
              <w:bottom w:w="50" w:type="dxa"/>
              <w:right w:w="55" w:type="dxa"/>
            </w:tcMar>
            <w:vAlign w:val="top"/>
          </w:tcPr>
          <w:p w14:paraId="56C64A1D">
            <w:pPr>
              <w:spacing w:before="0" w:after="0" w:line="240" w:lineRule="auto"/>
              <w:jc w:val="left"/>
            </w:pPr>
            <w:r>
              <w:rPr>
                <w:rFonts w:ascii="Arial" w:hAnsi="Arial" w:eastAsia="Arial"/>
                <w:b w:val="0"/>
                <w:i w:val="0"/>
                <w:sz w:val="14"/>
              </w:rPr>
              <w:t>Mean prior-measure count=4.56; complete-history=75.9%</w:t>
            </w:r>
          </w:p>
        </w:tc>
        <w:tc>
          <w:tcPr>
            <w:tcW w:w="4536" w:type="dxa"/>
            <w:shd w:val="clear" w:color="auto" w:fill="FFFFFF"/>
            <w:tcMar>
              <w:top w:w="50" w:type="dxa"/>
              <w:left w:w="55" w:type="dxa"/>
              <w:bottom w:w="50" w:type="dxa"/>
              <w:right w:w="55" w:type="dxa"/>
            </w:tcMar>
            <w:vAlign w:val="top"/>
          </w:tcPr>
          <w:p w14:paraId="2BE84025">
            <w:pPr>
              <w:spacing w:before="0" w:after="0" w:line="240" w:lineRule="auto"/>
              <w:jc w:val="left"/>
            </w:pPr>
            <w:r>
              <w:rPr>
                <w:rFonts w:ascii="Arial" w:hAnsi="Arial" w:eastAsia="Arial"/>
                <w:b w:val="0"/>
                <w:i w:val="0"/>
                <w:sz w:val="14"/>
              </w:rPr>
              <w:t>Interval-specific descriptive count</w:t>
            </w:r>
          </w:p>
        </w:tc>
      </w:tr>
      <w:tr w14:paraId="6A4D2B38">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2329376A">
            <w:pPr>
              <w:spacing w:before="0" w:after="0" w:line="240" w:lineRule="auto"/>
              <w:jc w:val="center"/>
            </w:pPr>
            <w:r>
              <w:rPr>
                <w:rFonts w:ascii="Arial" w:hAnsi="Arial" w:eastAsia="Arial"/>
                <w:b w:val="0"/>
                <w:i w:val="0"/>
                <w:sz w:val="14"/>
              </w:rPr>
              <w:t>ELSA</w:t>
            </w:r>
          </w:p>
        </w:tc>
        <w:tc>
          <w:tcPr>
            <w:tcW w:w="2951" w:type="dxa"/>
            <w:shd w:val="clear" w:color="auto" w:fill="F6F8FA"/>
            <w:tcMar>
              <w:top w:w="50" w:type="dxa"/>
              <w:left w:w="55" w:type="dxa"/>
              <w:bottom w:w="50" w:type="dxa"/>
              <w:right w:w="55" w:type="dxa"/>
            </w:tcMar>
            <w:vAlign w:val="top"/>
          </w:tcPr>
          <w:p w14:paraId="1E332CAA">
            <w:pPr>
              <w:spacing w:before="0" w:after="0" w:line="240" w:lineRule="auto"/>
              <w:jc w:val="left"/>
            </w:pPr>
            <w:r>
              <w:rPr>
                <w:rFonts w:ascii="Arial" w:hAnsi="Arial" w:eastAsia="Arial"/>
                <w:b w:val="0"/>
                <w:i w:val="0"/>
                <w:sz w:val="14"/>
              </w:rPr>
              <w:t>W7–W8</w:t>
            </w:r>
          </w:p>
        </w:tc>
        <w:tc>
          <w:tcPr>
            <w:tcW w:w="1080" w:type="dxa"/>
            <w:shd w:val="clear" w:color="auto" w:fill="F6F8FA"/>
            <w:tcMar>
              <w:top w:w="50" w:type="dxa"/>
              <w:left w:w="55" w:type="dxa"/>
              <w:bottom w:w="50" w:type="dxa"/>
              <w:right w:w="55" w:type="dxa"/>
            </w:tcMar>
            <w:vAlign w:val="top"/>
          </w:tcPr>
          <w:p w14:paraId="52C70942">
            <w:pPr>
              <w:spacing w:before="0" w:after="0" w:line="240" w:lineRule="auto"/>
              <w:jc w:val="center"/>
            </w:pPr>
            <w:r>
              <w:rPr>
                <w:rFonts w:ascii="Arial" w:hAnsi="Arial" w:eastAsia="Arial"/>
                <w:b w:val="0"/>
                <w:i w:val="0"/>
                <w:sz w:val="14"/>
              </w:rPr>
              <w:t>1,508</w:t>
            </w:r>
          </w:p>
        </w:tc>
        <w:tc>
          <w:tcPr>
            <w:tcW w:w="1152" w:type="dxa"/>
            <w:shd w:val="clear" w:color="auto" w:fill="F6F8FA"/>
            <w:tcMar>
              <w:top w:w="50" w:type="dxa"/>
              <w:left w:w="55" w:type="dxa"/>
              <w:bottom w:w="50" w:type="dxa"/>
              <w:right w:w="55" w:type="dxa"/>
            </w:tcMar>
            <w:vAlign w:val="top"/>
          </w:tcPr>
          <w:p w14:paraId="4B19939F">
            <w:pPr>
              <w:spacing w:before="0" w:after="0" w:line="240" w:lineRule="auto"/>
              <w:jc w:val="center"/>
            </w:pPr>
            <w:r>
              <w:rPr>
                <w:rFonts w:ascii="Arial" w:hAnsi="Arial" w:eastAsia="Arial"/>
                <w:b w:val="0"/>
                <w:i w:val="0"/>
                <w:sz w:val="14"/>
              </w:rPr>
              <w:t>1,508</w:t>
            </w:r>
          </w:p>
        </w:tc>
        <w:tc>
          <w:tcPr>
            <w:tcW w:w="864" w:type="dxa"/>
            <w:shd w:val="clear" w:color="auto" w:fill="F6F8FA"/>
            <w:tcMar>
              <w:top w:w="50" w:type="dxa"/>
              <w:left w:w="55" w:type="dxa"/>
              <w:bottom w:w="50" w:type="dxa"/>
              <w:right w:w="55" w:type="dxa"/>
            </w:tcMar>
            <w:vAlign w:val="top"/>
          </w:tcPr>
          <w:p w14:paraId="572E76B1">
            <w:pPr>
              <w:spacing w:before="0" w:after="0" w:line="240" w:lineRule="auto"/>
              <w:jc w:val="center"/>
            </w:pPr>
            <w:r>
              <w:rPr>
                <w:rFonts w:ascii="Arial" w:hAnsi="Arial" w:eastAsia="Arial"/>
                <w:b w:val="0"/>
                <w:i w:val="0"/>
                <w:sz w:val="14"/>
              </w:rPr>
              <w:t>73</w:t>
            </w:r>
          </w:p>
        </w:tc>
        <w:tc>
          <w:tcPr>
            <w:tcW w:w="4031" w:type="dxa"/>
            <w:shd w:val="clear" w:color="auto" w:fill="F6F8FA"/>
            <w:tcMar>
              <w:top w:w="50" w:type="dxa"/>
              <w:left w:w="55" w:type="dxa"/>
              <w:bottom w:w="50" w:type="dxa"/>
              <w:right w:w="55" w:type="dxa"/>
            </w:tcMar>
            <w:vAlign w:val="top"/>
          </w:tcPr>
          <w:p w14:paraId="3A526034">
            <w:pPr>
              <w:spacing w:before="0" w:after="0" w:line="240" w:lineRule="auto"/>
              <w:jc w:val="left"/>
            </w:pPr>
            <w:r>
              <w:rPr>
                <w:rFonts w:ascii="Arial" w:hAnsi="Arial" w:eastAsia="Arial"/>
                <w:b w:val="0"/>
                <w:i w:val="0"/>
                <w:sz w:val="14"/>
              </w:rPr>
              <w:t>Mean prior-measure count=5.49; complete-history=74.0%</w:t>
            </w:r>
          </w:p>
        </w:tc>
        <w:tc>
          <w:tcPr>
            <w:tcW w:w="4536" w:type="dxa"/>
            <w:shd w:val="clear" w:color="auto" w:fill="F6F8FA"/>
            <w:tcMar>
              <w:top w:w="50" w:type="dxa"/>
              <w:left w:w="55" w:type="dxa"/>
              <w:bottom w:w="50" w:type="dxa"/>
              <w:right w:w="55" w:type="dxa"/>
            </w:tcMar>
            <w:vAlign w:val="top"/>
          </w:tcPr>
          <w:p w14:paraId="0F8700CC">
            <w:pPr>
              <w:spacing w:before="0" w:after="0" w:line="240" w:lineRule="auto"/>
              <w:jc w:val="left"/>
            </w:pPr>
            <w:r>
              <w:rPr>
                <w:rFonts w:ascii="Arial" w:hAnsi="Arial" w:eastAsia="Arial"/>
                <w:b w:val="0"/>
                <w:i w:val="0"/>
                <w:sz w:val="14"/>
              </w:rPr>
              <w:t>Interval-specific descriptive count</w:t>
            </w:r>
          </w:p>
        </w:tc>
      </w:tr>
      <w:tr w14:paraId="2E294083">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0AF4AFBB">
            <w:pPr>
              <w:spacing w:before="0" w:after="0" w:line="240" w:lineRule="auto"/>
              <w:jc w:val="center"/>
            </w:pPr>
            <w:r>
              <w:rPr>
                <w:rFonts w:ascii="Arial" w:hAnsi="Arial" w:eastAsia="Arial"/>
                <w:b w:val="0"/>
                <w:i w:val="0"/>
                <w:sz w:val="14"/>
              </w:rPr>
              <w:t>ELSA</w:t>
            </w:r>
          </w:p>
        </w:tc>
        <w:tc>
          <w:tcPr>
            <w:tcW w:w="2951" w:type="dxa"/>
            <w:shd w:val="clear" w:color="auto" w:fill="FFFFFF"/>
            <w:tcMar>
              <w:top w:w="50" w:type="dxa"/>
              <w:left w:w="55" w:type="dxa"/>
              <w:bottom w:w="50" w:type="dxa"/>
              <w:right w:w="55" w:type="dxa"/>
            </w:tcMar>
            <w:vAlign w:val="top"/>
          </w:tcPr>
          <w:p w14:paraId="5EC1165A">
            <w:pPr>
              <w:spacing w:before="0" w:after="0" w:line="240" w:lineRule="auto"/>
              <w:jc w:val="left"/>
            </w:pPr>
            <w:r>
              <w:rPr>
                <w:rFonts w:ascii="Arial" w:hAnsi="Arial" w:eastAsia="Arial"/>
                <w:b w:val="0"/>
                <w:i w:val="0"/>
                <w:sz w:val="14"/>
              </w:rPr>
              <w:t>W8–W9</w:t>
            </w:r>
          </w:p>
        </w:tc>
        <w:tc>
          <w:tcPr>
            <w:tcW w:w="1080" w:type="dxa"/>
            <w:shd w:val="clear" w:color="auto" w:fill="FFFFFF"/>
            <w:tcMar>
              <w:top w:w="50" w:type="dxa"/>
              <w:left w:w="55" w:type="dxa"/>
              <w:bottom w:w="50" w:type="dxa"/>
              <w:right w:w="55" w:type="dxa"/>
            </w:tcMar>
            <w:vAlign w:val="top"/>
          </w:tcPr>
          <w:p w14:paraId="25849D0B">
            <w:pPr>
              <w:spacing w:before="0" w:after="0" w:line="240" w:lineRule="auto"/>
              <w:jc w:val="center"/>
            </w:pPr>
            <w:r>
              <w:rPr>
                <w:rFonts w:ascii="Arial" w:hAnsi="Arial" w:eastAsia="Arial"/>
                <w:b w:val="0"/>
                <w:i w:val="0"/>
                <w:sz w:val="14"/>
              </w:rPr>
              <w:t>1,273</w:t>
            </w:r>
          </w:p>
        </w:tc>
        <w:tc>
          <w:tcPr>
            <w:tcW w:w="1152" w:type="dxa"/>
            <w:shd w:val="clear" w:color="auto" w:fill="FFFFFF"/>
            <w:tcMar>
              <w:top w:w="50" w:type="dxa"/>
              <w:left w:w="55" w:type="dxa"/>
              <w:bottom w:w="50" w:type="dxa"/>
              <w:right w:w="55" w:type="dxa"/>
            </w:tcMar>
            <w:vAlign w:val="top"/>
          </w:tcPr>
          <w:p w14:paraId="6069E7FB">
            <w:pPr>
              <w:spacing w:before="0" w:after="0" w:line="240" w:lineRule="auto"/>
              <w:jc w:val="center"/>
            </w:pPr>
            <w:r>
              <w:rPr>
                <w:rFonts w:ascii="Arial" w:hAnsi="Arial" w:eastAsia="Arial"/>
                <w:b w:val="0"/>
                <w:i w:val="0"/>
                <w:sz w:val="14"/>
              </w:rPr>
              <w:t>1,273</w:t>
            </w:r>
          </w:p>
        </w:tc>
        <w:tc>
          <w:tcPr>
            <w:tcW w:w="864" w:type="dxa"/>
            <w:shd w:val="clear" w:color="auto" w:fill="FFFFFF"/>
            <w:tcMar>
              <w:top w:w="50" w:type="dxa"/>
              <w:left w:w="55" w:type="dxa"/>
              <w:bottom w:w="50" w:type="dxa"/>
              <w:right w:w="55" w:type="dxa"/>
            </w:tcMar>
            <w:vAlign w:val="top"/>
          </w:tcPr>
          <w:p w14:paraId="0B2DFD04">
            <w:pPr>
              <w:spacing w:before="0" w:after="0" w:line="240" w:lineRule="auto"/>
              <w:jc w:val="center"/>
            </w:pPr>
            <w:r>
              <w:rPr>
                <w:rFonts w:ascii="Arial" w:hAnsi="Arial" w:eastAsia="Arial"/>
                <w:b w:val="0"/>
                <w:i w:val="0"/>
                <w:sz w:val="14"/>
              </w:rPr>
              <w:t>59</w:t>
            </w:r>
          </w:p>
        </w:tc>
        <w:tc>
          <w:tcPr>
            <w:tcW w:w="4031" w:type="dxa"/>
            <w:shd w:val="clear" w:color="auto" w:fill="FFFFFF"/>
            <w:tcMar>
              <w:top w:w="50" w:type="dxa"/>
              <w:left w:w="55" w:type="dxa"/>
              <w:bottom w:w="50" w:type="dxa"/>
              <w:right w:w="55" w:type="dxa"/>
            </w:tcMar>
            <w:vAlign w:val="top"/>
          </w:tcPr>
          <w:p w14:paraId="28FCBE3B">
            <w:pPr>
              <w:spacing w:before="0" w:after="0" w:line="240" w:lineRule="auto"/>
              <w:jc w:val="left"/>
            </w:pPr>
            <w:r>
              <w:rPr>
                <w:rFonts w:ascii="Arial" w:hAnsi="Arial" w:eastAsia="Arial"/>
                <w:b w:val="0"/>
                <w:i w:val="0"/>
                <w:sz w:val="14"/>
              </w:rPr>
              <w:t>Mean prior-measure count=6.41; complete-history=70.5%</w:t>
            </w:r>
          </w:p>
        </w:tc>
        <w:tc>
          <w:tcPr>
            <w:tcW w:w="4536" w:type="dxa"/>
            <w:shd w:val="clear" w:color="auto" w:fill="FFFFFF"/>
            <w:tcMar>
              <w:top w:w="50" w:type="dxa"/>
              <w:left w:w="55" w:type="dxa"/>
              <w:bottom w:w="50" w:type="dxa"/>
              <w:right w:w="55" w:type="dxa"/>
            </w:tcMar>
            <w:vAlign w:val="top"/>
          </w:tcPr>
          <w:p w14:paraId="1DC5C749">
            <w:pPr>
              <w:spacing w:before="0" w:after="0" w:line="240" w:lineRule="auto"/>
              <w:jc w:val="left"/>
            </w:pPr>
            <w:r>
              <w:rPr>
                <w:rFonts w:ascii="Arial" w:hAnsi="Arial" w:eastAsia="Arial"/>
                <w:b w:val="0"/>
                <w:i w:val="0"/>
                <w:sz w:val="14"/>
              </w:rPr>
              <w:t>Interval-specific descriptive count</w:t>
            </w:r>
          </w:p>
        </w:tc>
      </w:tr>
      <w:tr w14:paraId="6D4D7DCC">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06157067">
            <w:pPr>
              <w:spacing w:before="0" w:after="0" w:line="240" w:lineRule="auto"/>
              <w:jc w:val="center"/>
            </w:pPr>
            <w:r>
              <w:rPr>
                <w:rFonts w:ascii="Arial" w:hAnsi="Arial" w:eastAsia="Arial"/>
                <w:b w:val="0"/>
                <w:i w:val="0"/>
                <w:sz w:val="14"/>
              </w:rPr>
              <w:t>ELSA</w:t>
            </w:r>
          </w:p>
        </w:tc>
        <w:tc>
          <w:tcPr>
            <w:tcW w:w="2951" w:type="dxa"/>
            <w:shd w:val="clear" w:color="auto" w:fill="F6F8FA"/>
            <w:tcMar>
              <w:top w:w="50" w:type="dxa"/>
              <w:left w:w="55" w:type="dxa"/>
              <w:bottom w:w="50" w:type="dxa"/>
              <w:right w:w="55" w:type="dxa"/>
            </w:tcMar>
            <w:vAlign w:val="top"/>
          </w:tcPr>
          <w:p w14:paraId="4E19212A">
            <w:pPr>
              <w:spacing w:before="0" w:after="0" w:line="240" w:lineRule="auto"/>
              <w:jc w:val="left"/>
            </w:pPr>
            <w:r>
              <w:rPr>
                <w:rFonts w:ascii="Arial" w:hAnsi="Arial" w:eastAsia="Arial"/>
                <w:b w:val="0"/>
                <w:i w:val="0"/>
                <w:sz w:val="14"/>
              </w:rPr>
              <w:t>W9–W10</w:t>
            </w:r>
          </w:p>
        </w:tc>
        <w:tc>
          <w:tcPr>
            <w:tcW w:w="1080" w:type="dxa"/>
            <w:shd w:val="clear" w:color="auto" w:fill="F6F8FA"/>
            <w:tcMar>
              <w:top w:w="50" w:type="dxa"/>
              <w:left w:w="55" w:type="dxa"/>
              <w:bottom w:w="50" w:type="dxa"/>
              <w:right w:w="55" w:type="dxa"/>
            </w:tcMar>
            <w:vAlign w:val="top"/>
          </w:tcPr>
          <w:p w14:paraId="04C2D02C">
            <w:pPr>
              <w:spacing w:before="0" w:after="0" w:line="240" w:lineRule="auto"/>
              <w:jc w:val="center"/>
            </w:pPr>
            <w:r>
              <w:rPr>
                <w:rFonts w:ascii="Arial" w:hAnsi="Arial" w:eastAsia="Arial"/>
                <w:b w:val="0"/>
                <w:i w:val="0"/>
                <w:sz w:val="14"/>
              </w:rPr>
              <w:t>914</w:t>
            </w:r>
          </w:p>
        </w:tc>
        <w:tc>
          <w:tcPr>
            <w:tcW w:w="1152" w:type="dxa"/>
            <w:shd w:val="clear" w:color="auto" w:fill="F6F8FA"/>
            <w:tcMar>
              <w:top w:w="50" w:type="dxa"/>
              <w:left w:w="55" w:type="dxa"/>
              <w:bottom w:w="50" w:type="dxa"/>
              <w:right w:w="55" w:type="dxa"/>
            </w:tcMar>
            <w:vAlign w:val="top"/>
          </w:tcPr>
          <w:p w14:paraId="038F7EB5">
            <w:pPr>
              <w:spacing w:before="0" w:after="0" w:line="240" w:lineRule="auto"/>
              <w:jc w:val="center"/>
            </w:pPr>
            <w:r>
              <w:rPr>
                <w:rFonts w:ascii="Arial" w:hAnsi="Arial" w:eastAsia="Arial"/>
                <w:b w:val="0"/>
                <w:i w:val="0"/>
                <w:sz w:val="14"/>
              </w:rPr>
              <w:t>914</w:t>
            </w:r>
          </w:p>
        </w:tc>
        <w:tc>
          <w:tcPr>
            <w:tcW w:w="864" w:type="dxa"/>
            <w:shd w:val="clear" w:color="auto" w:fill="F6F8FA"/>
            <w:tcMar>
              <w:top w:w="50" w:type="dxa"/>
              <w:left w:w="55" w:type="dxa"/>
              <w:bottom w:w="50" w:type="dxa"/>
              <w:right w:w="55" w:type="dxa"/>
            </w:tcMar>
            <w:vAlign w:val="top"/>
          </w:tcPr>
          <w:p w14:paraId="24B38301">
            <w:pPr>
              <w:spacing w:before="0" w:after="0" w:line="240" w:lineRule="auto"/>
              <w:jc w:val="center"/>
            </w:pPr>
            <w:r>
              <w:rPr>
                <w:rFonts w:ascii="Arial" w:hAnsi="Arial" w:eastAsia="Arial"/>
                <w:b w:val="0"/>
                <w:i w:val="0"/>
                <w:sz w:val="14"/>
              </w:rPr>
              <w:t>108</w:t>
            </w:r>
          </w:p>
        </w:tc>
        <w:tc>
          <w:tcPr>
            <w:tcW w:w="4031" w:type="dxa"/>
            <w:shd w:val="clear" w:color="auto" w:fill="F6F8FA"/>
            <w:tcMar>
              <w:top w:w="50" w:type="dxa"/>
              <w:left w:w="55" w:type="dxa"/>
              <w:bottom w:w="50" w:type="dxa"/>
              <w:right w:w="55" w:type="dxa"/>
            </w:tcMar>
            <w:vAlign w:val="top"/>
          </w:tcPr>
          <w:p w14:paraId="1F1AEC52">
            <w:pPr>
              <w:spacing w:before="0" w:after="0" w:line="240" w:lineRule="auto"/>
              <w:jc w:val="left"/>
            </w:pPr>
            <w:r>
              <w:rPr>
                <w:rFonts w:ascii="Arial" w:hAnsi="Arial" w:eastAsia="Arial"/>
                <w:b w:val="0"/>
                <w:i w:val="0"/>
                <w:sz w:val="14"/>
              </w:rPr>
              <w:t>Mean prior-measure count=7.34; complete-history=66.4%</w:t>
            </w:r>
          </w:p>
        </w:tc>
        <w:tc>
          <w:tcPr>
            <w:tcW w:w="4536" w:type="dxa"/>
            <w:shd w:val="clear" w:color="auto" w:fill="F6F8FA"/>
            <w:tcMar>
              <w:top w:w="50" w:type="dxa"/>
              <w:left w:w="55" w:type="dxa"/>
              <w:bottom w:w="50" w:type="dxa"/>
              <w:right w:w="55" w:type="dxa"/>
            </w:tcMar>
            <w:vAlign w:val="top"/>
          </w:tcPr>
          <w:p w14:paraId="4A465622">
            <w:pPr>
              <w:spacing w:before="0" w:after="0" w:line="240" w:lineRule="auto"/>
              <w:jc w:val="left"/>
            </w:pPr>
            <w:r>
              <w:rPr>
                <w:rFonts w:ascii="Arial" w:hAnsi="Arial" w:eastAsia="Arial"/>
                <w:b w:val="0"/>
                <w:i w:val="0"/>
                <w:sz w:val="14"/>
              </w:rPr>
              <w:t>Interval-specific descriptive count</w:t>
            </w:r>
          </w:p>
        </w:tc>
      </w:tr>
    </w:tbl>
    <w:p w14:paraId="3CF3E207">
      <w:pPr>
        <w:spacing w:before="0" w:after="40"/>
      </w:pPr>
    </w:p>
    <w:p w14:paraId="56401397">
      <w:pPr>
        <w:pStyle w:val="166"/>
        <w:keepLines/>
      </w:pPr>
      <w:r>
        <w:rPr>
          <w:rFonts w:ascii="Arial" w:hAnsi="Arial" w:eastAsia="Arial"/>
          <w:b/>
          <w:i w:val="0"/>
          <w:sz w:val="14"/>
        </w:rPr>
        <w:t>Note. Participants, person-waves, and events are reported for each analysis branch. Blank cells indicate that a quantity was not applicable or was not retained in the supplementary summary; no value was imputed. The repeated psychological-level analysis included 7,292 participants contributing 21,777 observations.</w:t>
      </w:r>
    </w:p>
    <w:p w14:paraId="13B4853A">
      <w:r>
        <w:br w:type="page"/>
      </w:r>
    </w:p>
    <w:p w14:paraId="18AA14A4">
      <w:pPr>
        <w:pStyle w:val="164"/>
      </w:pPr>
      <w:r>
        <w:rPr>
          <w:rFonts w:ascii="Arial" w:hAnsi="Arial" w:eastAsia="Arial"/>
          <w:b/>
          <w:i w:val="0"/>
          <w:sz w:val="21"/>
        </w:rPr>
        <w:t>Table S3. Decomposition diagnostics and selected robustness analyses</w:t>
      </w:r>
    </w:p>
    <w:p w14:paraId="1EB26CB6">
      <w:pPr>
        <w:pStyle w:val="165"/>
        <w:keepNext/>
      </w:pPr>
      <w:r>
        <w:rPr>
          <w:rFonts w:ascii="Arial" w:hAnsi="Arial" w:eastAsia="Arial"/>
          <w:b/>
          <w:i w:val="0"/>
          <w:color w:val="355C7D"/>
          <w:sz w:val="17"/>
        </w:rPr>
        <w:t>Panel A. Decomposition diagnostics</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1960"/>
        <w:gridCol w:w="1960"/>
        <w:gridCol w:w="1960"/>
        <w:gridCol w:w="1960"/>
        <w:gridCol w:w="1960"/>
        <w:gridCol w:w="1960"/>
        <w:gridCol w:w="1960"/>
        <w:gridCol w:w="1960"/>
      </w:tblGrid>
      <w:tr w14:paraId="670BEC31">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936" w:type="dxa"/>
            <w:shd w:val="clear" w:color="auto" w:fill="355C7D"/>
            <w:tcMar>
              <w:top w:w="60" w:type="dxa"/>
              <w:left w:w="55" w:type="dxa"/>
              <w:bottom w:w="60" w:type="dxa"/>
              <w:right w:w="55" w:type="dxa"/>
            </w:tcMar>
            <w:vAlign w:val="center"/>
          </w:tcPr>
          <w:p w14:paraId="1083C5E1">
            <w:pPr>
              <w:spacing w:before="0" w:after="0" w:line="240" w:lineRule="auto"/>
              <w:jc w:val="center"/>
            </w:pPr>
            <w:r>
              <w:rPr>
                <w:rFonts w:ascii="Arial" w:hAnsi="Arial" w:eastAsia="Arial"/>
                <w:b/>
                <w:i w:val="0"/>
                <w:color w:val="FFFFFF"/>
                <w:sz w:val="14"/>
              </w:rPr>
              <w:t>Cohort</w:t>
            </w:r>
          </w:p>
        </w:tc>
        <w:tc>
          <w:tcPr>
            <w:tcW w:w="2232" w:type="dxa"/>
            <w:shd w:val="clear" w:color="auto" w:fill="355C7D"/>
            <w:tcMar>
              <w:top w:w="60" w:type="dxa"/>
              <w:left w:w="55" w:type="dxa"/>
              <w:bottom w:w="60" w:type="dxa"/>
              <w:right w:w="55" w:type="dxa"/>
            </w:tcMar>
            <w:vAlign w:val="center"/>
          </w:tcPr>
          <w:p w14:paraId="7B43040F">
            <w:pPr>
              <w:spacing w:before="0" w:after="0" w:line="240" w:lineRule="auto"/>
              <w:jc w:val="center"/>
            </w:pPr>
            <w:r>
              <w:rPr>
                <w:rFonts w:ascii="Arial" w:hAnsi="Arial" w:eastAsia="Arial"/>
                <w:b/>
                <w:i w:val="0"/>
                <w:color w:val="FFFFFF"/>
                <w:sz w:val="14"/>
              </w:rPr>
              <w:t>Analysis</w:t>
            </w:r>
          </w:p>
        </w:tc>
        <w:tc>
          <w:tcPr>
            <w:tcW w:w="2376" w:type="dxa"/>
            <w:shd w:val="clear" w:color="auto" w:fill="355C7D"/>
            <w:tcMar>
              <w:top w:w="60" w:type="dxa"/>
              <w:left w:w="55" w:type="dxa"/>
              <w:bottom w:w="60" w:type="dxa"/>
              <w:right w:w="55" w:type="dxa"/>
            </w:tcMar>
            <w:vAlign w:val="center"/>
          </w:tcPr>
          <w:p w14:paraId="00083D26">
            <w:pPr>
              <w:spacing w:before="0" w:after="0" w:line="240" w:lineRule="auto"/>
              <w:jc w:val="center"/>
            </w:pPr>
            <w:r>
              <w:rPr>
                <w:rFonts w:ascii="Arial" w:hAnsi="Arial" w:eastAsia="Arial"/>
                <w:b/>
                <w:i w:val="0"/>
                <w:color w:val="FFFFFF"/>
                <w:sz w:val="14"/>
              </w:rPr>
              <w:t>Component</w:t>
            </w:r>
          </w:p>
        </w:tc>
        <w:tc>
          <w:tcPr>
            <w:tcW w:w="1728" w:type="dxa"/>
            <w:shd w:val="clear" w:color="auto" w:fill="355C7D"/>
            <w:tcMar>
              <w:top w:w="60" w:type="dxa"/>
              <w:left w:w="55" w:type="dxa"/>
              <w:bottom w:w="60" w:type="dxa"/>
              <w:right w:w="55" w:type="dxa"/>
            </w:tcMar>
            <w:vAlign w:val="center"/>
          </w:tcPr>
          <w:p w14:paraId="09C93330">
            <w:pPr>
              <w:spacing w:before="0" w:after="0" w:line="240" w:lineRule="auto"/>
              <w:jc w:val="center"/>
            </w:pPr>
            <w:r>
              <w:rPr>
                <w:rFonts w:ascii="Arial" w:hAnsi="Arial" w:eastAsia="Arial"/>
                <w:b/>
                <w:i w:val="0"/>
                <w:color w:val="FFFFFF"/>
                <w:sz w:val="14"/>
              </w:rPr>
              <w:t>Effect measure</w:t>
            </w:r>
          </w:p>
        </w:tc>
        <w:tc>
          <w:tcPr>
            <w:tcW w:w="1728" w:type="dxa"/>
            <w:shd w:val="clear" w:color="auto" w:fill="355C7D"/>
            <w:tcMar>
              <w:top w:w="60" w:type="dxa"/>
              <w:left w:w="55" w:type="dxa"/>
              <w:bottom w:w="60" w:type="dxa"/>
              <w:right w:w="55" w:type="dxa"/>
            </w:tcMar>
            <w:vAlign w:val="center"/>
          </w:tcPr>
          <w:p w14:paraId="61FCA465">
            <w:pPr>
              <w:spacing w:before="0" w:after="0" w:line="240" w:lineRule="auto"/>
              <w:jc w:val="center"/>
            </w:pPr>
            <w:r>
              <w:rPr>
                <w:rFonts w:ascii="Arial" w:hAnsi="Arial" w:eastAsia="Arial"/>
                <w:b/>
                <w:i w:val="0"/>
                <w:color w:val="FFFFFF"/>
                <w:sz w:val="14"/>
              </w:rPr>
              <w:t>Result</w:t>
            </w:r>
          </w:p>
        </w:tc>
        <w:tc>
          <w:tcPr>
            <w:tcW w:w="936" w:type="dxa"/>
            <w:shd w:val="clear" w:color="auto" w:fill="355C7D"/>
            <w:tcMar>
              <w:top w:w="60" w:type="dxa"/>
              <w:left w:w="55" w:type="dxa"/>
              <w:bottom w:w="60" w:type="dxa"/>
              <w:right w:w="55" w:type="dxa"/>
            </w:tcMar>
            <w:vAlign w:val="center"/>
          </w:tcPr>
          <w:p w14:paraId="1BA849EA">
            <w:pPr>
              <w:spacing w:before="0" w:after="0" w:line="240" w:lineRule="auto"/>
              <w:jc w:val="center"/>
            </w:pPr>
            <w:r>
              <w:rPr>
                <w:rFonts w:ascii="Arial" w:hAnsi="Arial" w:eastAsia="Arial"/>
                <w:b/>
                <w:i w:val="0"/>
                <w:color w:val="FFFFFF"/>
                <w:sz w:val="14"/>
              </w:rPr>
              <w:t>P value</w:t>
            </w:r>
          </w:p>
        </w:tc>
        <w:tc>
          <w:tcPr>
            <w:tcW w:w="1944" w:type="dxa"/>
            <w:shd w:val="clear" w:color="auto" w:fill="355C7D"/>
            <w:tcMar>
              <w:top w:w="60" w:type="dxa"/>
              <w:left w:w="55" w:type="dxa"/>
              <w:bottom w:w="60" w:type="dxa"/>
              <w:right w:w="55" w:type="dxa"/>
            </w:tcMar>
            <w:vAlign w:val="center"/>
          </w:tcPr>
          <w:p w14:paraId="1CE093EF">
            <w:pPr>
              <w:spacing w:before="0" w:after="0" w:line="240" w:lineRule="auto"/>
              <w:jc w:val="center"/>
            </w:pPr>
            <w:r>
              <w:rPr>
                <w:rFonts w:ascii="Arial" w:hAnsi="Arial" w:eastAsia="Arial"/>
                <w:b/>
                <w:i w:val="0"/>
                <w:color w:val="FFFFFF"/>
                <w:sz w:val="14"/>
              </w:rPr>
              <w:t>Sample</w:t>
            </w:r>
          </w:p>
        </w:tc>
        <w:tc>
          <w:tcPr>
            <w:tcW w:w="3671" w:type="dxa"/>
            <w:shd w:val="clear" w:color="auto" w:fill="355C7D"/>
            <w:tcMar>
              <w:top w:w="60" w:type="dxa"/>
              <w:left w:w="55" w:type="dxa"/>
              <w:bottom w:w="60" w:type="dxa"/>
              <w:right w:w="55" w:type="dxa"/>
            </w:tcMar>
            <w:vAlign w:val="center"/>
          </w:tcPr>
          <w:p w14:paraId="3BF5D77E">
            <w:pPr>
              <w:spacing w:before="0" w:after="0" w:line="240" w:lineRule="auto"/>
              <w:jc w:val="center"/>
            </w:pPr>
            <w:r>
              <w:rPr>
                <w:rFonts w:ascii="Arial" w:hAnsi="Arial" w:eastAsia="Arial"/>
                <w:b/>
                <w:i w:val="0"/>
                <w:color w:val="FFFFFF"/>
                <w:sz w:val="14"/>
              </w:rPr>
              <w:t>Interpretation</w:t>
            </w:r>
          </w:p>
        </w:tc>
      </w:tr>
      <w:tr w14:paraId="38EFD755">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494C92B7">
            <w:pPr>
              <w:spacing w:before="0" w:after="0" w:line="240" w:lineRule="auto"/>
              <w:jc w:val="center"/>
            </w:pPr>
            <w:r>
              <w:rPr>
                <w:rFonts w:ascii="Arial" w:hAnsi="Arial" w:eastAsia="Arial"/>
                <w:b w:val="0"/>
                <w:i w:val="0"/>
                <w:sz w:val="13"/>
              </w:rPr>
              <w:t>HRS</w:t>
            </w:r>
          </w:p>
        </w:tc>
        <w:tc>
          <w:tcPr>
            <w:tcW w:w="2232" w:type="dxa"/>
            <w:shd w:val="clear" w:color="auto" w:fill="FFFFFF"/>
            <w:tcMar>
              <w:top w:w="50" w:type="dxa"/>
              <w:left w:w="55" w:type="dxa"/>
              <w:bottom w:w="50" w:type="dxa"/>
              <w:right w:w="55" w:type="dxa"/>
            </w:tcMar>
            <w:vAlign w:val="top"/>
          </w:tcPr>
          <w:p w14:paraId="3665776F">
            <w:pPr>
              <w:spacing w:before="0" w:after="0" w:line="240" w:lineRule="auto"/>
              <w:jc w:val="left"/>
            </w:pPr>
            <w:r>
              <w:rPr>
                <w:rFonts w:ascii="Arial" w:hAnsi="Arial" w:eastAsia="Arial"/>
                <w:b w:val="0"/>
                <w:i w:val="0"/>
                <w:sz w:val="13"/>
              </w:rPr>
              <w:t>Primary identical-sample decomposition</w:t>
            </w:r>
          </w:p>
        </w:tc>
        <w:tc>
          <w:tcPr>
            <w:tcW w:w="2376" w:type="dxa"/>
            <w:shd w:val="clear" w:color="auto" w:fill="FFFFFF"/>
            <w:tcMar>
              <w:top w:w="50" w:type="dxa"/>
              <w:left w:w="55" w:type="dxa"/>
              <w:bottom w:w="50" w:type="dxa"/>
              <w:right w:w="55" w:type="dxa"/>
            </w:tcMar>
            <w:vAlign w:val="top"/>
          </w:tcPr>
          <w:p w14:paraId="32CDA8D9">
            <w:pPr>
              <w:spacing w:before="0" w:after="0" w:line="240" w:lineRule="auto"/>
              <w:jc w:val="left"/>
            </w:pPr>
            <w:r>
              <w:rPr>
                <w:rFonts w:ascii="Arial" w:hAnsi="Arial" w:eastAsia="Arial"/>
                <w:b w:val="0"/>
                <w:i w:val="0"/>
                <w:sz w:val="13"/>
              </w:rPr>
              <w:t>Correlation between prior burden and current deviation</w:t>
            </w:r>
          </w:p>
        </w:tc>
        <w:tc>
          <w:tcPr>
            <w:tcW w:w="1728" w:type="dxa"/>
            <w:shd w:val="clear" w:color="auto" w:fill="FFFFFF"/>
            <w:tcMar>
              <w:top w:w="50" w:type="dxa"/>
              <w:left w:w="55" w:type="dxa"/>
              <w:bottom w:w="50" w:type="dxa"/>
              <w:right w:w="55" w:type="dxa"/>
            </w:tcMar>
            <w:vAlign w:val="top"/>
          </w:tcPr>
          <w:p w14:paraId="0943B054">
            <w:pPr>
              <w:spacing w:before="0" w:after="0" w:line="240" w:lineRule="auto"/>
              <w:jc w:val="center"/>
            </w:pPr>
            <w:r>
              <w:rPr>
                <w:rFonts w:ascii="Arial" w:hAnsi="Arial" w:eastAsia="Arial"/>
                <w:b w:val="0"/>
                <w:i w:val="0"/>
                <w:sz w:val="13"/>
              </w:rPr>
              <w:t>Diagnostic</w:t>
            </w:r>
          </w:p>
        </w:tc>
        <w:tc>
          <w:tcPr>
            <w:tcW w:w="1728" w:type="dxa"/>
            <w:shd w:val="clear" w:color="auto" w:fill="FFFFFF"/>
            <w:tcMar>
              <w:top w:w="50" w:type="dxa"/>
              <w:left w:w="55" w:type="dxa"/>
              <w:bottom w:w="50" w:type="dxa"/>
              <w:right w:w="55" w:type="dxa"/>
            </w:tcMar>
            <w:vAlign w:val="top"/>
          </w:tcPr>
          <w:p w14:paraId="3762063D">
            <w:pPr>
              <w:spacing w:before="0" w:after="0" w:line="240" w:lineRule="auto"/>
              <w:jc w:val="center"/>
            </w:pPr>
            <w:r>
              <w:rPr>
                <w:rFonts w:ascii="Arial" w:hAnsi="Arial" w:eastAsia="Arial"/>
                <w:b w:val="0"/>
                <w:i w:val="0"/>
                <w:sz w:val="13"/>
              </w:rPr>
              <w:t>r=−0.291</w:t>
            </w:r>
          </w:p>
        </w:tc>
        <w:tc>
          <w:tcPr>
            <w:tcW w:w="936" w:type="dxa"/>
            <w:shd w:val="clear" w:color="auto" w:fill="FFFFFF"/>
            <w:tcMar>
              <w:top w:w="50" w:type="dxa"/>
              <w:left w:w="55" w:type="dxa"/>
              <w:bottom w:w="50" w:type="dxa"/>
              <w:right w:w="55" w:type="dxa"/>
            </w:tcMar>
            <w:vAlign w:val="top"/>
          </w:tcPr>
          <w:p w14:paraId="0BD3A249">
            <w:pPr>
              <w:spacing w:before="0" w:after="0" w:line="240" w:lineRule="auto"/>
              <w:jc w:val="center"/>
            </w:pPr>
          </w:p>
        </w:tc>
        <w:tc>
          <w:tcPr>
            <w:tcW w:w="1944" w:type="dxa"/>
            <w:shd w:val="clear" w:color="auto" w:fill="FFFFFF"/>
            <w:tcMar>
              <w:top w:w="50" w:type="dxa"/>
              <w:left w:w="55" w:type="dxa"/>
              <w:bottom w:w="50" w:type="dxa"/>
              <w:right w:w="55" w:type="dxa"/>
            </w:tcMar>
            <w:vAlign w:val="top"/>
          </w:tcPr>
          <w:p w14:paraId="1225E172">
            <w:pPr>
              <w:spacing w:before="0" w:after="0" w:line="240" w:lineRule="auto"/>
              <w:jc w:val="left"/>
            </w:pPr>
            <w:r>
              <w:rPr>
                <w:rFonts w:ascii="Arial" w:hAnsi="Arial" w:eastAsia="Arial"/>
                <w:b w:val="0"/>
                <w:i w:val="0"/>
                <w:sz w:val="13"/>
              </w:rPr>
              <w:t>N=7,094; person-waves=17,611; events=821</w:t>
            </w:r>
          </w:p>
        </w:tc>
        <w:tc>
          <w:tcPr>
            <w:tcW w:w="3671" w:type="dxa"/>
            <w:shd w:val="clear" w:color="auto" w:fill="FFFFFF"/>
            <w:tcMar>
              <w:top w:w="50" w:type="dxa"/>
              <w:left w:w="55" w:type="dxa"/>
              <w:bottom w:w="50" w:type="dxa"/>
              <w:right w:w="55" w:type="dxa"/>
            </w:tcMar>
            <w:vAlign w:val="top"/>
          </w:tcPr>
          <w:p w14:paraId="3B48C7A3">
            <w:pPr>
              <w:spacing w:before="0" w:after="0" w:line="240" w:lineRule="auto"/>
              <w:jc w:val="left"/>
            </w:pPr>
            <w:r>
              <w:rPr>
                <w:rFonts w:ascii="Arial" w:hAnsi="Arial" w:eastAsia="Arial"/>
                <w:b w:val="0"/>
                <w:i w:val="0"/>
                <w:sz w:val="13"/>
              </w:rPr>
              <w:t>Pearson correlation on the primary person-wave sample</w:t>
            </w:r>
          </w:p>
        </w:tc>
      </w:tr>
      <w:tr w14:paraId="381F2F74">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63A3DAD3">
            <w:pPr>
              <w:spacing w:before="0" w:after="0" w:line="240" w:lineRule="auto"/>
              <w:jc w:val="center"/>
            </w:pPr>
            <w:r>
              <w:rPr>
                <w:rFonts w:ascii="Arial" w:hAnsi="Arial" w:eastAsia="Arial"/>
                <w:b w:val="0"/>
                <w:i w:val="0"/>
                <w:sz w:val="13"/>
              </w:rPr>
              <w:t>HRS</w:t>
            </w:r>
          </w:p>
        </w:tc>
        <w:tc>
          <w:tcPr>
            <w:tcW w:w="2232" w:type="dxa"/>
            <w:shd w:val="clear" w:color="auto" w:fill="F6F8FA"/>
            <w:tcMar>
              <w:top w:w="50" w:type="dxa"/>
              <w:left w:w="55" w:type="dxa"/>
              <w:bottom w:w="50" w:type="dxa"/>
              <w:right w:w="55" w:type="dxa"/>
            </w:tcMar>
            <w:vAlign w:val="top"/>
          </w:tcPr>
          <w:p w14:paraId="4F95EC6F">
            <w:pPr>
              <w:spacing w:before="0" w:after="0" w:line="240" w:lineRule="auto"/>
              <w:jc w:val="left"/>
            </w:pPr>
            <w:r>
              <w:rPr>
                <w:rFonts w:ascii="Arial" w:hAnsi="Arial" w:eastAsia="Arial"/>
                <w:b w:val="0"/>
                <w:i w:val="0"/>
                <w:sz w:val="13"/>
              </w:rPr>
              <w:t>Primary identical-sample decomposition</w:t>
            </w:r>
          </w:p>
        </w:tc>
        <w:tc>
          <w:tcPr>
            <w:tcW w:w="2376" w:type="dxa"/>
            <w:shd w:val="clear" w:color="auto" w:fill="F6F8FA"/>
            <w:tcMar>
              <w:top w:w="50" w:type="dxa"/>
              <w:left w:w="55" w:type="dxa"/>
              <w:bottom w:w="50" w:type="dxa"/>
              <w:right w:w="55" w:type="dxa"/>
            </w:tcMar>
            <w:vAlign w:val="top"/>
          </w:tcPr>
          <w:p w14:paraId="0E351A0D">
            <w:pPr>
              <w:spacing w:before="0" w:after="0" w:line="240" w:lineRule="auto"/>
              <w:jc w:val="left"/>
            </w:pPr>
            <w:r>
              <w:rPr>
                <w:rFonts w:ascii="Arial" w:hAnsi="Arial" w:eastAsia="Arial"/>
                <w:b w:val="0"/>
                <w:i w:val="0"/>
                <w:sz w:val="13"/>
              </w:rPr>
              <w:t>Variance inflation factor for prior burden</w:t>
            </w:r>
          </w:p>
        </w:tc>
        <w:tc>
          <w:tcPr>
            <w:tcW w:w="1728" w:type="dxa"/>
            <w:shd w:val="clear" w:color="auto" w:fill="F6F8FA"/>
            <w:tcMar>
              <w:top w:w="50" w:type="dxa"/>
              <w:left w:w="55" w:type="dxa"/>
              <w:bottom w:w="50" w:type="dxa"/>
              <w:right w:w="55" w:type="dxa"/>
            </w:tcMar>
            <w:vAlign w:val="top"/>
          </w:tcPr>
          <w:p w14:paraId="2D0C06F2">
            <w:pPr>
              <w:spacing w:before="0" w:after="0" w:line="240" w:lineRule="auto"/>
              <w:jc w:val="center"/>
            </w:pPr>
            <w:r>
              <w:rPr>
                <w:rFonts w:ascii="Arial" w:hAnsi="Arial" w:eastAsia="Arial"/>
                <w:b w:val="0"/>
                <w:i w:val="0"/>
                <w:sz w:val="13"/>
              </w:rPr>
              <w:t>Diagnostic</w:t>
            </w:r>
          </w:p>
        </w:tc>
        <w:tc>
          <w:tcPr>
            <w:tcW w:w="1728" w:type="dxa"/>
            <w:shd w:val="clear" w:color="auto" w:fill="F6F8FA"/>
            <w:tcMar>
              <w:top w:w="50" w:type="dxa"/>
              <w:left w:w="55" w:type="dxa"/>
              <w:bottom w:w="50" w:type="dxa"/>
              <w:right w:w="55" w:type="dxa"/>
            </w:tcMar>
            <w:vAlign w:val="top"/>
          </w:tcPr>
          <w:p w14:paraId="57C80219">
            <w:pPr>
              <w:spacing w:before="0" w:after="0" w:line="240" w:lineRule="auto"/>
              <w:jc w:val="center"/>
            </w:pPr>
            <w:r>
              <w:rPr>
                <w:rFonts w:ascii="Arial" w:hAnsi="Arial" w:eastAsia="Arial"/>
                <w:b w:val="0"/>
                <w:i w:val="0"/>
                <w:sz w:val="13"/>
              </w:rPr>
              <w:t>VIF=1.204</w:t>
            </w:r>
          </w:p>
        </w:tc>
        <w:tc>
          <w:tcPr>
            <w:tcW w:w="936" w:type="dxa"/>
            <w:shd w:val="clear" w:color="auto" w:fill="F6F8FA"/>
            <w:tcMar>
              <w:top w:w="50" w:type="dxa"/>
              <w:left w:w="55" w:type="dxa"/>
              <w:bottom w:w="50" w:type="dxa"/>
              <w:right w:w="55" w:type="dxa"/>
            </w:tcMar>
            <w:vAlign w:val="top"/>
          </w:tcPr>
          <w:p w14:paraId="23FA3A29">
            <w:pPr>
              <w:spacing w:before="0" w:after="0" w:line="240" w:lineRule="auto"/>
              <w:jc w:val="center"/>
            </w:pPr>
          </w:p>
        </w:tc>
        <w:tc>
          <w:tcPr>
            <w:tcW w:w="1944" w:type="dxa"/>
            <w:shd w:val="clear" w:color="auto" w:fill="F6F8FA"/>
            <w:tcMar>
              <w:top w:w="50" w:type="dxa"/>
              <w:left w:w="55" w:type="dxa"/>
              <w:bottom w:w="50" w:type="dxa"/>
              <w:right w:w="55" w:type="dxa"/>
            </w:tcMar>
            <w:vAlign w:val="top"/>
          </w:tcPr>
          <w:p w14:paraId="0BDABF80">
            <w:pPr>
              <w:spacing w:before="0" w:after="0" w:line="240" w:lineRule="auto"/>
              <w:jc w:val="left"/>
            </w:pPr>
            <w:r>
              <w:rPr>
                <w:rFonts w:ascii="Arial" w:hAnsi="Arial" w:eastAsia="Arial"/>
                <w:b w:val="0"/>
                <w:i w:val="0"/>
                <w:sz w:val="13"/>
              </w:rPr>
              <w:t>N=7,094; person-waves=17,611; events=821</w:t>
            </w:r>
          </w:p>
        </w:tc>
        <w:tc>
          <w:tcPr>
            <w:tcW w:w="3671" w:type="dxa"/>
            <w:shd w:val="clear" w:color="auto" w:fill="F6F8FA"/>
            <w:tcMar>
              <w:top w:w="50" w:type="dxa"/>
              <w:left w:w="55" w:type="dxa"/>
              <w:bottom w:w="50" w:type="dxa"/>
              <w:right w:w="55" w:type="dxa"/>
            </w:tcMar>
            <w:vAlign w:val="top"/>
          </w:tcPr>
          <w:p w14:paraId="70916FC2">
            <w:pPr>
              <w:spacing w:before="0" w:after="0" w:line="240" w:lineRule="auto"/>
              <w:jc w:val="left"/>
            </w:pPr>
            <w:r>
              <w:rPr>
                <w:rFonts w:ascii="Arial" w:hAnsi="Arial" w:eastAsia="Arial"/>
                <w:b w:val="0"/>
                <w:i w:val="0"/>
                <w:sz w:val="13"/>
              </w:rPr>
              <w:t>Auxiliary VIF from the joint-model design matrix</w:t>
            </w:r>
          </w:p>
        </w:tc>
      </w:tr>
      <w:tr w14:paraId="287E7CA5">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53F3B2FB">
            <w:pPr>
              <w:spacing w:before="0" w:after="0" w:line="240" w:lineRule="auto"/>
              <w:jc w:val="center"/>
            </w:pPr>
            <w:r>
              <w:rPr>
                <w:rFonts w:ascii="Arial" w:hAnsi="Arial" w:eastAsia="Arial"/>
                <w:b w:val="0"/>
                <w:i w:val="0"/>
                <w:sz w:val="13"/>
              </w:rPr>
              <w:t>HRS</w:t>
            </w:r>
          </w:p>
        </w:tc>
        <w:tc>
          <w:tcPr>
            <w:tcW w:w="2232" w:type="dxa"/>
            <w:shd w:val="clear" w:color="auto" w:fill="FFFFFF"/>
            <w:tcMar>
              <w:top w:w="50" w:type="dxa"/>
              <w:left w:w="55" w:type="dxa"/>
              <w:bottom w:w="50" w:type="dxa"/>
              <w:right w:w="55" w:type="dxa"/>
            </w:tcMar>
            <w:vAlign w:val="top"/>
          </w:tcPr>
          <w:p w14:paraId="24A5AD15">
            <w:pPr>
              <w:spacing w:before="0" w:after="0" w:line="240" w:lineRule="auto"/>
              <w:jc w:val="left"/>
            </w:pPr>
            <w:r>
              <w:rPr>
                <w:rFonts w:ascii="Arial" w:hAnsi="Arial" w:eastAsia="Arial"/>
                <w:b w:val="0"/>
                <w:i w:val="0"/>
                <w:sz w:val="13"/>
              </w:rPr>
              <w:t>Primary identical-sample decomposition</w:t>
            </w:r>
          </w:p>
        </w:tc>
        <w:tc>
          <w:tcPr>
            <w:tcW w:w="2376" w:type="dxa"/>
            <w:shd w:val="clear" w:color="auto" w:fill="FFFFFF"/>
            <w:tcMar>
              <w:top w:w="50" w:type="dxa"/>
              <w:left w:w="55" w:type="dxa"/>
              <w:bottom w:w="50" w:type="dxa"/>
              <w:right w:w="55" w:type="dxa"/>
            </w:tcMar>
            <w:vAlign w:val="top"/>
          </w:tcPr>
          <w:p w14:paraId="366FD77D">
            <w:pPr>
              <w:spacing w:before="0" w:after="0" w:line="240" w:lineRule="auto"/>
              <w:jc w:val="left"/>
            </w:pPr>
            <w:r>
              <w:rPr>
                <w:rFonts w:ascii="Arial" w:hAnsi="Arial" w:eastAsia="Arial"/>
                <w:b w:val="0"/>
                <w:i w:val="0"/>
                <w:sz w:val="13"/>
              </w:rPr>
              <w:t>Variance inflation factor for current deviation</w:t>
            </w:r>
          </w:p>
        </w:tc>
        <w:tc>
          <w:tcPr>
            <w:tcW w:w="1728" w:type="dxa"/>
            <w:shd w:val="clear" w:color="auto" w:fill="FFFFFF"/>
            <w:tcMar>
              <w:top w:w="50" w:type="dxa"/>
              <w:left w:w="55" w:type="dxa"/>
              <w:bottom w:w="50" w:type="dxa"/>
              <w:right w:w="55" w:type="dxa"/>
            </w:tcMar>
            <w:vAlign w:val="top"/>
          </w:tcPr>
          <w:p w14:paraId="70766E89">
            <w:pPr>
              <w:spacing w:before="0" w:after="0" w:line="240" w:lineRule="auto"/>
              <w:jc w:val="center"/>
            </w:pPr>
            <w:r>
              <w:rPr>
                <w:rFonts w:ascii="Arial" w:hAnsi="Arial" w:eastAsia="Arial"/>
                <w:b w:val="0"/>
                <w:i w:val="0"/>
                <w:sz w:val="13"/>
              </w:rPr>
              <w:t>Diagnostic</w:t>
            </w:r>
          </w:p>
        </w:tc>
        <w:tc>
          <w:tcPr>
            <w:tcW w:w="1728" w:type="dxa"/>
            <w:shd w:val="clear" w:color="auto" w:fill="FFFFFF"/>
            <w:tcMar>
              <w:top w:w="50" w:type="dxa"/>
              <w:left w:w="55" w:type="dxa"/>
              <w:bottom w:w="50" w:type="dxa"/>
              <w:right w:w="55" w:type="dxa"/>
            </w:tcMar>
            <w:vAlign w:val="top"/>
          </w:tcPr>
          <w:p w14:paraId="0B0CCC37">
            <w:pPr>
              <w:spacing w:before="0" w:after="0" w:line="240" w:lineRule="auto"/>
              <w:jc w:val="center"/>
            </w:pPr>
            <w:r>
              <w:rPr>
                <w:rFonts w:ascii="Arial" w:hAnsi="Arial" w:eastAsia="Arial"/>
                <w:b w:val="0"/>
                <w:i w:val="0"/>
                <w:sz w:val="13"/>
              </w:rPr>
              <w:t>VIF=1.101</w:t>
            </w:r>
          </w:p>
        </w:tc>
        <w:tc>
          <w:tcPr>
            <w:tcW w:w="936" w:type="dxa"/>
            <w:shd w:val="clear" w:color="auto" w:fill="FFFFFF"/>
            <w:tcMar>
              <w:top w:w="50" w:type="dxa"/>
              <w:left w:w="55" w:type="dxa"/>
              <w:bottom w:w="50" w:type="dxa"/>
              <w:right w:w="55" w:type="dxa"/>
            </w:tcMar>
            <w:vAlign w:val="top"/>
          </w:tcPr>
          <w:p w14:paraId="66218164">
            <w:pPr>
              <w:spacing w:before="0" w:after="0" w:line="240" w:lineRule="auto"/>
              <w:jc w:val="center"/>
            </w:pPr>
          </w:p>
        </w:tc>
        <w:tc>
          <w:tcPr>
            <w:tcW w:w="1944" w:type="dxa"/>
            <w:shd w:val="clear" w:color="auto" w:fill="FFFFFF"/>
            <w:tcMar>
              <w:top w:w="50" w:type="dxa"/>
              <w:left w:w="55" w:type="dxa"/>
              <w:bottom w:w="50" w:type="dxa"/>
              <w:right w:w="55" w:type="dxa"/>
            </w:tcMar>
            <w:vAlign w:val="top"/>
          </w:tcPr>
          <w:p w14:paraId="5BFFA28F">
            <w:pPr>
              <w:spacing w:before="0" w:after="0" w:line="240" w:lineRule="auto"/>
              <w:jc w:val="left"/>
            </w:pPr>
            <w:r>
              <w:rPr>
                <w:rFonts w:ascii="Arial" w:hAnsi="Arial" w:eastAsia="Arial"/>
                <w:b w:val="0"/>
                <w:i w:val="0"/>
                <w:sz w:val="13"/>
              </w:rPr>
              <w:t>N=7,094; person-waves=17,611; events=821</w:t>
            </w:r>
          </w:p>
        </w:tc>
        <w:tc>
          <w:tcPr>
            <w:tcW w:w="3671" w:type="dxa"/>
            <w:shd w:val="clear" w:color="auto" w:fill="FFFFFF"/>
            <w:tcMar>
              <w:top w:w="50" w:type="dxa"/>
              <w:left w:w="55" w:type="dxa"/>
              <w:bottom w:w="50" w:type="dxa"/>
              <w:right w:w="55" w:type="dxa"/>
            </w:tcMar>
            <w:vAlign w:val="top"/>
          </w:tcPr>
          <w:p w14:paraId="7B2784A1">
            <w:pPr>
              <w:spacing w:before="0" w:after="0" w:line="240" w:lineRule="auto"/>
              <w:jc w:val="left"/>
            </w:pPr>
            <w:r>
              <w:rPr>
                <w:rFonts w:ascii="Arial" w:hAnsi="Arial" w:eastAsia="Arial"/>
                <w:b w:val="0"/>
                <w:i w:val="0"/>
                <w:sz w:val="13"/>
              </w:rPr>
              <w:t>Auxiliary VIF from the joint-model design matrix</w:t>
            </w:r>
          </w:p>
        </w:tc>
      </w:tr>
      <w:tr w14:paraId="7D7C2C34">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19B88336">
            <w:pPr>
              <w:spacing w:before="0" w:after="0" w:line="240" w:lineRule="auto"/>
              <w:jc w:val="center"/>
            </w:pPr>
            <w:r>
              <w:rPr>
                <w:rFonts w:ascii="Arial" w:hAnsi="Arial" w:eastAsia="Arial"/>
                <w:b w:val="0"/>
                <w:i w:val="0"/>
                <w:sz w:val="13"/>
              </w:rPr>
              <w:t>HRS</w:t>
            </w:r>
          </w:p>
        </w:tc>
        <w:tc>
          <w:tcPr>
            <w:tcW w:w="2232" w:type="dxa"/>
            <w:shd w:val="clear" w:color="auto" w:fill="F6F8FA"/>
            <w:tcMar>
              <w:top w:w="50" w:type="dxa"/>
              <w:left w:w="55" w:type="dxa"/>
              <w:bottom w:w="50" w:type="dxa"/>
              <w:right w:w="55" w:type="dxa"/>
            </w:tcMar>
            <w:vAlign w:val="top"/>
          </w:tcPr>
          <w:p w14:paraId="752E874C">
            <w:pPr>
              <w:spacing w:before="0" w:after="0" w:line="240" w:lineRule="auto"/>
              <w:jc w:val="left"/>
            </w:pPr>
            <w:r>
              <w:rPr>
                <w:rFonts w:ascii="Arial" w:hAnsi="Arial" w:eastAsia="Arial"/>
                <w:b w:val="0"/>
                <w:i w:val="0"/>
                <w:sz w:val="13"/>
              </w:rPr>
              <w:t>Primary identical-sample decomposition</w:t>
            </w:r>
          </w:p>
        </w:tc>
        <w:tc>
          <w:tcPr>
            <w:tcW w:w="2376" w:type="dxa"/>
            <w:shd w:val="clear" w:color="auto" w:fill="F6F8FA"/>
            <w:tcMar>
              <w:top w:w="50" w:type="dxa"/>
              <w:left w:w="55" w:type="dxa"/>
              <w:bottom w:w="50" w:type="dxa"/>
              <w:right w:w="55" w:type="dxa"/>
            </w:tcMar>
            <w:vAlign w:val="top"/>
          </w:tcPr>
          <w:p w14:paraId="74E12E3A">
            <w:pPr>
              <w:spacing w:before="0" w:after="0" w:line="240" w:lineRule="auto"/>
              <w:jc w:val="left"/>
            </w:pPr>
            <w:r>
              <w:rPr>
                <w:rFonts w:ascii="Arial" w:hAnsi="Arial" w:eastAsia="Arial"/>
                <w:b w:val="0"/>
                <w:i w:val="0"/>
                <w:sz w:val="13"/>
              </w:rPr>
              <w:t>Maximum condition index</w:t>
            </w:r>
          </w:p>
        </w:tc>
        <w:tc>
          <w:tcPr>
            <w:tcW w:w="1728" w:type="dxa"/>
            <w:shd w:val="clear" w:color="auto" w:fill="F6F8FA"/>
            <w:tcMar>
              <w:top w:w="50" w:type="dxa"/>
              <w:left w:w="55" w:type="dxa"/>
              <w:bottom w:w="50" w:type="dxa"/>
              <w:right w:w="55" w:type="dxa"/>
            </w:tcMar>
            <w:vAlign w:val="top"/>
          </w:tcPr>
          <w:p w14:paraId="38536B24">
            <w:pPr>
              <w:spacing w:before="0" w:after="0" w:line="240" w:lineRule="auto"/>
              <w:jc w:val="center"/>
            </w:pPr>
            <w:r>
              <w:rPr>
                <w:rFonts w:ascii="Arial" w:hAnsi="Arial" w:eastAsia="Arial"/>
                <w:b w:val="0"/>
                <w:i w:val="0"/>
                <w:sz w:val="13"/>
              </w:rPr>
              <w:t>Diagnostic</w:t>
            </w:r>
          </w:p>
        </w:tc>
        <w:tc>
          <w:tcPr>
            <w:tcW w:w="1728" w:type="dxa"/>
            <w:shd w:val="clear" w:color="auto" w:fill="F6F8FA"/>
            <w:tcMar>
              <w:top w:w="50" w:type="dxa"/>
              <w:left w:w="55" w:type="dxa"/>
              <w:bottom w:w="50" w:type="dxa"/>
              <w:right w:w="55" w:type="dxa"/>
            </w:tcMar>
            <w:vAlign w:val="top"/>
          </w:tcPr>
          <w:p w14:paraId="5239E73A">
            <w:pPr>
              <w:spacing w:before="0" w:after="0" w:line="240" w:lineRule="auto"/>
              <w:jc w:val="center"/>
            </w:pPr>
            <w:r>
              <w:rPr>
                <w:rFonts w:ascii="Arial" w:hAnsi="Arial" w:eastAsia="Arial"/>
                <w:b w:val="0"/>
                <w:i w:val="0"/>
                <w:sz w:val="13"/>
              </w:rPr>
              <w:t>1.670</w:t>
            </w:r>
          </w:p>
        </w:tc>
        <w:tc>
          <w:tcPr>
            <w:tcW w:w="936" w:type="dxa"/>
            <w:shd w:val="clear" w:color="auto" w:fill="F6F8FA"/>
            <w:tcMar>
              <w:top w:w="50" w:type="dxa"/>
              <w:left w:w="55" w:type="dxa"/>
              <w:bottom w:w="50" w:type="dxa"/>
              <w:right w:w="55" w:type="dxa"/>
            </w:tcMar>
            <w:vAlign w:val="top"/>
          </w:tcPr>
          <w:p w14:paraId="4B2347E5">
            <w:pPr>
              <w:spacing w:before="0" w:after="0" w:line="240" w:lineRule="auto"/>
              <w:jc w:val="center"/>
            </w:pPr>
          </w:p>
        </w:tc>
        <w:tc>
          <w:tcPr>
            <w:tcW w:w="1944" w:type="dxa"/>
            <w:shd w:val="clear" w:color="auto" w:fill="F6F8FA"/>
            <w:tcMar>
              <w:top w:w="50" w:type="dxa"/>
              <w:left w:w="55" w:type="dxa"/>
              <w:bottom w:w="50" w:type="dxa"/>
              <w:right w:w="55" w:type="dxa"/>
            </w:tcMar>
            <w:vAlign w:val="top"/>
          </w:tcPr>
          <w:p w14:paraId="4F977782">
            <w:pPr>
              <w:spacing w:before="0" w:after="0" w:line="240" w:lineRule="auto"/>
              <w:jc w:val="left"/>
            </w:pPr>
            <w:r>
              <w:rPr>
                <w:rFonts w:ascii="Arial" w:hAnsi="Arial" w:eastAsia="Arial"/>
                <w:b w:val="0"/>
                <w:i w:val="0"/>
                <w:sz w:val="13"/>
              </w:rPr>
              <w:t>N=7,094; person-waves=17,611; events=821</w:t>
            </w:r>
          </w:p>
        </w:tc>
        <w:tc>
          <w:tcPr>
            <w:tcW w:w="3671" w:type="dxa"/>
            <w:shd w:val="clear" w:color="auto" w:fill="F6F8FA"/>
            <w:tcMar>
              <w:top w:w="50" w:type="dxa"/>
              <w:left w:w="55" w:type="dxa"/>
              <w:bottom w:w="50" w:type="dxa"/>
              <w:right w:w="55" w:type="dxa"/>
            </w:tcMar>
            <w:vAlign w:val="top"/>
          </w:tcPr>
          <w:p w14:paraId="24571EFD">
            <w:pPr>
              <w:spacing w:before="0" w:after="0" w:line="240" w:lineRule="auto"/>
              <w:jc w:val="left"/>
            </w:pPr>
            <w:r>
              <w:rPr>
                <w:rFonts w:ascii="Arial" w:hAnsi="Arial" w:eastAsia="Arial"/>
                <w:b w:val="0"/>
                <w:i w:val="0"/>
                <w:sz w:val="13"/>
              </w:rPr>
              <w:t>Condition index from the centered and scaled nonconstant joint-model design matrix</w:t>
            </w:r>
          </w:p>
        </w:tc>
      </w:tr>
      <w:tr w14:paraId="5E286E47">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5B1B3DEA">
            <w:pPr>
              <w:spacing w:before="0" w:after="0" w:line="240" w:lineRule="auto"/>
              <w:jc w:val="center"/>
            </w:pPr>
            <w:r>
              <w:rPr>
                <w:rFonts w:ascii="Arial" w:hAnsi="Arial" w:eastAsia="Arial"/>
                <w:b w:val="0"/>
                <w:i w:val="0"/>
                <w:sz w:val="13"/>
              </w:rPr>
              <w:t>HRS</w:t>
            </w:r>
          </w:p>
        </w:tc>
        <w:tc>
          <w:tcPr>
            <w:tcW w:w="2232" w:type="dxa"/>
            <w:shd w:val="clear" w:color="auto" w:fill="FFFFFF"/>
            <w:tcMar>
              <w:top w:w="50" w:type="dxa"/>
              <w:left w:w="55" w:type="dxa"/>
              <w:bottom w:w="50" w:type="dxa"/>
              <w:right w:w="55" w:type="dxa"/>
            </w:tcMar>
            <w:vAlign w:val="top"/>
          </w:tcPr>
          <w:p w14:paraId="0B11AF11">
            <w:pPr>
              <w:spacing w:before="0" w:after="0" w:line="240" w:lineRule="auto"/>
              <w:jc w:val="left"/>
            </w:pPr>
            <w:r>
              <w:rPr>
                <w:rFonts w:ascii="Arial" w:hAnsi="Arial" w:eastAsia="Arial"/>
                <w:b w:val="0"/>
                <w:i w:val="0"/>
                <w:sz w:val="13"/>
              </w:rPr>
              <w:t>Prior-history availability</w:t>
            </w:r>
          </w:p>
        </w:tc>
        <w:tc>
          <w:tcPr>
            <w:tcW w:w="2376" w:type="dxa"/>
            <w:shd w:val="clear" w:color="auto" w:fill="FFFFFF"/>
            <w:tcMar>
              <w:top w:w="50" w:type="dxa"/>
              <w:left w:w="55" w:type="dxa"/>
              <w:bottom w:w="50" w:type="dxa"/>
              <w:right w:w="55" w:type="dxa"/>
            </w:tcMar>
            <w:vAlign w:val="top"/>
          </w:tcPr>
          <w:p w14:paraId="4C67D762">
            <w:pPr>
              <w:spacing w:before="0" w:after="0" w:line="240" w:lineRule="auto"/>
              <w:jc w:val="left"/>
            </w:pPr>
            <w:r>
              <w:rPr>
                <w:rFonts w:ascii="Arial" w:hAnsi="Arial" w:eastAsia="Arial"/>
                <w:b w:val="0"/>
                <w:i w:val="0"/>
                <w:sz w:val="13"/>
              </w:rPr>
              <w:t>Distribution of prior psychological measurements</w:t>
            </w:r>
          </w:p>
        </w:tc>
        <w:tc>
          <w:tcPr>
            <w:tcW w:w="1728" w:type="dxa"/>
            <w:shd w:val="clear" w:color="auto" w:fill="FFFFFF"/>
            <w:tcMar>
              <w:top w:w="50" w:type="dxa"/>
              <w:left w:w="55" w:type="dxa"/>
              <w:bottom w:w="50" w:type="dxa"/>
              <w:right w:w="55" w:type="dxa"/>
            </w:tcMar>
            <w:vAlign w:val="top"/>
          </w:tcPr>
          <w:p w14:paraId="0529CA8A">
            <w:pPr>
              <w:spacing w:before="0" w:after="0" w:line="240" w:lineRule="auto"/>
              <w:jc w:val="center"/>
            </w:pPr>
            <w:r>
              <w:rPr>
                <w:rFonts w:ascii="Arial" w:hAnsi="Arial" w:eastAsia="Arial"/>
                <w:b w:val="0"/>
                <w:i w:val="0"/>
                <w:sz w:val="13"/>
              </w:rPr>
              <w:t>Diagnostic</w:t>
            </w:r>
          </w:p>
        </w:tc>
        <w:tc>
          <w:tcPr>
            <w:tcW w:w="1728" w:type="dxa"/>
            <w:shd w:val="clear" w:color="auto" w:fill="FFFFFF"/>
            <w:tcMar>
              <w:top w:w="50" w:type="dxa"/>
              <w:left w:w="55" w:type="dxa"/>
              <w:bottom w:w="50" w:type="dxa"/>
              <w:right w:w="55" w:type="dxa"/>
            </w:tcMar>
            <w:vAlign w:val="top"/>
          </w:tcPr>
          <w:p w14:paraId="3B61B4AE">
            <w:pPr>
              <w:spacing w:before="0" w:after="0" w:line="240" w:lineRule="auto"/>
              <w:jc w:val="center"/>
            </w:pPr>
            <w:r>
              <w:rPr>
                <w:rFonts w:ascii="Arial" w:hAnsi="Arial" w:eastAsia="Arial"/>
                <w:b w:val="0"/>
                <w:i w:val="0"/>
                <w:sz w:val="13"/>
              </w:rPr>
              <w:t>median=3.0; IQR=2.0–4.0; range=2–4; complete-history=98.0%</w:t>
            </w:r>
          </w:p>
        </w:tc>
        <w:tc>
          <w:tcPr>
            <w:tcW w:w="936" w:type="dxa"/>
            <w:shd w:val="clear" w:color="auto" w:fill="FFFFFF"/>
            <w:tcMar>
              <w:top w:w="50" w:type="dxa"/>
              <w:left w:w="55" w:type="dxa"/>
              <w:bottom w:w="50" w:type="dxa"/>
              <w:right w:w="55" w:type="dxa"/>
            </w:tcMar>
            <w:vAlign w:val="top"/>
          </w:tcPr>
          <w:p w14:paraId="36D96830">
            <w:pPr>
              <w:spacing w:before="0" w:after="0" w:line="240" w:lineRule="auto"/>
              <w:jc w:val="center"/>
            </w:pPr>
          </w:p>
        </w:tc>
        <w:tc>
          <w:tcPr>
            <w:tcW w:w="1944" w:type="dxa"/>
            <w:shd w:val="clear" w:color="auto" w:fill="FFFFFF"/>
            <w:tcMar>
              <w:top w:w="50" w:type="dxa"/>
              <w:left w:w="55" w:type="dxa"/>
              <w:bottom w:w="50" w:type="dxa"/>
              <w:right w:w="55" w:type="dxa"/>
            </w:tcMar>
            <w:vAlign w:val="top"/>
          </w:tcPr>
          <w:p w14:paraId="7BBB11FD">
            <w:pPr>
              <w:spacing w:before="0" w:after="0" w:line="240" w:lineRule="auto"/>
              <w:jc w:val="left"/>
            </w:pPr>
            <w:r>
              <w:rPr>
                <w:rFonts w:ascii="Arial" w:hAnsi="Arial" w:eastAsia="Arial"/>
                <w:b w:val="0"/>
                <w:i w:val="0"/>
                <w:sz w:val="13"/>
              </w:rPr>
              <w:t>N=7,094; person-waves=17,611; events=821</w:t>
            </w:r>
          </w:p>
        </w:tc>
        <w:tc>
          <w:tcPr>
            <w:tcW w:w="3671" w:type="dxa"/>
            <w:shd w:val="clear" w:color="auto" w:fill="FFFFFF"/>
            <w:tcMar>
              <w:top w:w="50" w:type="dxa"/>
              <w:left w:w="55" w:type="dxa"/>
              <w:bottom w:w="50" w:type="dxa"/>
              <w:right w:w="55" w:type="dxa"/>
            </w:tcMar>
            <w:vAlign w:val="top"/>
          </w:tcPr>
          <w:p w14:paraId="1E470B1E">
            <w:pPr>
              <w:spacing w:before="0" w:after="0" w:line="240" w:lineRule="auto"/>
              <w:jc w:val="left"/>
            </w:pPr>
          </w:p>
        </w:tc>
      </w:tr>
      <w:tr w14:paraId="62BB7465">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0665EF31">
            <w:pPr>
              <w:spacing w:before="0" w:after="0" w:line="240" w:lineRule="auto"/>
              <w:jc w:val="center"/>
            </w:pPr>
            <w:r>
              <w:rPr>
                <w:rFonts w:ascii="Arial" w:hAnsi="Arial" w:eastAsia="Arial"/>
                <w:b w:val="0"/>
                <w:i w:val="0"/>
                <w:sz w:val="13"/>
              </w:rPr>
              <w:t>HRS</w:t>
            </w:r>
          </w:p>
        </w:tc>
        <w:tc>
          <w:tcPr>
            <w:tcW w:w="2232" w:type="dxa"/>
            <w:shd w:val="clear" w:color="auto" w:fill="F6F8FA"/>
            <w:tcMar>
              <w:top w:w="50" w:type="dxa"/>
              <w:left w:w="55" w:type="dxa"/>
              <w:bottom w:w="50" w:type="dxa"/>
              <w:right w:w="55" w:type="dxa"/>
            </w:tcMar>
            <w:vAlign w:val="top"/>
          </w:tcPr>
          <w:p w14:paraId="0B5B0168">
            <w:pPr>
              <w:spacing w:before="0" w:after="0" w:line="240" w:lineRule="auto"/>
              <w:jc w:val="left"/>
            </w:pPr>
            <w:r>
              <w:rPr>
                <w:rFonts w:ascii="Arial" w:hAnsi="Arial" w:eastAsia="Arial"/>
                <w:b w:val="0"/>
                <w:i w:val="0"/>
                <w:sz w:val="13"/>
              </w:rPr>
              <w:t>Joint-model completion</w:t>
            </w:r>
          </w:p>
        </w:tc>
        <w:tc>
          <w:tcPr>
            <w:tcW w:w="2376" w:type="dxa"/>
            <w:shd w:val="clear" w:color="auto" w:fill="F6F8FA"/>
            <w:tcMar>
              <w:top w:w="50" w:type="dxa"/>
              <w:left w:w="55" w:type="dxa"/>
              <w:bottom w:w="50" w:type="dxa"/>
              <w:right w:w="55" w:type="dxa"/>
            </w:tcMar>
            <w:vAlign w:val="top"/>
          </w:tcPr>
          <w:p w14:paraId="4BD1CA15">
            <w:pPr>
              <w:spacing w:before="0" w:after="0" w:line="240" w:lineRule="auto"/>
              <w:jc w:val="left"/>
            </w:pPr>
            <w:r>
              <w:rPr>
                <w:rFonts w:ascii="Arial" w:hAnsi="Arial" w:eastAsia="Arial"/>
                <w:b w:val="0"/>
                <w:i w:val="0"/>
                <w:sz w:val="13"/>
              </w:rPr>
              <w:t>Joint prior-burden-plus-deviation model</w:t>
            </w:r>
          </w:p>
        </w:tc>
        <w:tc>
          <w:tcPr>
            <w:tcW w:w="1728" w:type="dxa"/>
            <w:shd w:val="clear" w:color="auto" w:fill="F6F8FA"/>
            <w:tcMar>
              <w:top w:w="50" w:type="dxa"/>
              <w:left w:w="55" w:type="dxa"/>
              <w:bottom w:w="50" w:type="dxa"/>
              <w:right w:w="55" w:type="dxa"/>
            </w:tcMar>
            <w:vAlign w:val="top"/>
          </w:tcPr>
          <w:p w14:paraId="20E53E37">
            <w:pPr>
              <w:spacing w:before="0" w:after="0" w:line="240" w:lineRule="auto"/>
              <w:jc w:val="center"/>
            </w:pPr>
            <w:r>
              <w:rPr>
                <w:rFonts w:ascii="Arial" w:hAnsi="Arial" w:eastAsia="Arial"/>
                <w:b w:val="0"/>
                <w:i w:val="0"/>
                <w:sz w:val="13"/>
              </w:rPr>
              <w:t>Diagnostic</w:t>
            </w:r>
          </w:p>
        </w:tc>
        <w:tc>
          <w:tcPr>
            <w:tcW w:w="1728" w:type="dxa"/>
            <w:shd w:val="clear" w:color="auto" w:fill="F6F8FA"/>
            <w:tcMar>
              <w:top w:w="50" w:type="dxa"/>
              <w:left w:w="55" w:type="dxa"/>
              <w:bottom w:w="50" w:type="dxa"/>
              <w:right w:w="55" w:type="dxa"/>
            </w:tcMar>
            <w:vAlign w:val="top"/>
          </w:tcPr>
          <w:p w14:paraId="1C08A7A6">
            <w:pPr>
              <w:spacing w:before="0" w:after="0" w:line="240" w:lineRule="auto"/>
              <w:jc w:val="center"/>
            </w:pPr>
            <w:r>
              <w:rPr>
                <w:rFonts w:ascii="Arial" w:hAnsi="Arial" w:eastAsia="Arial"/>
                <w:b w:val="0"/>
                <w:i w:val="0"/>
                <w:sz w:val="13"/>
              </w:rPr>
              <w:t>Model completed successfully.</w:t>
            </w:r>
          </w:p>
        </w:tc>
        <w:tc>
          <w:tcPr>
            <w:tcW w:w="936" w:type="dxa"/>
            <w:shd w:val="clear" w:color="auto" w:fill="F6F8FA"/>
            <w:tcMar>
              <w:top w:w="50" w:type="dxa"/>
              <w:left w:w="55" w:type="dxa"/>
              <w:bottom w:w="50" w:type="dxa"/>
              <w:right w:w="55" w:type="dxa"/>
            </w:tcMar>
            <w:vAlign w:val="top"/>
          </w:tcPr>
          <w:p w14:paraId="33E2041C">
            <w:pPr>
              <w:spacing w:before="0" w:after="0" w:line="240" w:lineRule="auto"/>
              <w:jc w:val="center"/>
            </w:pPr>
          </w:p>
        </w:tc>
        <w:tc>
          <w:tcPr>
            <w:tcW w:w="1944" w:type="dxa"/>
            <w:shd w:val="clear" w:color="auto" w:fill="F6F8FA"/>
            <w:tcMar>
              <w:top w:w="50" w:type="dxa"/>
              <w:left w:w="55" w:type="dxa"/>
              <w:bottom w:w="50" w:type="dxa"/>
              <w:right w:w="55" w:type="dxa"/>
            </w:tcMar>
            <w:vAlign w:val="top"/>
          </w:tcPr>
          <w:p w14:paraId="7253611E">
            <w:pPr>
              <w:spacing w:before="0" w:after="0" w:line="240" w:lineRule="auto"/>
              <w:jc w:val="left"/>
            </w:pPr>
            <w:r>
              <w:rPr>
                <w:rFonts w:ascii="Arial" w:hAnsi="Arial" w:eastAsia="Arial"/>
                <w:b w:val="0"/>
                <w:i w:val="0"/>
                <w:sz w:val="13"/>
              </w:rPr>
              <w:t>N=7,094; person-waves=17,611; events=821</w:t>
            </w:r>
          </w:p>
        </w:tc>
        <w:tc>
          <w:tcPr>
            <w:tcW w:w="3671" w:type="dxa"/>
            <w:shd w:val="clear" w:color="auto" w:fill="F6F8FA"/>
            <w:tcMar>
              <w:top w:w="50" w:type="dxa"/>
              <w:left w:w="55" w:type="dxa"/>
              <w:bottom w:w="50" w:type="dxa"/>
              <w:right w:w="55" w:type="dxa"/>
            </w:tcMar>
            <w:vAlign w:val="top"/>
          </w:tcPr>
          <w:p w14:paraId="253A0EAB">
            <w:pPr>
              <w:spacing w:before="0" w:after="0" w:line="240" w:lineRule="auto"/>
              <w:jc w:val="left"/>
            </w:pPr>
          </w:p>
        </w:tc>
      </w:tr>
      <w:tr w14:paraId="07648265">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564BFAE8">
            <w:pPr>
              <w:spacing w:before="0" w:after="0" w:line="240" w:lineRule="auto"/>
              <w:jc w:val="center"/>
            </w:pPr>
            <w:r>
              <w:rPr>
                <w:rFonts w:ascii="Arial" w:hAnsi="Arial" w:eastAsia="Arial"/>
                <w:b w:val="0"/>
                <w:i w:val="0"/>
                <w:sz w:val="13"/>
              </w:rPr>
              <w:t>SHARE</w:t>
            </w:r>
          </w:p>
        </w:tc>
        <w:tc>
          <w:tcPr>
            <w:tcW w:w="2232" w:type="dxa"/>
            <w:shd w:val="clear" w:color="auto" w:fill="FFFFFF"/>
            <w:tcMar>
              <w:top w:w="50" w:type="dxa"/>
              <w:left w:w="55" w:type="dxa"/>
              <w:bottom w:w="50" w:type="dxa"/>
              <w:right w:w="55" w:type="dxa"/>
            </w:tcMar>
            <w:vAlign w:val="top"/>
          </w:tcPr>
          <w:p w14:paraId="16D7336A">
            <w:pPr>
              <w:spacing w:before="0" w:after="0" w:line="240" w:lineRule="auto"/>
              <w:jc w:val="left"/>
            </w:pPr>
            <w:r>
              <w:rPr>
                <w:rFonts w:ascii="Arial" w:hAnsi="Arial" w:eastAsia="Arial"/>
                <w:b w:val="0"/>
                <w:i w:val="0"/>
                <w:sz w:val="13"/>
              </w:rPr>
              <w:t>Primary identical-sample decomposition</w:t>
            </w:r>
          </w:p>
        </w:tc>
        <w:tc>
          <w:tcPr>
            <w:tcW w:w="2376" w:type="dxa"/>
            <w:shd w:val="clear" w:color="auto" w:fill="FFFFFF"/>
            <w:tcMar>
              <w:top w:w="50" w:type="dxa"/>
              <w:left w:w="55" w:type="dxa"/>
              <w:bottom w:w="50" w:type="dxa"/>
              <w:right w:w="55" w:type="dxa"/>
            </w:tcMar>
            <w:vAlign w:val="top"/>
          </w:tcPr>
          <w:p w14:paraId="6A3E53C8">
            <w:pPr>
              <w:spacing w:before="0" w:after="0" w:line="240" w:lineRule="auto"/>
              <w:jc w:val="left"/>
            </w:pPr>
            <w:r>
              <w:rPr>
                <w:rFonts w:ascii="Arial" w:hAnsi="Arial" w:eastAsia="Arial"/>
                <w:b w:val="0"/>
                <w:i w:val="0"/>
                <w:sz w:val="13"/>
              </w:rPr>
              <w:t>Correlation between prior burden and current deviation</w:t>
            </w:r>
          </w:p>
        </w:tc>
        <w:tc>
          <w:tcPr>
            <w:tcW w:w="1728" w:type="dxa"/>
            <w:shd w:val="clear" w:color="auto" w:fill="FFFFFF"/>
            <w:tcMar>
              <w:top w:w="50" w:type="dxa"/>
              <w:left w:w="55" w:type="dxa"/>
              <w:bottom w:w="50" w:type="dxa"/>
              <w:right w:w="55" w:type="dxa"/>
            </w:tcMar>
            <w:vAlign w:val="top"/>
          </w:tcPr>
          <w:p w14:paraId="6E8B4FD4">
            <w:pPr>
              <w:spacing w:before="0" w:after="0" w:line="240" w:lineRule="auto"/>
              <w:jc w:val="center"/>
            </w:pPr>
            <w:r>
              <w:rPr>
                <w:rFonts w:ascii="Arial" w:hAnsi="Arial" w:eastAsia="Arial"/>
                <w:b w:val="0"/>
                <w:i w:val="0"/>
                <w:sz w:val="13"/>
              </w:rPr>
              <w:t>Diagnostic</w:t>
            </w:r>
          </w:p>
        </w:tc>
        <w:tc>
          <w:tcPr>
            <w:tcW w:w="1728" w:type="dxa"/>
            <w:shd w:val="clear" w:color="auto" w:fill="FFFFFF"/>
            <w:tcMar>
              <w:top w:w="50" w:type="dxa"/>
              <w:left w:w="55" w:type="dxa"/>
              <w:bottom w:w="50" w:type="dxa"/>
              <w:right w:w="55" w:type="dxa"/>
            </w:tcMar>
            <w:vAlign w:val="top"/>
          </w:tcPr>
          <w:p w14:paraId="553C166E">
            <w:pPr>
              <w:spacing w:before="0" w:after="0" w:line="240" w:lineRule="auto"/>
              <w:jc w:val="center"/>
            </w:pPr>
            <w:r>
              <w:rPr>
                <w:rFonts w:ascii="Arial" w:hAnsi="Arial" w:eastAsia="Arial"/>
                <w:b w:val="0"/>
                <w:i w:val="0"/>
                <w:sz w:val="13"/>
              </w:rPr>
              <w:t>r=−0.317</w:t>
            </w:r>
          </w:p>
        </w:tc>
        <w:tc>
          <w:tcPr>
            <w:tcW w:w="936" w:type="dxa"/>
            <w:shd w:val="clear" w:color="auto" w:fill="FFFFFF"/>
            <w:tcMar>
              <w:top w:w="50" w:type="dxa"/>
              <w:left w:w="55" w:type="dxa"/>
              <w:bottom w:w="50" w:type="dxa"/>
              <w:right w:w="55" w:type="dxa"/>
            </w:tcMar>
            <w:vAlign w:val="top"/>
          </w:tcPr>
          <w:p w14:paraId="505C7913">
            <w:pPr>
              <w:spacing w:before="0" w:after="0" w:line="240" w:lineRule="auto"/>
              <w:jc w:val="center"/>
            </w:pPr>
          </w:p>
        </w:tc>
        <w:tc>
          <w:tcPr>
            <w:tcW w:w="1944" w:type="dxa"/>
            <w:shd w:val="clear" w:color="auto" w:fill="FFFFFF"/>
            <w:tcMar>
              <w:top w:w="50" w:type="dxa"/>
              <w:left w:w="55" w:type="dxa"/>
              <w:bottom w:w="50" w:type="dxa"/>
              <w:right w:w="55" w:type="dxa"/>
            </w:tcMar>
            <w:vAlign w:val="top"/>
          </w:tcPr>
          <w:p w14:paraId="1C21B59B">
            <w:pPr>
              <w:spacing w:before="0" w:after="0" w:line="240" w:lineRule="auto"/>
              <w:jc w:val="left"/>
            </w:pPr>
            <w:r>
              <w:rPr>
                <w:rFonts w:ascii="Arial" w:hAnsi="Arial" w:eastAsia="Arial"/>
                <w:b w:val="0"/>
                <w:i w:val="0"/>
                <w:sz w:val="13"/>
              </w:rPr>
              <w:t>N=26,489; person-waves=47,295; events=2,792</w:t>
            </w:r>
          </w:p>
        </w:tc>
        <w:tc>
          <w:tcPr>
            <w:tcW w:w="3671" w:type="dxa"/>
            <w:shd w:val="clear" w:color="auto" w:fill="FFFFFF"/>
            <w:tcMar>
              <w:top w:w="50" w:type="dxa"/>
              <w:left w:w="55" w:type="dxa"/>
              <w:bottom w:w="50" w:type="dxa"/>
              <w:right w:w="55" w:type="dxa"/>
            </w:tcMar>
            <w:vAlign w:val="top"/>
          </w:tcPr>
          <w:p w14:paraId="15910540">
            <w:pPr>
              <w:spacing w:before="0" w:after="0" w:line="240" w:lineRule="auto"/>
              <w:jc w:val="left"/>
            </w:pPr>
            <w:r>
              <w:rPr>
                <w:rFonts w:ascii="Arial" w:hAnsi="Arial" w:eastAsia="Arial"/>
                <w:b w:val="0"/>
                <w:i w:val="0"/>
                <w:sz w:val="13"/>
              </w:rPr>
              <w:t>Primary identical-sample correlation</w:t>
            </w:r>
          </w:p>
        </w:tc>
      </w:tr>
      <w:tr w14:paraId="1FB7BA0C">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46717695">
            <w:pPr>
              <w:spacing w:before="0" w:after="0" w:line="240" w:lineRule="auto"/>
              <w:jc w:val="center"/>
            </w:pPr>
            <w:r>
              <w:rPr>
                <w:rFonts w:ascii="Arial" w:hAnsi="Arial" w:eastAsia="Arial"/>
                <w:b w:val="0"/>
                <w:i w:val="0"/>
                <w:sz w:val="13"/>
              </w:rPr>
              <w:t>SHARE</w:t>
            </w:r>
          </w:p>
        </w:tc>
        <w:tc>
          <w:tcPr>
            <w:tcW w:w="2232" w:type="dxa"/>
            <w:shd w:val="clear" w:color="auto" w:fill="F6F8FA"/>
            <w:tcMar>
              <w:top w:w="50" w:type="dxa"/>
              <w:left w:w="55" w:type="dxa"/>
              <w:bottom w:w="50" w:type="dxa"/>
              <w:right w:w="55" w:type="dxa"/>
            </w:tcMar>
            <w:vAlign w:val="top"/>
          </w:tcPr>
          <w:p w14:paraId="68817981">
            <w:pPr>
              <w:spacing w:before="0" w:after="0" w:line="240" w:lineRule="auto"/>
              <w:jc w:val="left"/>
            </w:pPr>
            <w:r>
              <w:rPr>
                <w:rFonts w:ascii="Arial" w:hAnsi="Arial" w:eastAsia="Arial"/>
                <w:b w:val="0"/>
                <w:i w:val="0"/>
                <w:sz w:val="13"/>
              </w:rPr>
              <w:t>Primary identical-sample decomposition</w:t>
            </w:r>
          </w:p>
        </w:tc>
        <w:tc>
          <w:tcPr>
            <w:tcW w:w="2376" w:type="dxa"/>
            <w:shd w:val="clear" w:color="auto" w:fill="F6F8FA"/>
            <w:tcMar>
              <w:top w:w="50" w:type="dxa"/>
              <w:left w:w="55" w:type="dxa"/>
              <w:bottom w:w="50" w:type="dxa"/>
              <w:right w:w="55" w:type="dxa"/>
            </w:tcMar>
            <w:vAlign w:val="top"/>
          </w:tcPr>
          <w:p w14:paraId="52C75DDF">
            <w:pPr>
              <w:spacing w:before="0" w:after="0" w:line="240" w:lineRule="auto"/>
              <w:jc w:val="left"/>
            </w:pPr>
            <w:r>
              <w:rPr>
                <w:rFonts w:ascii="Arial" w:hAnsi="Arial" w:eastAsia="Arial"/>
                <w:b w:val="0"/>
                <w:i w:val="0"/>
                <w:sz w:val="13"/>
              </w:rPr>
              <w:t>Variance inflation factor for prior burden</w:t>
            </w:r>
          </w:p>
        </w:tc>
        <w:tc>
          <w:tcPr>
            <w:tcW w:w="1728" w:type="dxa"/>
            <w:shd w:val="clear" w:color="auto" w:fill="F6F8FA"/>
            <w:tcMar>
              <w:top w:w="50" w:type="dxa"/>
              <w:left w:w="55" w:type="dxa"/>
              <w:bottom w:w="50" w:type="dxa"/>
              <w:right w:w="55" w:type="dxa"/>
            </w:tcMar>
            <w:vAlign w:val="top"/>
          </w:tcPr>
          <w:p w14:paraId="30C7217B">
            <w:pPr>
              <w:spacing w:before="0" w:after="0" w:line="240" w:lineRule="auto"/>
              <w:jc w:val="center"/>
            </w:pPr>
            <w:r>
              <w:rPr>
                <w:rFonts w:ascii="Arial" w:hAnsi="Arial" w:eastAsia="Arial"/>
                <w:b w:val="0"/>
                <w:i w:val="0"/>
                <w:sz w:val="13"/>
              </w:rPr>
              <w:t>Diagnostic</w:t>
            </w:r>
          </w:p>
        </w:tc>
        <w:tc>
          <w:tcPr>
            <w:tcW w:w="1728" w:type="dxa"/>
            <w:shd w:val="clear" w:color="auto" w:fill="F6F8FA"/>
            <w:tcMar>
              <w:top w:w="50" w:type="dxa"/>
              <w:left w:w="55" w:type="dxa"/>
              <w:bottom w:w="50" w:type="dxa"/>
              <w:right w:w="55" w:type="dxa"/>
            </w:tcMar>
            <w:vAlign w:val="top"/>
          </w:tcPr>
          <w:p w14:paraId="0D8D3C03">
            <w:pPr>
              <w:spacing w:before="0" w:after="0" w:line="240" w:lineRule="auto"/>
              <w:jc w:val="center"/>
            </w:pPr>
            <w:r>
              <w:rPr>
                <w:rFonts w:ascii="Arial" w:hAnsi="Arial" w:eastAsia="Arial"/>
                <w:b w:val="0"/>
                <w:i w:val="0"/>
                <w:sz w:val="13"/>
              </w:rPr>
              <w:t>VIF=1.303</w:t>
            </w:r>
          </w:p>
        </w:tc>
        <w:tc>
          <w:tcPr>
            <w:tcW w:w="936" w:type="dxa"/>
            <w:shd w:val="clear" w:color="auto" w:fill="F6F8FA"/>
            <w:tcMar>
              <w:top w:w="50" w:type="dxa"/>
              <w:left w:w="55" w:type="dxa"/>
              <w:bottom w:w="50" w:type="dxa"/>
              <w:right w:w="55" w:type="dxa"/>
            </w:tcMar>
            <w:vAlign w:val="top"/>
          </w:tcPr>
          <w:p w14:paraId="0C02BD58">
            <w:pPr>
              <w:spacing w:before="0" w:after="0" w:line="240" w:lineRule="auto"/>
              <w:jc w:val="center"/>
            </w:pPr>
          </w:p>
        </w:tc>
        <w:tc>
          <w:tcPr>
            <w:tcW w:w="1944" w:type="dxa"/>
            <w:shd w:val="clear" w:color="auto" w:fill="F6F8FA"/>
            <w:tcMar>
              <w:top w:w="50" w:type="dxa"/>
              <w:left w:w="55" w:type="dxa"/>
              <w:bottom w:w="50" w:type="dxa"/>
              <w:right w:w="55" w:type="dxa"/>
            </w:tcMar>
            <w:vAlign w:val="top"/>
          </w:tcPr>
          <w:p w14:paraId="2959B60E">
            <w:pPr>
              <w:spacing w:before="0" w:after="0" w:line="240" w:lineRule="auto"/>
              <w:jc w:val="left"/>
            </w:pPr>
            <w:r>
              <w:rPr>
                <w:rFonts w:ascii="Arial" w:hAnsi="Arial" w:eastAsia="Arial"/>
                <w:b w:val="0"/>
                <w:i w:val="0"/>
                <w:sz w:val="13"/>
              </w:rPr>
              <w:t>N=26,489; person-waves=47,295; events=2,792</w:t>
            </w:r>
          </w:p>
        </w:tc>
        <w:tc>
          <w:tcPr>
            <w:tcW w:w="3671" w:type="dxa"/>
            <w:shd w:val="clear" w:color="auto" w:fill="F6F8FA"/>
            <w:tcMar>
              <w:top w:w="50" w:type="dxa"/>
              <w:left w:w="55" w:type="dxa"/>
              <w:bottom w:w="50" w:type="dxa"/>
              <w:right w:w="55" w:type="dxa"/>
            </w:tcMar>
            <w:vAlign w:val="top"/>
          </w:tcPr>
          <w:p w14:paraId="06F6B111">
            <w:pPr>
              <w:spacing w:before="0" w:after="0" w:line="240" w:lineRule="auto"/>
              <w:jc w:val="left"/>
            </w:pPr>
            <w:r>
              <w:rPr>
                <w:rFonts w:ascii="Arial" w:hAnsi="Arial" w:eastAsia="Arial"/>
                <w:b w:val="0"/>
                <w:i w:val="0"/>
                <w:sz w:val="13"/>
              </w:rPr>
              <w:t>Auxiliary R²=0.232</w:t>
            </w:r>
          </w:p>
        </w:tc>
      </w:tr>
      <w:tr w14:paraId="24D2B968">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6BBB5585">
            <w:pPr>
              <w:spacing w:before="0" w:after="0" w:line="240" w:lineRule="auto"/>
              <w:jc w:val="center"/>
            </w:pPr>
            <w:r>
              <w:rPr>
                <w:rFonts w:ascii="Arial" w:hAnsi="Arial" w:eastAsia="Arial"/>
                <w:b w:val="0"/>
                <w:i w:val="0"/>
                <w:sz w:val="13"/>
              </w:rPr>
              <w:t>SHARE</w:t>
            </w:r>
          </w:p>
        </w:tc>
        <w:tc>
          <w:tcPr>
            <w:tcW w:w="2232" w:type="dxa"/>
            <w:shd w:val="clear" w:color="auto" w:fill="FFFFFF"/>
            <w:tcMar>
              <w:top w:w="50" w:type="dxa"/>
              <w:left w:w="55" w:type="dxa"/>
              <w:bottom w:w="50" w:type="dxa"/>
              <w:right w:w="55" w:type="dxa"/>
            </w:tcMar>
            <w:vAlign w:val="top"/>
          </w:tcPr>
          <w:p w14:paraId="37954A51">
            <w:pPr>
              <w:spacing w:before="0" w:after="0" w:line="240" w:lineRule="auto"/>
              <w:jc w:val="left"/>
            </w:pPr>
            <w:r>
              <w:rPr>
                <w:rFonts w:ascii="Arial" w:hAnsi="Arial" w:eastAsia="Arial"/>
                <w:b w:val="0"/>
                <w:i w:val="0"/>
                <w:sz w:val="13"/>
              </w:rPr>
              <w:t>Primary identical-sample decomposition</w:t>
            </w:r>
          </w:p>
        </w:tc>
        <w:tc>
          <w:tcPr>
            <w:tcW w:w="2376" w:type="dxa"/>
            <w:shd w:val="clear" w:color="auto" w:fill="FFFFFF"/>
            <w:tcMar>
              <w:top w:w="50" w:type="dxa"/>
              <w:left w:w="55" w:type="dxa"/>
              <w:bottom w:w="50" w:type="dxa"/>
              <w:right w:w="55" w:type="dxa"/>
            </w:tcMar>
            <w:vAlign w:val="top"/>
          </w:tcPr>
          <w:p w14:paraId="0ECBC0DC">
            <w:pPr>
              <w:spacing w:before="0" w:after="0" w:line="240" w:lineRule="auto"/>
              <w:jc w:val="left"/>
            </w:pPr>
            <w:r>
              <w:rPr>
                <w:rFonts w:ascii="Arial" w:hAnsi="Arial" w:eastAsia="Arial"/>
                <w:b w:val="0"/>
                <w:i w:val="0"/>
                <w:sz w:val="13"/>
              </w:rPr>
              <w:t>Variance inflation factor for current deviation</w:t>
            </w:r>
          </w:p>
        </w:tc>
        <w:tc>
          <w:tcPr>
            <w:tcW w:w="1728" w:type="dxa"/>
            <w:shd w:val="clear" w:color="auto" w:fill="FFFFFF"/>
            <w:tcMar>
              <w:top w:w="50" w:type="dxa"/>
              <w:left w:w="55" w:type="dxa"/>
              <w:bottom w:w="50" w:type="dxa"/>
              <w:right w:w="55" w:type="dxa"/>
            </w:tcMar>
            <w:vAlign w:val="top"/>
          </w:tcPr>
          <w:p w14:paraId="36A3DB3B">
            <w:pPr>
              <w:spacing w:before="0" w:after="0" w:line="240" w:lineRule="auto"/>
              <w:jc w:val="center"/>
            </w:pPr>
            <w:r>
              <w:rPr>
                <w:rFonts w:ascii="Arial" w:hAnsi="Arial" w:eastAsia="Arial"/>
                <w:b w:val="0"/>
                <w:i w:val="0"/>
                <w:sz w:val="13"/>
              </w:rPr>
              <w:t>Diagnostic</w:t>
            </w:r>
          </w:p>
        </w:tc>
        <w:tc>
          <w:tcPr>
            <w:tcW w:w="1728" w:type="dxa"/>
            <w:shd w:val="clear" w:color="auto" w:fill="FFFFFF"/>
            <w:tcMar>
              <w:top w:w="50" w:type="dxa"/>
              <w:left w:w="55" w:type="dxa"/>
              <w:bottom w:w="50" w:type="dxa"/>
              <w:right w:w="55" w:type="dxa"/>
            </w:tcMar>
            <w:vAlign w:val="top"/>
          </w:tcPr>
          <w:p w14:paraId="45D8E5E0">
            <w:pPr>
              <w:spacing w:before="0" w:after="0" w:line="240" w:lineRule="auto"/>
              <w:jc w:val="center"/>
            </w:pPr>
            <w:r>
              <w:rPr>
                <w:rFonts w:ascii="Arial" w:hAnsi="Arial" w:eastAsia="Arial"/>
                <w:b w:val="0"/>
                <w:i w:val="0"/>
                <w:sz w:val="13"/>
              </w:rPr>
              <w:t>VIF=1.140</w:t>
            </w:r>
          </w:p>
        </w:tc>
        <w:tc>
          <w:tcPr>
            <w:tcW w:w="936" w:type="dxa"/>
            <w:shd w:val="clear" w:color="auto" w:fill="FFFFFF"/>
            <w:tcMar>
              <w:top w:w="50" w:type="dxa"/>
              <w:left w:w="55" w:type="dxa"/>
              <w:bottom w:w="50" w:type="dxa"/>
              <w:right w:w="55" w:type="dxa"/>
            </w:tcMar>
            <w:vAlign w:val="top"/>
          </w:tcPr>
          <w:p w14:paraId="4A1DB208">
            <w:pPr>
              <w:spacing w:before="0" w:after="0" w:line="240" w:lineRule="auto"/>
              <w:jc w:val="center"/>
            </w:pPr>
          </w:p>
        </w:tc>
        <w:tc>
          <w:tcPr>
            <w:tcW w:w="1944" w:type="dxa"/>
            <w:shd w:val="clear" w:color="auto" w:fill="FFFFFF"/>
            <w:tcMar>
              <w:top w:w="50" w:type="dxa"/>
              <w:left w:w="55" w:type="dxa"/>
              <w:bottom w:w="50" w:type="dxa"/>
              <w:right w:w="55" w:type="dxa"/>
            </w:tcMar>
            <w:vAlign w:val="top"/>
          </w:tcPr>
          <w:p w14:paraId="59ED6B47">
            <w:pPr>
              <w:spacing w:before="0" w:after="0" w:line="240" w:lineRule="auto"/>
              <w:jc w:val="left"/>
            </w:pPr>
            <w:r>
              <w:rPr>
                <w:rFonts w:ascii="Arial" w:hAnsi="Arial" w:eastAsia="Arial"/>
                <w:b w:val="0"/>
                <w:i w:val="0"/>
                <w:sz w:val="13"/>
              </w:rPr>
              <w:t>N=26,489; person-waves=47,295; events=2,792</w:t>
            </w:r>
          </w:p>
        </w:tc>
        <w:tc>
          <w:tcPr>
            <w:tcW w:w="3671" w:type="dxa"/>
            <w:shd w:val="clear" w:color="auto" w:fill="FFFFFF"/>
            <w:tcMar>
              <w:top w:w="50" w:type="dxa"/>
              <w:left w:w="55" w:type="dxa"/>
              <w:bottom w:w="50" w:type="dxa"/>
              <w:right w:w="55" w:type="dxa"/>
            </w:tcMar>
            <w:vAlign w:val="top"/>
          </w:tcPr>
          <w:p w14:paraId="5C679F2C">
            <w:pPr>
              <w:spacing w:before="0" w:after="0" w:line="240" w:lineRule="auto"/>
              <w:jc w:val="left"/>
            </w:pPr>
            <w:r>
              <w:rPr>
                <w:rFonts w:ascii="Arial" w:hAnsi="Arial" w:eastAsia="Arial"/>
                <w:b w:val="0"/>
                <w:i w:val="0"/>
                <w:sz w:val="13"/>
              </w:rPr>
              <w:t>Auxiliary R²=0.123</w:t>
            </w:r>
          </w:p>
        </w:tc>
      </w:tr>
      <w:tr w14:paraId="0B1E124C">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27565D47">
            <w:pPr>
              <w:spacing w:before="0" w:after="0" w:line="240" w:lineRule="auto"/>
              <w:jc w:val="center"/>
            </w:pPr>
            <w:r>
              <w:rPr>
                <w:rFonts w:ascii="Arial" w:hAnsi="Arial" w:eastAsia="Arial"/>
                <w:b w:val="0"/>
                <w:i w:val="0"/>
                <w:sz w:val="13"/>
              </w:rPr>
              <w:t>ELSA</w:t>
            </w:r>
          </w:p>
        </w:tc>
        <w:tc>
          <w:tcPr>
            <w:tcW w:w="2232" w:type="dxa"/>
            <w:shd w:val="clear" w:color="auto" w:fill="F6F8FA"/>
            <w:tcMar>
              <w:top w:w="50" w:type="dxa"/>
              <w:left w:w="55" w:type="dxa"/>
              <w:bottom w:w="50" w:type="dxa"/>
              <w:right w:w="55" w:type="dxa"/>
            </w:tcMar>
            <w:vAlign w:val="top"/>
          </w:tcPr>
          <w:p w14:paraId="4878B2B2">
            <w:pPr>
              <w:spacing w:before="0" w:after="0" w:line="240" w:lineRule="auto"/>
              <w:jc w:val="left"/>
            </w:pPr>
            <w:r>
              <w:rPr>
                <w:rFonts w:ascii="Arial" w:hAnsi="Arial" w:eastAsia="Arial"/>
                <w:b w:val="0"/>
                <w:i w:val="0"/>
                <w:sz w:val="13"/>
              </w:rPr>
              <w:t>Primary identical-sample decomposition</w:t>
            </w:r>
          </w:p>
        </w:tc>
        <w:tc>
          <w:tcPr>
            <w:tcW w:w="2376" w:type="dxa"/>
            <w:shd w:val="clear" w:color="auto" w:fill="F6F8FA"/>
            <w:tcMar>
              <w:top w:w="50" w:type="dxa"/>
              <w:left w:w="55" w:type="dxa"/>
              <w:bottom w:w="50" w:type="dxa"/>
              <w:right w:w="55" w:type="dxa"/>
            </w:tcMar>
            <w:vAlign w:val="top"/>
          </w:tcPr>
          <w:p w14:paraId="69879798">
            <w:pPr>
              <w:spacing w:before="0" w:after="0" w:line="240" w:lineRule="auto"/>
              <w:jc w:val="left"/>
            </w:pPr>
            <w:r>
              <w:rPr>
                <w:rFonts w:ascii="Arial" w:hAnsi="Arial" w:eastAsia="Arial"/>
                <w:b w:val="0"/>
                <w:i w:val="0"/>
                <w:sz w:val="13"/>
              </w:rPr>
              <w:t>Correlation and variance inflation diagnostics</w:t>
            </w:r>
          </w:p>
        </w:tc>
        <w:tc>
          <w:tcPr>
            <w:tcW w:w="1728" w:type="dxa"/>
            <w:shd w:val="clear" w:color="auto" w:fill="F6F8FA"/>
            <w:tcMar>
              <w:top w:w="50" w:type="dxa"/>
              <w:left w:w="55" w:type="dxa"/>
              <w:bottom w:w="50" w:type="dxa"/>
              <w:right w:w="55" w:type="dxa"/>
            </w:tcMar>
            <w:vAlign w:val="top"/>
          </w:tcPr>
          <w:p w14:paraId="2473B016">
            <w:pPr>
              <w:spacing w:before="0" w:after="0" w:line="240" w:lineRule="auto"/>
              <w:jc w:val="center"/>
            </w:pPr>
            <w:r>
              <w:rPr>
                <w:rFonts w:ascii="Arial" w:hAnsi="Arial" w:eastAsia="Arial"/>
                <w:b w:val="0"/>
                <w:i w:val="0"/>
                <w:sz w:val="13"/>
              </w:rPr>
              <w:t>Diagnostic</w:t>
            </w:r>
          </w:p>
        </w:tc>
        <w:tc>
          <w:tcPr>
            <w:tcW w:w="1728" w:type="dxa"/>
            <w:shd w:val="clear" w:color="auto" w:fill="F6F8FA"/>
            <w:tcMar>
              <w:top w:w="50" w:type="dxa"/>
              <w:left w:w="55" w:type="dxa"/>
              <w:bottom w:w="50" w:type="dxa"/>
              <w:right w:w="55" w:type="dxa"/>
            </w:tcMar>
            <w:vAlign w:val="top"/>
          </w:tcPr>
          <w:p w14:paraId="698C6C79">
            <w:pPr>
              <w:spacing w:before="0" w:after="0" w:line="240" w:lineRule="auto"/>
              <w:jc w:val="center"/>
            </w:pPr>
            <w:r>
              <w:rPr>
                <w:rFonts w:ascii="Arial" w:hAnsi="Arial" w:eastAsia="Arial"/>
                <w:b w:val="0"/>
                <w:i w:val="0"/>
                <w:sz w:val="13"/>
              </w:rPr>
              <w:t>r=−0.254; VIF history=1.139; VIF current deviation=1.084</w:t>
            </w:r>
          </w:p>
        </w:tc>
        <w:tc>
          <w:tcPr>
            <w:tcW w:w="936" w:type="dxa"/>
            <w:shd w:val="clear" w:color="auto" w:fill="F6F8FA"/>
            <w:tcMar>
              <w:top w:w="50" w:type="dxa"/>
              <w:left w:w="55" w:type="dxa"/>
              <w:bottom w:w="50" w:type="dxa"/>
              <w:right w:w="55" w:type="dxa"/>
            </w:tcMar>
            <w:vAlign w:val="top"/>
          </w:tcPr>
          <w:p w14:paraId="1AE116EB">
            <w:pPr>
              <w:spacing w:before="0" w:after="0" w:line="240" w:lineRule="auto"/>
              <w:jc w:val="center"/>
            </w:pPr>
          </w:p>
        </w:tc>
        <w:tc>
          <w:tcPr>
            <w:tcW w:w="1944" w:type="dxa"/>
            <w:shd w:val="clear" w:color="auto" w:fill="F6F8FA"/>
            <w:tcMar>
              <w:top w:w="50" w:type="dxa"/>
              <w:left w:w="55" w:type="dxa"/>
              <w:bottom w:w="50" w:type="dxa"/>
              <w:right w:w="55" w:type="dxa"/>
            </w:tcMar>
            <w:vAlign w:val="top"/>
          </w:tcPr>
          <w:p w14:paraId="2EB91294">
            <w:pPr>
              <w:spacing w:before="0" w:after="0" w:line="240" w:lineRule="auto"/>
              <w:jc w:val="left"/>
            </w:pPr>
            <w:r>
              <w:rPr>
                <w:rFonts w:ascii="Arial" w:hAnsi="Arial" w:eastAsia="Arial"/>
                <w:b w:val="0"/>
                <w:i w:val="0"/>
                <w:sz w:val="13"/>
              </w:rPr>
              <w:t>N=2,271; person-waves=9,248; events=419</w:t>
            </w:r>
          </w:p>
        </w:tc>
        <w:tc>
          <w:tcPr>
            <w:tcW w:w="3671" w:type="dxa"/>
            <w:shd w:val="clear" w:color="auto" w:fill="F6F8FA"/>
            <w:tcMar>
              <w:top w:w="50" w:type="dxa"/>
              <w:left w:w="55" w:type="dxa"/>
              <w:bottom w:w="50" w:type="dxa"/>
              <w:right w:w="55" w:type="dxa"/>
            </w:tcMar>
            <w:vAlign w:val="top"/>
          </w:tcPr>
          <w:p w14:paraId="657B584A">
            <w:pPr>
              <w:spacing w:before="0" w:after="0" w:line="240" w:lineRule="auto"/>
              <w:jc w:val="left"/>
            </w:pPr>
            <w:r>
              <w:rPr>
                <w:rFonts w:ascii="Arial" w:hAnsi="Arial" w:eastAsia="Arial"/>
                <w:b w:val="0"/>
                <w:i w:val="0"/>
                <w:sz w:val="13"/>
              </w:rPr>
              <w:t>Diagnostic calculation in the exact ELSA primary person-wave sample; no material multicollinearity</w:t>
            </w:r>
          </w:p>
        </w:tc>
      </w:tr>
      <w:tr w14:paraId="5E6F23D2">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45C7B88E">
            <w:pPr>
              <w:spacing w:before="0" w:after="0" w:line="240" w:lineRule="auto"/>
              <w:jc w:val="center"/>
            </w:pPr>
            <w:r>
              <w:rPr>
                <w:rFonts w:ascii="Arial" w:hAnsi="Arial" w:eastAsia="Arial"/>
                <w:b w:val="0"/>
                <w:i w:val="0"/>
                <w:sz w:val="13"/>
              </w:rPr>
              <w:t>ELSA</w:t>
            </w:r>
          </w:p>
        </w:tc>
        <w:tc>
          <w:tcPr>
            <w:tcW w:w="2232" w:type="dxa"/>
            <w:shd w:val="clear" w:color="auto" w:fill="FFFFFF"/>
            <w:tcMar>
              <w:top w:w="50" w:type="dxa"/>
              <w:left w:w="55" w:type="dxa"/>
              <w:bottom w:w="50" w:type="dxa"/>
              <w:right w:w="55" w:type="dxa"/>
            </w:tcMar>
            <w:vAlign w:val="top"/>
          </w:tcPr>
          <w:p w14:paraId="57DA4FC5">
            <w:pPr>
              <w:spacing w:before="0" w:after="0" w:line="240" w:lineRule="auto"/>
              <w:jc w:val="left"/>
            </w:pPr>
            <w:r>
              <w:rPr>
                <w:rFonts w:ascii="Arial" w:hAnsi="Arial" w:eastAsia="Arial"/>
                <w:b w:val="0"/>
                <w:i w:val="0"/>
                <w:sz w:val="13"/>
              </w:rPr>
              <w:t>Prior-history availability</w:t>
            </w:r>
          </w:p>
        </w:tc>
        <w:tc>
          <w:tcPr>
            <w:tcW w:w="2376" w:type="dxa"/>
            <w:shd w:val="clear" w:color="auto" w:fill="FFFFFF"/>
            <w:tcMar>
              <w:top w:w="50" w:type="dxa"/>
              <w:left w:w="55" w:type="dxa"/>
              <w:bottom w:w="50" w:type="dxa"/>
              <w:right w:w="55" w:type="dxa"/>
            </w:tcMar>
            <w:vAlign w:val="top"/>
          </w:tcPr>
          <w:p w14:paraId="4B1B9414">
            <w:pPr>
              <w:spacing w:before="0" w:after="0" w:line="240" w:lineRule="auto"/>
              <w:jc w:val="left"/>
            </w:pPr>
            <w:r>
              <w:rPr>
                <w:rFonts w:ascii="Arial" w:hAnsi="Arial" w:eastAsia="Arial"/>
                <w:b w:val="0"/>
                <w:i w:val="0"/>
                <w:sz w:val="13"/>
              </w:rPr>
              <w:t>Distribution of prior psychological measurements</w:t>
            </w:r>
          </w:p>
        </w:tc>
        <w:tc>
          <w:tcPr>
            <w:tcW w:w="1728" w:type="dxa"/>
            <w:shd w:val="clear" w:color="auto" w:fill="FFFFFF"/>
            <w:tcMar>
              <w:top w:w="50" w:type="dxa"/>
              <w:left w:w="55" w:type="dxa"/>
              <w:bottom w:w="50" w:type="dxa"/>
              <w:right w:w="55" w:type="dxa"/>
            </w:tcMar>
            <w:vAlign w:val="top"/>
          </w:tcPr>
          <w:p w14:paraId="2AC7F76C">
            <w:pPr>
              <w:spacing w:before="0" w:after="0" w:line="240" w:lineRule="auto"/>
              <w:jc w:val="center"/>
            </w:pPr>
            <w:r>
              <w:rPr>
                <w:rFonts w:ascii="Arial" w:hAnsi="Arial" w:eastAsia="Arial"/>
                <w:b w:val="0"/>
                <w:i w:val="0"/>
                <w:sz w:val="13"/>
              </w:rPr>
              <w:t>Diagnostic</w:t>
            </w:r>
          </w:p>
        </w:tc>
        <w:tc>
          <w:tcPr>
            <w:tcW w:w="1728" w:type="dxa"/>
            <w:shd w:val="clear" w:color="auto" w:fill="FFFFFF"/>
            <w:tcMar>
              <w:top w:w="50" w:type="dxa"/>
              <w:left w:w="55" w:type="dxa"/>
              <w:bottom w:w="50" w:type="dxa"/>
              <w:right w:w="55" w:type="dxa"/>
            </w:tcMar>
            <w:vAlign w:val="top"/>
          </w:tcPr>
          <w:p w14:paraId="142BC56B">
            <w:pPr>
              <w:spacing w:before="0" w:after="0" w:line="240" w:lineRule="auto"/>
              <w:jc w:val="center"/>
            </w:pPr>
            <w:r>
              <w:rPr>
                <w:rFonts w:ascii="Arial" w:hAnsi="Arial" w:eastAsia="Arial"/>
                <w:b w:val="0"/>
                <w:i w:val="0"/>
                <w:sz w:val="13"/>
              </w:rPr>
              <w:t>mean=4.72; median=5.0; IQR=3.0–6.0</w:t>
            </w:r>
          </w:p>
        </w:tc>
        <w:tc>
          <w:tcPr>
            <w:tcW w:w="936" w:type="dxa"/>
            <w:shd w:val="clear" w:color="auto" w:fill="FFFFFF"/>
            <w:tcMar>
              <w:top w:w="50" w:type="dxa"/>
              <w:left w:w="55" w:type="dxa"/>
              <w:bottom w:w="50" w:type="dxa"/>
              <w:right w:w="55" w:type="dxa"/>
            </w:tcMar>
            <w:vAlign w:val="top"/>
          </w:tcPr>
          <w:p w14:paraId="0E522C5D">
            <w:pPr>
              <w:spacing w:before="0" w:after="0" w:line="240" w:lineRule="auto"/>
              <w:jc w:val="center"/>
            </w:pPr>
          </w:p>
        </w:tc>
        <w:tc>
          <w:tcPr>
            <w:tcW w:w="1944" w:type="dxa"/>
            <w:shd w:val="clear" w:color="auto" w:fill="FFFFFF"/>
            <w:tcMar>
              <w:top w:w="50" w:type="dxa"/>
              <w:left w:w="55" w:type="dxa"/>
              <w:bottom w:w="50" w:type="dxa"/>
              <w:right w:w="55" w:type="dxa"/>
            </w:tcMar>
            <w:vAlign w:val="top"/>
          </w:tcPr>
          <w:p w14:paraId="44370621">
            <w:pPr>
              <w:spacing w:before="0" w:after="0" w:line="240" w:lineRule="auto"/>
              <w:jc w:val="left"/>
            </w:pPr>
            <w:r>
              <w:rPr>
                <w:rFonts w:ascii="Arial" w:hAnsi="Arial" w:eastAsia="Arial"/>
                <w:b w:val="0"/>
                <w:i w:val="0"/>
                <w:sz w:val="13"/>
              </w:rPr>
              <w:t>N=2,271; person-waves=9,248; events=419</w:t>
            </w:r>
          </w:p>
        </w:tc>
        <w:tc>
          <w:tcPr>
            <w:tcW w:w="3671" w:type="dxa"/>
            <w:shd w:val="clear" w:color="auto" w:fill="FFFFFF"/>
            <w:tcMar>
              <w:top w:w="50" w:type="dxa"/>
              <w:left w:w="55" w:type="dxa"/>
              <w:bottom w:w="50" w:type="dxa"/>
              <w:right w:w="55" w:type="dxa"/>
            </w:tcMar>
            <w:vAlign w:val="top"/>
          </w:tcPr>
          <w:p w14:paraId="52AC9708">
            <w:pPr>
              <w:spacing w:before="0" w:after="0" w:line="240" w:lineRule="auto"/>
              <w:jc w:val="left"/>
            </w:pPr>
          </w:p>
        </w:tc>
      </w:tr>
      <w:tr w14:paraId="74AA0833">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7EE66ECC">
            <w:pPr>
              <w:spacing w:before="0" w:after="0" w:line="240" w:lineRule="auto"/>
              <w:jc w:val="center"/>
            </w:pPr>
            <w:r>
              <w:rPr>
                <w:rFonts w:ascii="Arial" w:hAnsi="Arial" w:eastAsia="Arial"/>
                <w:b w:val="0"/>
                <w:i w:val="0"/>
                <w:sz w:val="13"/>
              </w:rPr>
              <w:t>ELSA</w:t>
            </w:r>
          </w:p>
        </w:tc>
        <w:tc>
          <w:tcPr>
            <w:tcW w:w="2232" w:type="dxa"/>
            <w:shd w:val="clear" w:color="auto" w:fill="F6F8FA"/>
            <w:tcMar>
              <w:top w:w="50" w:type="dxa"/>
              <w:left w:w="55" w:type="dxa"/>
              <w:bottom w:w="50" w:type="dxa"/>
              <w:right w:w="55" w:type="dxa"/>
            </w:tcMar>
            <w:vAlign w:val="top"/>
          </w:tcPr>
          <w:p w14:paraId="3E0E60AE">
            <w:pPr>
              <w:spacing w:before="0" w:after="0" w:line="240" w:lineRule="auto"/>
              <w:jc w:val="left"/>
            </w:pPr>
            <w:r>
              <w:rPr>
                <w:rFonts w:ascii="Arial" w:hAnsi="Arial" w:eastAsia="Arial"/>
                <w:b w:val="0"/>
                <w:i w:val="0"/>
                <w:sz w:val="13"/>
              </w:rPr>
              <w:t>Joint-model completion</w:t>
            </w:r>
          </w:p>
        </w:tc>
        <w:tc>
          <w:tcPr>
            <w:tcW w:w="2376" w:type="dxa"/>
            <w:shd w:val="clear" w:color="auto" w:fill="F6F8FA"/>
            <w:tcMar>
              <w:top w:w="50" w:type="dxa"/>
              <w:left w:w="55" w:type="dxa"/>
              <w:bottom w:w="50" w:type="dxa"/>
              <w:right w:w="55" w:type="dxa"/>
            </w:tcMar>
            <w:vAlign w:val="top"/>
          </w:tcPr>
          <w:p w14:paraId="2AE8E320">
            <w:pPr>
              <w:spacing w:before="0" w:after="0" w:line="240" w:lineRule="auto"/>
              <w:jc w:val="left"/>
            </w:pPr>
            <w:r>
              <w:rPr>
                <w:rFonts w:ascii="Arial" w:hAnsi="Arial" w:eastAsia="Arial"/>
                <w:b w:val="0"/>
                <w:i w:val="0"/>
                <w:sz w:val="13"/>
              </w:rPr>
              <w:t>Joint prior-burden-plus-deviation model</w:t>
            </w:r>
          </w:p>
        </w:tc>
        <w:tc>
          <w:tcPr>
            <w:tcW w:w="1728" w:type="dxa"/>
            <w:shd w:val="clear" w:color="auto" w:fill="F6F8FA"/>
            <w:tcMar>
              <w:top w:w="50" w:type="dxa"/>
              <w:left w:w="55" w:type="dxa"/>
              <w:bottom w:w="50" w:type="dxa"/>
              <w:right w:w="55" w:type="dxa"/>
            </w:tcMar>
            <w:vAlign w:val="top"/>
          </w:tcPr>
          <w:p w14:paraId="0D9B1739">
            <w:pPr>
              <w:spacing w:before="0" w:after="0" w:line="240" w:lineRule="auto"/>
              <w:jc w:val="center"/>
            </w:pPr>
            <w:r>
              <w:rPr>
                <w:rFonts w:ascii="Arial" w:hAnsi="Arial" w:eastAsia="Arial"/>
                <w:b w:val="0"/>
                <w:i w:val="0"/>
                <w:sz w:val="13"/>
              </w:rPr>
              <w:t>Diagnostic</w:t>
            </w:r>
          </w:p>
        </w:tc>
        <w:tc>
          <w:tcPr>
            <w:tcW w:w="1728" w:type="dxa"/>
            <w:shd w:val="clear" w:color="auto" w:fill="F6F8FA"/>
            <w:tcMar>
              <w:top w:w="50" w:type="dxa"/>
              <w:left w:w="55" w:type="dxa"/>
              <w:bottom w:w="50" w:type="dxa"/>
              <w:right w:w="55" w:type="dxa"/>
            </w:tcMar>
            <w:vAlign w:val="top"/>
          </w:tcPr>
          <w:p w14:paraId="770D7829">
            <w:pPr>
              <w:spacing w:before="0" w:after="0" w:line="240" w:lineRule="auto"/>
              <w:jc w:val="center"/>
            </w:pPr>
            <w:r>
              <w:rPr>
                <w:rFonts w:ascii="Arial" w:hAnsi="Arial" w:eastAsia="Arial"/>
                <w:b w:val="0"/>
                <w:i w:val="0"/>
                <w:sz w:val="13"/>
              </w:rPr>
              <w:t>Model completed successfully.</w:t>
            </w:r>
          </w:p>
        </w:tc>
        <w:tc>
          <w:tcPr>
            <w:tcW w:w="936" w:type="dxa"/>
            <w:shd w:val="clear" w:color="auto" w:fill="F6F8FA"/>
            <w:tcMar>
              <w:top w:w="50" w:type="dxa"/>
              <w:left w:w="55" w:type="dxa"/>
              <w:bottom w:w="50" w:type="dxa"/>
              <w:right w:w="55" w:type="dxa"/>
            </w:tcMar>
            <w:vAlign w:val="top"/>
          </w:tcPr>
          <w:p w14:paraId="5315D75A">
            <w:pPr>
              <w:spacing w:before="0" w:after="0" w:line="240" w:lineRule="auto"/>
              <w:jc w:val="center"/>
            </w:pPr>
          </w:p>
        </w:tc>
        <w:tc>
          <w:tcPr>
            <w:tcW w:w="1944" w:type="dxa"/>
            <w:shd w:val="clear" w:color="auto" w:fill="F6F8FA"/>
            <w:tcMar>
              <w:top w:w="50" w:type="dxa"/>
              <w:left w:w="55" w:type="dxa"/>
              <w:bottom w:w="50" w:type="dxa"/>
              <w:right w:w="55" w:type="dxa"/>
            </w:tcMar>
            <w:vAlign w:val="top"/>
          </w:tcPr>
          <w:p w14:paraId="64789E8C">
            <w:pPr>
              <w:spacing w:before="0" w:after="0" w:line="240" w:lineRule="auto"/>
              <w:jc w:val="left"/>
            </w:pPr>
            <w:r>
              <w:rPr>
                <w:rFonts w:ascii="Arial" w:hAnsi="Arial" w:eastAsia="Arial"/>
                <w:b w:val="0"/>
                <w:i w:val="0"/>
                <w:sz w:val="13"/>
              </w:rPr>
              <w:t>N=2,271; person-waves=9,248; events=419</w:t>
            </w:r>
          </w:p>
        </w:tc>
        <w:tc>
          <w:tcPr>
            <w:tcW w:w="3671" w:type="dxa"/>
            <w:shd w:val="clear" w:color="auto" w:fill="F6F8FA"/>
            <w:tcMar>
              <w:top w:w="50" w:type="dxa"/>
              <w:left w:w="55" w:type="dxa"/>
              <w:bottom w:w="50" w:type="dxa"/>
              <w:right w:w="55" w:type="dxa"/>
            </w:tcMar>
            <w:vAlign w:val="top"/>
          </w:tcPr>
          <w:p w14:paraId="105F49F3">
            <w:pPr>
              <w:spacing w:before="0" w:after="0" w:line="240" w:lineRule="auto"/>
              <w:jc w:val="left"/>
            </w:pPr>
          </w:p>
        </w:tc>
      </w:tr>
      <w:tr w14:paraId="69CBE086">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4E821D14">
            <w:pPr>
              <w:spacing w:before="0" w:after="0" w:line="240" w:lineRule="auto"/>
              <w:jc w:val="center"/>
            </w:pPr>
            <w:r>
              <w:rPr>
                <w:rFonts w:ascii="Arial" w:hAnsi="Arial" w:eastAsia="Arial"/>
                <w:b w:val="0"/>
                <w:i w:val="0"/>
                <w:sz w:val="13"/>
              </w:rPr>
              <w:t>All cohorts</w:t>
            </w:r>
          </w:p>
        </w:tc>
        <w:tc>
          <w:tcPr>
            <w:tcW w:w="2232" w:type="dxa"/>
            <w:shd w:val="clear" w:color="auto" w:fill="FFFFFF"/>
            <w:tcMar>
              <w:top w:w="50" w:type="dxa"/>
              <w:left w:w="55" w:type="dxa"/>
              <w:bottom w:w="50" w:type="dxa"/>
              <w:right w:w="55" w:type="dxa"/>
            </w:tcMar>
            <w:vAlign w:val="top"/>
          </w:tcPr>
          <w:p w14:paraId="1CEE8DCA">
            <w:pPr>
              <w:spacing w:before="0" w:after="0" w:line="240" w:lineRule="auto"/>
              <w:jc w:val="left"/>
            </w:pPr>
            <w:r>
              <w:rPr>
                <w:rFonts w:ascii="Arial" w:hAnsi="Arial" w:eastAsia="Arial"/>
                <w:b w:val="0"/>
                <w:i w:val="0"/>
                <w:sz w:val="13"/>
              </w:rPr>
              <w:t>Model specification boundary</w:t>
            </w:r>
          </w:p>
        </w:tc>
        <w:tc>
          <w:tcPr>
            <w:tcW w:w="2376" w:type="dxa"/>
            <w:shd w:val="clear" w:color="auto" w:fill="FFFFFF"/>
            <w:tcMar>
              <w:top w:w="50" w:type="dxa"/>
              <w:left w:w="55" w:type="dxa"/>
              <w:bottom w:w="50" w:type="dxa"/>
              <w:right w:w="55" w:type="dxa"/>
            </w:tcMar>
            <w:vAlign w:val="top"/>
          </w:tcPr>
          <w:p w14:paraId="1E536E28">
            <w:pPr>
              <w:spacing w:before="0" w:after="0" w:line="240" w:lineRule="auto"/>
              <w:jc w:val="left"/>
            </w:pPr>
            <w:r>
              <w:rPr>
                <w:rFonts w:ascii="Arial" w:hAnsi="Arial" w:eastAsia="Arial"/>
                <w:b w:val="0"/>
                <w:i w:val="0"/>
                <w:sz w:val="13"/>
              </w:rPr>
              <w:t>Model-specification boundary</w:t>
            </w:r>
          </w:p>
        </w:tc>
        <w:tc>
          <w:tcPr>
            <w:tcW w:w="1728" w:type="dxa"/>
            <w:shd w:val="clear" w:color="auto" w:fill="FFFFFF"/>
            <w:tcMar>
              <w:top w:w="50" w:type="dxa"/>
              <w:left w:w="55" w:type="dxa"/>
              <w:bottom w:w="50" w:type="dxa"/>
              <w:right w:w="55" w:type="dxa"/>
            </w:tcMar>
            <w:vAlign w:val="top"/>
          </w:tcPr>
          <w:p w14:paraId="46446ADC">
            <w:pPr>
              <w:spacing w:before="0" w:after="0" w:line="240" w:lineRule="auto"/>
              <w:jc w:val="center"/>
            </w:pPr>
            <w:r>
              <w:rPr>
                <w:rFonts w:ascii="Arial" w:hAnsi="Arial" w:eastAsia="Arial"/>
                <w:b w:val="0"/>
                <w:i w:val="0"/>
                <w:sz w:val="13"/>
              </w:rPr>
              <w:t>Diagnostic</w:t>
            </w:r>
          </w:p>
        </w:tc>
        <w:tc>
          <w:tcPr>
            <w:tcW w:w="1728" w:type="dxa"/>
            <w:shd w:val="clear" w:color="auto" w:fill="FFFFFF"/>
            <w:tcMar>
              <w:top w:w="50" w:type="dxa"/>
              <w:left w:w="55" w:type="dxa"/>
              <w:bottom w:w="50" w:type="dxa"/>
              <w:right w:w="55" w:type="dxa"/>
            </w:tcMar>
            <w:vAlign w:val="top"/>
          </w:tcPr>
          <w:p w14:paraId="741ECF86">
            <w:pPr>
              <w:spacing w:before="0" w:after="0" w:line="240" w:lineRule="auto"/>
              <w:jc w:val="center"/>
            </w:pPr>
            <w:r>
              <w:rPr>
                <w:rFonts w:ascii="Arial" w:hAnsi="Arial" w:eastAsia="Arial"/>
                <w:b w:val="0"/>
                <w:i w:val="0"/>
                <w:sz w:val="13"/>
              </w:rPr>
              <w:t>Current snapshot was not entered together with prior burden and current deviation because current snapshot equals their sum by construction.</w:t>
            </w:r>
          </w:p>
        </w:tc>
        <w:tc>
          <w:tcPr>
            <w:tcW w:w="936" w:type="dxa"/>
            <w:shd w:val="clear" w:color="auto" w:fill="FFFFFF"/>
            <w:tcMar>
              <w:top w:w="50" w:type="dxa"/>
              <w:left w:w="55" w:type="dxa"/>
              <w:bottom w:w="50" w:type="dxa"/>
              <w:right w:w="55" w:type="dxa"/>
            </w:tcMar>
            <w:vAlign w:val="top"/>
          </w:tcPr>
          <w:p w14:paraId="7BB9EEE7">
            <w:pPr>
              <w:spacing w:before="0" w:after="0" w:line="240" w:lineRule="auto"/>
              <w:jc w:val="center"/>
            </w:pPr>
          </w:p>
        </w:tc>
        <w:tc>
          <w:tcPr>
            <w:tcW w:w="1944" w:type="dxa"/>
            <w:shd w:val="clear" w:color="auto" w:fill="FFFFFF"/>
            <w:tcMar>
              <w:top w:w="50" w:type="dxa"/>
              <w:left w:w="55" w:type="dxa"/>
              <w:bottom w:w="50" w:type="dxa"/>
              <w:right w:w="55" w:type="dxa"/>
            </w:tcMar>
            <w:vAlign w:val="top"/>
          </w:tcPr>
          <w:p w14:paraId="1CA40561">
            <w:pPr>
              <w:spacing w:before="0" w:after="0" w:line="240" w:lineRule="auto"/>
              <w:jc w:val="left"/>
            </w:pPr>
          </w:p>
        </w:tc>
        <w:tc>
          <w:tcPr>
            <w:tcW w:w="3671" w:type="dxa"/>
            <w:shd w:val="clear" w:color="auto" w:fill="FFFFFF"/>
            <w:tcMar>
              <w:top w:w="50" w:type="dxa"/>
              <w:left w:w="55" w:type="dxa"/>
              <w:bottom w:w="50" w:type="dxa"/>
              <w:right w:w="55" w:type="dxa"/>
            </w:tcMar>
            <w:vAlign w:val="top"/>
          </w:tcPr>
          <w:p w14:paraId="14D61313">
            <w:pPr>
              <w:spacing w:before="0" w:after="0" w:line="240" w:lineRule="auto"/>
              <w:jc w:val="left"/>
            </w:pPr>
          </w:p>
        </w:tc>
      </w:tr>
    </w:tbl>
    <w:p w14:paraId="6FF49F6F">
      <w:pPr>
        <w:spacing w:before="0" w:after="40"/>
      </w:pPr>
    </w:p>
    <w:p w14:paraId="157A9CC1">
      <w:pPr>
        <w:pStyle w:val="165"/>
        <w:keepNext/>
      </w:pPr>
      <w:r>
        <w:rPr>
          <w:rFonts w:ascii="Arial" w:hAnsi="Arial" w:eastAsia="Arial"/>
          <w:b/>
          <w:i w:val="0"/>
          <w:color w:val="355C7D"/>
          <w:sz w:val="17"/>
        </w:rPr>
        <w:t>Panel B. HRS robustness</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1960"/>
        <w:gridCol w:w="1960"/>
        <w:gridCol w:w="1960"/>
        <w:gridCol w:w="1960"/>
        <w:gridCol w:w="1960"/>
        <w:gridCol w:w="1960"/>
        <w:gridCol w:w="1960"/>
        <w:gridCol w:w="1960"/>
      </w:tblGrid>
      <w:tr w14:paraId="00012841">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936" w:type="dxa"/>
            <w:shd w:val="clear" w:color="auto" w:fill="355C7D"/>
            <w:tcMar>
              <w:top w:w="60" w:type="dxa"/>
              <w:left w:w="55" w:type="dxa"/>
              <w:bottom w:w="60" w:type="dxa"/>
              <w:right w:w="55" w:type="dxa"/>
            </w:tcMar>
            <w:vAlign w:val="center"/>
          </w:tcPr>
          <w:p w14:paraId="08B7F375">
            <w:pPr>
              <w:spacing w:before="0" w:after="0" w:line="240" w:lineRule="auto"/>
              <w:jc w:val="center"/>
            </w:pPr>
            <w:r>
              <w:rPr>
                <w:rFonts w:ascii="Arial" w:hAnsi="Arial" w:eastAsia="Arial"/>
                <w:b/>
                <w:i w:val="0"/>
                <w:color w:val="FFFFFF"/>
                <w:sz w:val="14"/>
              </w:rPr>
              <w:t>Cohort</w:t>
            </w:r>
          </w:p>
        </w:tc>
        <w:tc>
          <w:tcPr>
            <w:tcW w:w="2232" w:type="dxa"/>
            <w:shd w:val="clear" w:color="auto" w:fill="355C7D"/>
            <w:tcMar>
              <w:top w:w="60" w:type="dxa"/>
              <w:left w:w="55" w:type="dxa"/>
              <w:bottom w:w="60" w:type="dxa"/>
              <w:right w:w="55" w:type="dxa"/>
            </w:tcMar>
            <w:vAlign w:val="center"/>
          </w:tcPr>
          <w:p w14:paraId="2B8670A1">
            <w:pPr>
              <w:spacing w:before="0" w:after="0" w:line="240" w:lineRule="auto"/>
              <w:jc w:val="center"/>
            </w:pPr>
            <w:r>
              <w:rPr>
                <w:rFonts w:ascii="Arial" w:hAnsi="Arial" w:eastAsia="Arial"/>
                <w:b/>
                <w:i w:val="0"/>
                <w:color w:val="FFFFFF"/>
                <w:sz w:val="14"/>
              </w:rPr>
              <w:t>Analysis</w:t>
            </w:r>
          </w:p>
        </w:tc>
        <w:tc>
          <w:tcPr>
            <w:tcW w:w="2376" w:type="dxa"/>
            <w:shd w:val="clear" w:color="auto" w:fill="355C7D"/>
            <w:tcMar>
              <w:top w:w="60" w:type="dxa"/>
              <w:left w:w="55" w:type="dxa"/>
              <w:bottom w:w="60" w:type="dxa"/>
              <w:right w:w="55" w:type="dxa"/>
            </w:tcMar>
            <w:vAlign w:val="center"/>
          </w:tcPr>
          <w:p w14:paraId="4345F079">
            <w:pPr>
              <w:spacing w:before="0" w:after="0" w:line="240" w:lineRule="auto"/>
              <w:jc w:val="center"/>
            </w:pPr>
            <w:r>
              <w:rPr>
                <w:rFonts w:ascii="Arial" w:hAnsi="Arial" w:eastAsia="Arial"/>
                <w:b/>
                <w:i w:val="0"/>
                <w:color w:val="FFFFFF"/>
                <w:sz w:val="14"/>
              </w:rPr>
              <w:t>Component</w:t>
            </w:r>
          </w:p>
        </w:tc>
        <w:tc>
          <w:tcPr>
            <w:tcW w:w="1728" w:type="dxa"/>
            <w:shd w:val="clear" w:color="auto" w:fill="355C7D"/>
            <w:tcMar>
              <w:top w:w="60" w:type="dxa"/>
              <w:left w:w="55" w:type="dxa"/>
              <w:bottom w:w="60" w:type="dxa"/>
              <w:right w:w="55" w:type="dxa"/>
            </w:tcMar>
            <w:vAlign w:val="center"/>
          </w:tcPr>
          <w:p w14:paraId="6E47D1D3">
            <w:pPr>
              <w:spacing w:before="0" w:after="0" w:line="240" w:lineRule="auto"/>
              <w:jc w:val="center"/>
            </w:pPr>
            <w:r>
              <w:rPr>
                <w:rFonts w:ascii="Arial" w:hAnsi="Arial" w:eastAsia="Arial"/>
                <w:b/>
                <w:i w:val="0"/>
                <w:color w:val="FFFFFF"/>
                <w:sz w:val="14"/>
              </w:rPr>
              <w:t>Effect measure</w:t>
            </w:r>
          </w:p>
        </w:tc>
        <w:tc>
          <w:tcPr>
            <w:tcW w:w="1728" w:type="dxa"/>
            <w:shd w:val="clear" w:color="auto" w:fill="355C7D"/>
            <w:tcMar>
              <w:top w:w="60" w:type="dxa"/>
              <w:left w:w="55" w:type="dxa"/>
              <w:bottom w:w="60" w:type="dxa"/>
              <w:right w:w="55" w:type="dxa"/>
            </w:tcMar>
            <w:vAlign w:val="center"/>
          </w:tcPr>
          <w:p w14:paraId="46F54EA9">
            <w:pPr>
              <w:spacing w:before="0" w:after="0" w:line="240" w:lineRule="auto"/>
              <w:jc w:val="center"/>
            </w:pPr>
            <w:r>
              <w:rPr>
                <w:rFonts w:ascii="Arial" w:hAnsi="Arial" w:eastAsia="Arial"/>
                <w:b/>
                <w:i w:val="0"/>
                <w:color w:val="FFFFFF"/>
                <w:sz w:val="14"/>
              </w:rPr>
              <w:t>Result</w:t>
            </w:r>
          </w:p>
        </w:tc>
        <w:tc>
          <w:tcPr>
            <w:tcW w:w="936" w:type="dxa"/>
            <w:shd w:val="clear" w:color="auto" w:fill="355C7D"/>
            <w:tcMar>
              <w:top w:w="60" w:type="dxa"/>
              <w:left w:w="55" w:type="dxa"/>
              <w:bottom w:w="60" w:type="dxa"/>
              <w:right w:w="55" w:type="dxa"/>
            </w:tcMar>
            <w:vAlign w:val="center"/>
          </w:tcPr>
          <w:p w14:paraId="6EDECBD7">
            <w:pPr>
              <w:spacing w:before="0" w:after="0" w:line="240" w:lineRule="auto"/>
              <w:jc w:val="center"/>
            </w:pPr>
            <w:r>
              <w:rPr>
                <w:rFonts w:ascii="Arial" w:hAnsi="Arial" w:eastAsia="Arial"/>
                <w:b/>
                <w:i w:val="0"/>
                <w:color w:val="FFFFFF"/>
                <w:sz w:val="14"/>
              </w:rPr>
              <w:t>P value</w:t>
            </w:r>
          </w:p>
        </w:tc>
        <w:tc>
          <w:tcPr>
            <w:tcW w:w="1944" w:type="dxa"/>
            <w:shd w:val="clear" w:color="auto" w:fill="355C7D"/>
            <w:tcMar>
              <w:top w:w="60" w:type="dxa"/>
              <w:left w:w="55" w:type="dxa"/>
              <w:bottom w:w="60" w:type="dxa"/>
              <w:right w:w="55" w:type="dxa"/>
            </w:tcMar>
            <w:vAlign w:val="center"/>
          </w:tcPr>
          <w:p w14:paraId="0D2CAB7E">
            <w:pPr>
              <w:spacing w:before="0" w:after="0" w:line="240" w:lineRule="auto"/>
              <w:jc w:val="center"/>
            </w:pPr>
            <w:r>
              <w:rPr>
                <w:rFonts w:ascii="Arial" w:hAnsi="Arial" w:eastAsia="Arial"/>
                <w:b/>
                <w:i w:val="0"/>
                <w:color w:val="FFFFFF"/>
                <w:sz w:val="14"/>
              </w:rPr>
              <w:t>Sample</w:t>
            </w:r>
          </w:p>
        </w:tc>
        <w:tc>
          <w:tcPr>
            <w:tcW w:w="3671" w:type="dxa"/>
            <w:shd w:val="clear" w:color="auto" w:fill="355C7D"/>
            <w:tcMar>
              <w:top w:w="60" w:type="dxa"/>
              <w:left w:w="55" w:type="dxa"/>
              <w:bottom w:w="60" w:type="dxa"/>
              <w:right w:w="55" w:type="dxa"/>
            </w:tcMar>
            <w:vAlign w:val="center"/>
          </w:tcPr>
          <w:p w14:paraId="6BA619F4">
            <w:pPr>
              <w:spacing w:before="0" w:after="0" w:line="240" w:lineRule="auto"/>
              <w:jc w:val="center"/>
            </w:pPr>
            <w:r>
              <w:rPr>
                <w:rFonts w:ascii="Arial" w:hAnsi="Arial" w:eastAsia="Arial"/>
                <w:b/>
                <w:i w:val="0"/>
                <w:color w:val="FFFFFF"/>
                <w:sz w:val="14"/>
              </w:rPr>
              <w:t>Interpretation</w:t>
            </w:r>
          </w:p>
        </w:tc>
      </w:tr>
      <w:tr w14:paraId="30A83685">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2D556482">
            <w:pPr>
              <w:spacing w:before="0" w:after="0" w:line="240" w:lineRule="auto"/>
              <w:jc w:val="center"/>
            </w:pPr>
            <w:r>
              <w:rPr>
                <w:rFonts w:ascii="Arial" w:hAnsi="Arial" w:eastAsia="Arial"/>
                <w:b w:val="0"/>
                <w:i w:val="0"/>
                <w:sz w:val="13"/>
              </w:rPr>
              <w:t>HRS</w:t>
            </w:r>
          </w:p>
        </w:tc>
        <w:tc>
          <w:tcPr>
            <w:tcW w:w="2232" w:type="dxa"/>
            <w:shd w:val="clear" w:color="auto" w:fill="F6F8FA"/>
            <w:tcMar>
              <w:top w:w="50" w:type="dxa"/>
              <w:left w:w="55" w:type="dxa"/>
              <w:bottom w:w="50" w:type="dxa"/>
              <w:right w:w="55" w:type="dxa"/>
            </w:tcMar>
            <w:vAlign w:val="top"/>
          </w:tcPr>
          <w:p w14:paraId="1A85717F">
            <w:pPr>
              <w:spacing w:before="0" w:after="0" w:line="240" w:lineRule="auto"/>
              <w:jc w:val="left"/>
            </w:pPr>
            <w:r>
              <w:rPr>
                <w:rFonts w:ascii="Arial" w:hAnsi="Arial" w:eastAsia="Arial"/>
                <w:b w:val="0"/>
                <w:i w:val="0"/>
                <w:sz w:val="13"/>
              </w:rPr>
              <w:t>Complete-history sensitivity</w:t>
            </w:r>
          </w:p>
        </w:tc>
        <w:tc>
          <w:tcPr>
            <w:tcW w:w="2376" w:type="dxa"/>
            <w:shd w:val="clear" w:color="auto" w:fill="F6F8FA"/>
            <w:tcMar>
              <w:top w:w="50" w:type="dxa"/>
              <w:left w:w="55" w:type="dxa"/>
              <w:bottom w:w="50" w:type="dxa"/>
              <w:right w:w="55" w:type="dxa"/>
            </w:tcMar>
            <w:vAlign w:val="top"/>
          </w:tcPr>
          <w:p w14:paraId="5E5BBBF6">
            <w:pPr>
              <w:spacing w:before="0" w:after="0" w:line="240" w:lineRule="auto"/>
              <w:jc w:val="left"/>
            </w:pPr>
            <w:r>
              <w:rPr>
                <w:rFonts w:ascii="Arial" w:hAnsi="Arial" w:eastAsia="Arial"/>
                <w:b w:val="0"/>
                <w:i w:val="0"/>
                <w:sz w:val="13"/>
              </w:rPr>
              <w:t>Prior burden</w:t>
            </w:r>
          </w:p>
        </w:tc>
        <w:tc>
          <w:tcPr>
            <w:tcW w:w="1728" w:type="dxa"/>
            <w:shd w:val="clear" w:color="auto" w:fill="F6F8FA"/>
            <w:tcMar>
              <w:top w:w="50" w:type="dxa"/>
              <w:left w:w="55" w:type="dxa"/>
              <w:bottom w:w="50" w:type="dxa"/>
              <w:right w:w="55" w:type="dxa"/>
            </w:tcMar>
            <w:vAlign w:val="top"/>
          </w:tcPr>
          <w:p w14:paraId="18C62FAB">
            <w:pPr>
              <w:spacing w:before="0" w:after="0" w:line="240" w:lineRule="auto"/>
              <w:jc w:val="center"/>
            </w:pPr>
            <w:r>
              <w:rPr>
                <w:rFonts w:ascii="Arial" w:hAnsi="Arial" w:eastAsia="Arial"/>
                <w:b w:val="0"/>
                <w:i w:val="0"/>
                <w:sz w:val="13"/>
              </w:rPr>
              <w:t>HR per cohort-specific SD</w:t>
            </w:r>
          </w:p>
        </w:tc>
        <w:tc>
          <w:tcPr>
            <w:tcW w:w="1728" w:type="dxa"/>
            <w:shd w:val="clear" w:color="auto" w:fill="F6F8FA"/>
            <w:tcMar>
              <w:top w:w="50" w:type="dxa"/>
              <w:left w:w="55" w:type="dxa"/>
              <w:bottom w:w="50" w:type="dxa"/>
              <w:right w:w="55" w:type="dxa"/>
            </w:tcMar>
            <w:vAlign w:val="top"/>
          </w:tcPr>
          <w:p w14:paraId="5425F32A">
            <w:pPr>
              <w:spacing w:before="0" w:after="0" w:line="240" w:lineRule="auto"/>
              <w:jc w:val="center"/>
            </w:pPr>
            <w:r>
              <w:rPr>
                <w:rFonts w:ascii="Arial" w:hAnsi="Arial" w:eastAsia="Arial"/>
                <w:b w:val="0"/>
                <w:i w:val="0"/>
                <w:sz w:val="13"/>
              </w:rPr>
              <w:t>1.262 (1.164–1.368)</w:t>
            </w:r>
          </w:p>
        </w:tc>
        <w:tc>
          <w:tcPr>
            <w:tcW w:w="936" w:type="dxa"/>
            <w:shd w:val="clear" w:color="auto" w:fill="F6F8FA"/>
            <w:tcMar>
              <w:top w:w="50" w:type="dxa"/>
              <w:left w:w="55" w:type="dxa"/>
              <w:bottom w:w="50" w:type="dxa"/>
              <w:right w:w="55" w:type="dxa"/>
            </w:tcMar>
            <w:vAlign w:val="top"/>
          </w:tcPr>
          <w:p w14:paraId="29B390A7">
            <w:pPr>
              <w:spacing w:before="0" w:after="0" w:line="240" w:lineRule="auto"/>
              <w:jc w:val="center"/>
            </w:pPr>
            <w:r>
              <w:rPr>
                <w:rFonts w:ascii="Arial" w:hAnsi="Arial" w:eastAsia="Arial"/>
                <w:b w:val="0"/>
                <w:i w:val="0"/>
                <w:sz w:val="13"/>
              </w:rPr>
              <w:t>&lt;0.001</w:t>
            </w:r>
          </w:p>
        </w:tc>
        <w:tc>
          <w:tcPr>
            <w:tcW w:w="1944" w:type="dxa"/>
            <w:shd w:val="clear" w:color="auto" w:fill="F6F8FA"/>
            <w:tcMar>
              <w:top w:w="50" w:type="dxa"/>
              <w:left w:w="55" w:type="dxa"/>
              <w:bottom w:w="50" w:type="dxa"/>
              <w:right w:w="55" w:type="dxa"/>
            </w:tcMar>
            <w:vAlign w:val="top"/>
          </w:tcPr>
          <w:p w14:paraId="450775A1">
            <w:pPr>
              <w:spacing w:before="0" w:after="0" w:line="240" w:lineRule="auto"/>
              <w:jc w:val="left"/>
            </w:pPr>
            <w:r>
              <w:rPr>
                <w:rFonts w:ascii="Arial" w:hAnsi="Arial" w:eastAsia="Arial"/>
                <w:b w:val="0"/>
                <w:i w:val="0"/>
                <w:sz w:val="13"/>
              </w:rPr>
              <w:t>N=6,805; person-waves=17,252; events=799</w:t>
            </w:r>
          </w:p>
        </w:tc>
        <w:tc>
          <w:tcPr>
            <w:tcW w:w="3671" w:type="dxa"/>
            <w:shd w:val="clear" w:color="auto" w:fill="F6F8FA"/>
            <w:tcMar>
              <w:top w:w="50" w:type="dxa"/>
              <w:left w:w="55" w:type="dxa"/>
              <w:bottom w:w="50" w:type="dxa"/>
              <w:right w:w="55" w:type="dxa"/>
            </w:tcMar>
            <w:vAlign w:val="top"/>
          </w:tcPr>
          <w:p w14:paraId="484EADCB">
            <w:pPr>
              <w:spacing w:before="0" w:after="0" w:line="240" w:lineRule="auto"/>
              <w:jc w:val="left"/>
            </w:pPr>
          </w:p>
        </w:tc>
      </w:tr>
      <w:tr w14:paraId="60A6643E">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2258423A">
            <w:pPr>
              <w:spacing w:before="0" w:after="0" w:line="240" w:lineRule="auto"/>
              <w:jc w:val="center"/>
            </w:pPr>
            <w:r>
              <w:rPr>
                <w:rFonts w:ascii="Arial" w:hAnsi="Arial" w:eastAsia="Arial"/>
                <w:b w:val="0"/>
                <w:i w:val="0"/>
                <w:sz w:val="13"/>
              </w:rPr>
              <w:t>HRS</w:t>
            </w:r>
          </w:p>
        </w:tc>
        <w:tc>
          <w:tcPr>
            <w:tcW w:w="2232" w:type="dxa"/>
            <w:shd w:val="clear" w:color="auto" w:fill="FFFFFF"/>
            <w:tcMar>
              <w:top w:w="50" w:type="dxa"/>
              <w:left w:w="55" w:type="dxa"/>
              <w:bottom w:w="50" w:type="dxa"/>
              <w:right w:w="55" w:type="dxa"/>
            </w:tcMar>
            <w:vAlign w:val="top"/>
          </w:tcPr>
          <w:p w14:paraId="59E28C2C">
            <w:pPr>
              <w:spacing w:before="0" w:after="0" w:line="240" w:lineRule="auto"/>
              <w:jc w:val="left"/>
            </w:pPr>
            <w:r>
              <w:rPr>
                <w:rFonts w:ascii="Arial" w:hAnsi="Arial" w:eastAsia="Arial"/>
                <w:b w:val="0"/>
                <w:i w:val="0"/>
                <w:sz w:val="13"/>
              </w:rPr>
              <w:t>Complete-history sensitivity</w:t>
            </w:r>
          </w:p>
        </w:tc>
        <w:tc>
          <w:tcPr>
            <w:tcW w:w="2376" w:type="dxa"/>
            <w:shd w:val="clear" w:color="auto" w:fill="FFFFFF"/>
            <w:tcMar>
              <w:top w:w="50" w:type="dxa"/>
              <w:left w:w="55" w:type="dxa"/>
              <w:bottom w:w="50" w:type="dxa"/>
              <w:right w:w="55" w:type="dxa"/>
            </w:tcMar>
            <w:vAlign w:val="top"/>
          </w:tcPr>
          <w:p w14:paraId="25457D5F">
            <w:pPr>
              <w:spacing w:before="0" w:after="0" w:line="240" w:lineRule="auto"/>
              <w:jc w:val="left"/>
            </w:pPr>
            <w:r>
              <w:rPr>
                <w:rFonts w:ascii="Arial" w:hAnsi="Arial" w:eastAsia="Arial"/>
                <w:b w:val="0"/>
                <w:i w:val="0"/>
                <w:sz w:val="13"/>
              </w:rPr>
              <w:t>Current deviation</w:t>
            </w:r>
          </w:p>
        </w:tc>
        <w:tc>
          <w:tcPr>
            <w:tcW w:w="1728" w:type="dxa"/>
            <w:shd w:val="clear" w:color="auto" w:fill="FFFFFF"/>
            <w:tcMar>
              <w:top w:w="50" w:type="dxa"/>
              <w:left w:w="55" w:type="dxa"/>
              <w:bottom w:w="50" w:type="dxa"/>
              <w:right w:w="55" w:type="dxa"/>
            </w:tcMar>
            <w:vAlign w:val="top"/>
          </w:tcPr>
          <w:p w14:paraId="6F0DBF88">
            <w:pPr>
              <w:spacing w:before="0" w:after="0" w:line="240" w:lineRule="auto"/>
              <w:jc w:val="center"/>
            </w:pPr>
            <w:r>
              <w:rPr>
                <w:rFonts w:ascii="Arial" w:hAnsi="Arial" w:eastAsia="Arial"/>
                <w:b w:val="0"/>
                <w:i w:val="0"/>
                <w:sz w:val="13"/>
              </w:rPr>
              <w:t>HR per cohort-specific SD</w:t>
            </w:r>
          </w:p>
        </w:tc>
        <w:tc>
          <w:tcPr>
            <w:tcW w:w="1728" w:type="dxa"/>
            <w:shd w:val="clear" w:color="auto" w:fill="FFFFFF"/>
            <w:tcMar>
              <w:top w:w="50" w:type="dxa"/>
              <w:left w:w="55" w:type="dxa"/>
              <w:bottom w:w="50" w:type="dxa"/>
              <w:right w:w="55" w:type="dxa"/>
            </w:tcMar>
            <w:vAlign w:val="top"/>
          </w:tcPr>
          <w:p w14:paraId="31196557">
            <w:pPr>
              <w:spacing w:before="0" w:after="0" w:line="240" w:lineRule="auto"/>
              <w:jc w:val="center"/>
            </w:pPr>
            <w:r>
              <w:rPr>
                <w:rFonts w:ascii="Arial" w:hAnsi="Arial" w:eastAsia="Arial"/>
                <w:b w:val="0"/>
                <w:i w:val="0"/>
                <w:sz w:val="13"/>
              </w:rPr>
              <w:t>1.120 (1.032–1.216)</w:t>
            </w:r>
          </w:p>
        </w:tc>
        <w:tc>
          <w:tcPr>
            <w:tcW w:w="936" w:type="dxa"/>
            <w:shd w:val="clear" w:color="auto" w:fill="FFFFFF"/>
            <w:tcMar>
              <w:top w:w="50" w:type="dxa"/>
              <w:left w:w="55" w:type="dxa"/>
              <w:bottom w:w="50" w:type="dxa"/>
              <w:right w:w="55" w:type="dxa"/>
            </w:tcMar>
            <w:vAlign w:val="top"/>
          </w:tcPr>
          <w:p w14:paraId="5008F9EE">
            <w:pPr>
              <w:spacing w:before="0" w:after="0" w:line="240" w:lineRule="auto"/>
              <w:jc w:val="center"/>
            </w:pPr>
            <w:r>
              <w:rPr>
                <w:rFonts w:ascii="Arial" w:hAnsi="Arial" w:eastAsia="Arial"/>
                <w:b w:val="0"/>
                <w:i w:val="0"/>
                <w:sz w:val="13"/>
              </w:rPr>
              <w:t>0.007</w:t>
            </w:r>
          </w:p>
        </w:tc>
        <w:tc>
          <w:tcPr>
            <w:tcW w:w="1944" w:type="dxa"/>
            <w:shd w:val="clear" w:color="auto" w:fill="FFFFFF"/>
            <w:tcMar>
              <w:top w:w="50" w:type="dxa"/>
              <w:left w:w="55" w:type="dxa"/>
              <w:bottom w:w="50" w:type="dxa"/>
              <w:right w:w="55" w:type="dxa"/>
            </w:tcMar>
            <w:vAlign w:val="top"/>
          </w:tcPr>
          <w:p w14:paraId="023BF6FA">
            <w:pPr>
              <w:spacing w:before="0" w:after="0" w:line="240" w:lineRule="auto"/>
              <w:jc w:val="left"/>
            </w:pPr>
            <w:r>
              <w:rPr>
                <w:rFonts w:ascii="Arial" w:hAnsi="Arial" w:eastAsia="Arial"/>
                <w:b w:val="0"/>
                <w:i w:val="0"/>
                <w:sz w:val="13"/>
              </w:rPr>
              <w:t>N=6,805; person-waves=17,252; events=799</w:t>
            </w:r>
          </w:p>
        </w:tc>
        <w:tc>
          <w:tcPr>
            <w:tcW w:w="3671" w:type="dxa"/>
            <w:shd w:val="clear" w:color="auto" w:fill="FFFFFF"/>
            <w:tcMar>
              <w:top w:w="50" w:type="dxa"/>
              <w:left w:w="55" w:type="dxa"/>
              <w:bottom w:w="50" w:type="dxa"/>
              <w:right w:w="55" w:type="dxa"/>
            </w:tcMar>
            <w:vAlign w:val="top"/>
          </w:tcPr>
          <w:p w14:paraId="3B2D7C21">
            <w:pPr>
              <w:spacing w:before="0" w:after="0" w:line="240" w:lineRule="auto"/>
              <w:jc w:val="left"/>
            </w:pPr>
          </w:p>
        </w:tc>
      </w:tr>
      <w:tr w14:paraId="0FADC260">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69928DB9">
            <w:pPr>
              <w:spacing w:before="0" w:after="0" w:line="240" w:lineRule="auto"/>
              <w:jc w:val="center"/>
            </w:pPr>
            <w:r>
              <w:rPr>
                <w:rFonts w:ascii="Arial" w:hAnsi="Arial" w:eastAsia="Arial"/>
                <w:b w:val="0"/>
                <w:i w:val="0"/>
                <w:sz w:val="13"/>
              </w:rPr>
              <w:t>HRS</w:t>
            </w:r>
          </w:p>
        </w:tc>
        <w:tc>
          <w:tcPr>
            <w:tcW w:w="2232" w:type="dxa"/>
            <w:shd w:val="clear" w:color="auto" w:fill="F6F8FA"/>
            <w:tcMar>
              <w:top w:w="50" w:type="dxa"/>
              <w:left w:w="55" w:type="dxa"/>
              <w:bottom w:w="50" w:type="dxa"/>
              <w:right w:w="55" w:type="dxa"/>
            </w:tcMar>
            <w:vAlign w:val="top"/>
          </w:tcPr>
          <w:p w14:paraId="0232BC7E">
            <w:pPr>
              <w:spacing w:before="0" w:after="0" w:line="240" w:lineRule="auto"/>
              <w:jc w:val="left"/>
            </w:pPr>
            <w:r>
              <w:rPr>
                <w:rFonts w:ascii="Arial" w:hAnsi="Arial" w:eastAsia="Arial"/>
                <w:b w:val="0"/>
                <w:i w:val="0"/>
                <w:sz w:val="13"/>
              </w:rPr>
              <w:t>Exclude 2016–2018 interval</w:t>
            </w:r>
          </w:p>
        </w:tc>
        <w:tc>
          <w:tcPr>
            <w:tcW w:w="2376" w:type="dxa"/>
            <w:shd w:val="clear" w:color="auto" w:fill="F6F8FA"/>
            <w:tcMar>
              <w:top w:w="50" w:type="dxa"/>
              <w:left w:w="55" w:type="dxa"/>
              <w:bottom w:w="50" w:type="dxa"/>
              <w:right w:w="55" w:type="dxa"/>
            </w:tcMar>
            <w:vAlign w:val="top"/>
          </w:tcPr>
          <w:p w14:paraId="46041547">
            <w:pPr>
              <w:spacing w:before="0" w:after="0" w:line="240" w:lineRule="auto"/>
              <w:jc w:val="left"/>
            </w:pPr>
            <w:r>
              <w:rPr>
                <w:rFonts w:ascii="Arial" w:hAnsi="Arial" w:eastAsia="Arial"/>
                <w:b w:val="0"/>
                <w:i w:val="0"/>
                <w:sz w:val="13"/>
              </w:rPr>
              <w:t>Prior burden</w:t>
            </w:r>
          </w:p>
        </w:tc>
        <w:tc>
          <w:tcPr>
            <w:tcW w:w="1728" w:type="dxa"/>
            <w:shd w:val="clear" w:color="auto" w:fill="F6F8FA"/>
            <w:tcMar>
              <w:top w:w="50" w:type="dxa"/>
              <w:left w:w="55" w:type="dxa"/>
              <w:bottom w:w="50" w:type="dxa"/>
              <w:right w:w="55" w:type="dxa"/>
            </w:tcMar>
            <w:vAlign w:val="top"/>
          </w:tcPr>
          <w:p w14:paraId="7C08650D">
            <w:pPr>
              <w:spacing w:before="0" w:after="0" w:line="240" w:lineRule="auto"/>
              <w:jc w:val="center"/>
            </w:pPr>
            <w:r>
              <w:rPr>
                <w:rFonts w:ascii="Arial" w:hAnsi="Arial" w:eastAsia="Arial"/>
                <w:b w:val="0"/>
                <w:i w:val="0"/>
                <w:sz w:val="13"/>
              </w:rPr>
              <w:t>HR per cohort-specific SD</w:t>
            </w:r>
          </w:p>
        </w:tc>
        <w:tc>
          <w:tcPr>
            <w:tcW w:w="1728" w:type="dxa"/>
            <w:shd w:val="clear" w:color="auto" w:fill="F6F8FA"/>
            <w:tcMar>
              <w:top w:w="50" w:type="dxa"/>
              <w:left w:w="55" w:type="dxa"/>
              <w:bottom w:w="50" w:type="dxa"/>
              <w:right w:w="55" w:type="dxa"/>
            </w:tcMar>
            <w:vAlign w:val="top"/>
          </w:tcPr>
          <w:p w14:paraId="47A2AD2D">
            <w:pPr>
              <w:spacing w:before="0" w:after="0" w:line="240" w:lineRule="auto"/>
              <w:jc w:val="center"/>
            </w:pPr>
            <w:r>
              <w:rPr>
                <w:rFonts w:ascii="Arial" w:hAnsi="Arial" w:eastAsia="Arial"/>
                <w:b w:val="0"/>
                <w:i w:val="0"/>
                <w:sz w:val="13"/>
              </w:rPr>
              <w:t>1.297 (1.173–1.434)</w:t>
            </w:r>
          </w:p>
        </w:tc>
        <w:tc>
          <w:tcPr>
            <w:tcW w:w="936" w:type="dxa"/>
            <w:shd w:val="clear" w:color="auto" w:fill="F6F8FA"/>
            <w:tcMar>
              <w:top w:w="50" w:type="dxa"/>
              <w:left w:w="55" w:type="dxa"/>
              <w:bottom w:w="50" w:type="dxa"/>
              <w:right w:w="55" w:type="dxa"/>
            </w:tcMar>
            <w:vAlign w:val="top"/>
          </w:tcPr>
          <w:p w14:paraId="7663AE04">
            <w:pPr>
              <w:spacing w:before="0" w:after="0" w:line="240" w:lineRule="auto"/>
              <w:jc w:val="center"/>
            </w:pPr>
            <w:r>
              <w:rPr>
                <w:rFonts w:ascii="Arial" w:hAnsi="Arial" w:eastAsia="Arial"/>
                <w:b w:val="0"/>
                <w:i w:val="0"/>
                <w:sz w:val="13"/>
              </w:rPr>
              <w:t>&lt;0.001</w:t>
            </w:r>
          </w:p>
        </w:tc>
        <w:tc>
          <w:tcPr>
            <w:tcW w:w="1944" w:type="dxa"/>
            <w:shd w:val="clear" w:color="auto" w:fill="F6F8FA"/>
            <w:tcMar>
              <w:top w:w="50" w:type="dxa"/>
              <w:left w:w="55" w:type="dxa"/>
              <w:bottom w:w="50" w:type="dxa"/>
              <w:right w:w="55" w:type="dxa"/>
            </w:tcMar>
            <w:vAlign w:val="top"/>
          </w:tcPr>
          <w:p w14:paraId="0EA43319">
            <w:pPr>
              <w:spacing w:before="0" w:after="0" w:line="240" w:lineRule="auto"/>
              <w:jc w:val="left"/>
            </w:pPr>
            <w:r>
              <w:rPr>
                <w:rFonts w:ascii="Arial" w:hAnsi="Arial" w:eastAsia="Arial"/>
                <w:b w:val="0"/>
                <w:i w:val="0"/>
                <w:sz w:val="13"/>
              </w:rPr>
              <w:t>N=6,089; person-waves=10,806; events=541</w:t>
            </w:r>
          </w:p>
        </w:tc>
        <w:tc>
          <w:tcPr>
            <w:tcW w:w="3671" w:type="dxa"/>
            <w:shd w:val="clear" w:color="auto" w:fill="F6F8FA"/>
            <w:tcMar>
              <w:top w:w="50" w:type="dxa"/>
              <w:left w:w="55" w:type="dxa"/>
              <w:bottom w:w="50" w:type="dxa"/>
              <w:right w:w="55" w:type="dxa"/>
            </w:tcMar>
            <w:vAlign w:val="top"/>
          </w:tcPr>
          <w:p w14:paraId="4478905A">
            <w:pPr>
              <w:spacing w:before="0" w:after="0" w:line="240" w:lineRule="auto"/>
              <w:jc w:val="left"/>
            </w:pPr>
          </w:p>
        </w:tc>
      </w:tr>
      <w:tr w14:paraId="4E1D828D">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4FE5519D">
            <w:pPr>
              <w:spacing w:before="0" w:after="0" w:line="240" w:lineRule="auto"/>
              <w:jc w:val="center"/>
            </w:pPr>
            <w:r>
              <w:rPr>
                <w:rFonts w:ascii="Arial" w:hAnsi="Arial" w:eastAsia="Arial"/>
                <w:b w:val="0"/>
                <w:i w:val="0"/>
                <w:sz w:val="13"/>
              </w:rPr>
              <w:t>HRS</w:t>
            </w:r>
          </w:p>
        </w:tc>
        <w:tc>
          <w:tcPr>
            <w:tcW w:w="2232" w:type="dxa"/>
            <w:shd w:val="clear" w:color="auto" w:fill="FFFFFF"/>
            <w:tcMar>
              <w:top w:w="50" w:type="dxa"/>
              <w:left w:w="55" w:type="dxa"/>
              <w:bottom w:w="50" w:type="dxa"/>
              <w:right w:w="55" w:type="dxa"/>
            </w:tcMar>
            <w:vAlign w:val="top"/>
          </w:tcPr>
          <w:p w14:paraId="697F3E63">
            <w:pPr>
              <w:spacing w:before="0" w:after="0" w:line="240" w:lineRule="auto"/>
              <w:jc w:val="left"/>
            </w:pPr>
            <w:r>
              <w:rPr>
                <w:rFonts w:ascii="Arial" w:hAnsi="Arial" w:eastAsia="Arial"/>
                <w:b w:val="0"/>
                <w:i w:val="0"/>
                <w:sz w:val="13"/>
              </w:rPr>
              <w:t>Exclude 2016–2018 interval</w:t>
            </w:r>
          </w:p>
        </w:tc>
        <w:tc>
          <w:tcPr>
            <w:tcW w:w="2376" w:type="dxa"/>
            <w:shd w:val="clear" w:color="auto" w:fill="FFFFFF"/>
            <w:tcMar>
              <w:top w:w="50" w:type="dxa"/>
              <w:left w:w="55" w:type="dxa"/>
              <w:bottom w:w="50" w:type="dxa"/>
              <w:right w:w="55" w:type="dxa"/>
            </w:tcMar>
            <w:vAlign w:val="top"/>
          </w:tcPr>
          <w:p w14:paraId="2E9127F9">
            <w:pPr>
              <w:spacing w:before="0" w:after="0" w:line="240" w:lineRule="auto"/>
              <w:jc w:val="left"/>
            </w:pPr>
            <w:r>
              <w:rPr>
                <w:rFonts w:ascii="Arial" w:hAnsi="Arial" w:eastAsia="Arial"/>
                <w:b w:val="0"/>
                <w:i w:val="0"/>
                <w:sz w:val="13"/>
              </w:rPr>
              <w:t>Current deviation</w:t>
            </w:r>
          </w:p>
        </w:tc>
        <w:tc>
          <w:tcPr>
            <w:tcW w:w="1728" w:type="dxa"/>
            <w:shd w:val="clear" w:color="auto" w:fill="FFFFFF"/>
            <w:tcMar>
              <w:top w:w="50" w:type="dxa"/>
              <w:left w:w="55" w:type="dxa"/>
              <w:bottom w:w="50" w:type="dxa"/>
              <w:right w:w="55" w:type="dxa"/>
            </w:tcMar>
            <w:vAlign w:val="top"/>
          </w:tcPr>
          <w:p w14:paraId="47300015">
            <w:pPr>
              <w:spacing w:before="0" w:after="0" w:line="240" w:lineRule="auto"/>
              <w:jc w:val="center"/>
            </w:pPr>
            <w:r>
              <w:rPr>
                <w:rFonts w:ascii="Arial" w:hAnsi="Arial" w:eastAsia="Arial"/>
                <w:b w:val="0"/>
                <w:i w:val="0"/>
                <w:sz w:val="13"/>
              </w:rPr>
              <w:t>HR per cohort-specific SD</w:t>
            </w:r>
          </w:p>
        </w:tc>
        <w:tc>
          <w:tcPr>
            <w:tcW w:w="1728" w:type="dxa"/>
            <w:shd w:val="clear" w:color="auto" w:fill="FFFFFF"/>
            <w:tcMar>
              <w:top w:w="50" w:type="dxa"/>
              <w:left w:w="55" w:type="dxa"/>
              <w:bottom w:w="50" w:type="dxa"/>
              <w:right w:w="55" w:type="dxa"/>
            </w:tcMar>
            <w:vAlign w:val="top"/>
          </w:tcPr>
          <w:p w14:paraId="2ACFDF5C">
            <w:pPr>
              <w:spacing w:before="0" w:after="0" w:line="240" w:lineRule="auto"/>
              <w:jc w:val="center"/>
            </w:pPr>
            <w:r>
              <w:rPr>
                <w:rFonts w:ascii="Arial" w:hAnsi="Arial" w:eastAsia="Arial"/>
                <w:b w:val="0"/>
                <w:i w:val="0"/>
                <w:sz w:val="13"/>
              </w:rPr>
              <w:t>1.062 (0.960–1.175)</w:t>
            </w:r>
          </w:p>
        </w:tc>
        <w:tc>
          <w:tcPr>
            <w:tcW w:w="936" w:type="dxa"/>
            <w:shd w:val="clear" w:color="auto" w:fill="FFFFFF"/>
            <w:tcMar>
              <w:top w:w="50" w:type="dxa"/>
              <w:left w:w="55" w:type="dxa"/>
              <w:bottom w:w="50" w:type="dxa"/>
              <w:right w:w="55" w:type="dxa"/>
            </w:tcMar>
            <w:vAlign w:val="top"/>
          </w:tcPr>
          <w:p w14:paraId="542B1E39">
            <w:pPr>
              <w:spacing w:before="0" w:after="0" w:line="240" w:lineRule="auto"/>
              <w:jc w:val="center"/>
            </w:pPr>
            <w:r>
              <w:rPr>
                <w:rFonts w:ascii="Arial" w:hAnsi="Arial" w:eastAsia="Arial"/>
                <w:b w:val="0"/>
                <w:i w:val="0"/>
                <w:sz w:val="13"/>
              </w:rPr>
              <w:t>0.246</w:t>
            </w:r>
          </w:p>
        </w:tc>
        <w:tc>
          <w:tcPr>
            <w:tcW w:w="1944" w:type="dxa"/>
            <w:shd w:val="clear" w:color="auto" w:fill="FFFFFF"/>
            <w:tcMar>
              <w:top w:w="50" w:type="dxa"/>
              <w:left w:w="55" w:type="dxa"/>
              <w:bottom w:w="50" w:type="dxa"/>
              <w:right w:w="55" w:type="dxa"/>
            </w:tcMar>
            <w:vAlign w:val="top"/>
          </w:tcPr>
          <w:p w14:paraId="0D02E8AE">
            <w:pPr>
              <w:spacing w:before="0" w:after="0" w:line="240" w:lineRule="auto"/>
              <w:jc w:val="left"/>
            </w:pPr>
            <w:r>
              <w:rPr>
                <w:rFonts w:ascii="Arial" w:hAnsi="Arial" w:eastAsia="Arial"/>
                <w:b w:val="0"/>
                <w:i w:val="0"/>
                <w:sz w:val="13"/>
              </w:rPr>
              <w:t>N=6,089; person-waves=10,806; events=541</w:t>
            </w:r>
          </w:p>
        </w:tc>
        <w:tc>
          <w:tcPr>
            <w:tcW w:w="3671" w:type="dxa"/>
            <w:shd w:val="clear" w:color="auto" w:fill="FFFFFF"/>
            <w:tcMar>
              <w:top w:w="50" w:type="dxa"/>
              <w:left w:w="55" w:type="dxa"/>
              <w:bottom w:w="50" w:type="dxa"/>
              <w:right w:w="55" w:type="dxa"/>
            </w:tcMar>
            <w:vAlign w:val="top"/>
          </w:tcPr>
          <w:p w14:paraId="5A2FCEF1">
            <w:pPr>
              <w:spacing w:before="0" w:after="0" w:line="240" w:lineRule="auto"/>
              <w:jc w:val="left"/>
            </w:pPr>
          </w:p>
        </w:tc>
      </w:tr>
      <w:tr w14:paraId="34B62192">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44F5D749">
            <w:pPr>
              <w:spacing w:before="0" w:after="0" w:line="240" w:lineRule="auto"/>
              <w:jc w:val="center"/>
            </w:pPr>
            <w:r>
              <w:rPr>
                <w:rFonts w:ascii="Arial" w:hAnsi="Arial" w:eastAsia="Arial"/>
                <w:b w:val="0"/>
                <w:i w:val="0"/>
                <w:sz w:val="13"/>
              </w:rPr>
              <w:t>HRS</w:t>
            </w:r>
          </w:p>
        </w:tc>
        <w:tc>
          <w:tcPr>
            <w:tcW w:w="2232" w:type="dxa"/>
            <w:shd w:val="clear" w:color="auto" w:fill="F6F8FA"/>
            <w:tcMar>
              <w:top w:w="50" w:type="dxa"/>
              <w:left w:w="55" w:type="dxa"/>
              <w:bottom w:w="50" w:type="dxa"/>
              <w:right w:w="55" w:type="dxa"/>
            </w:tcMar>
            <w:vAlign w:val="top"/>
          </w:tcPr>
          <w:p w14:paraId="531A5832">
            <w:pPr>
              <w:spacing w:before="0" w:after="0" w:line="240" w:lineRule="auto"/>
              <w:jc w:val="left"/>
            </w:pPr>
            <w:r>
              <w:rPr>
                <w:rFonts w:ascii="Arial" w:hAnsi="Arial" w:eastAsia="Arial"/>
                <w:b w:val="0"/>
                <w:i w:val="0"/>
                <w:sz w:val="13"/>
              </w:rPr>
              <w:t>Raw CES-D one-point scale</w:t>
            </w:r>
          </w:p>
        </w:tc>
        <w:tc>
          <w:tcPr>
            <w:tcW w:w="2376" w:type="dxa"/>
            <w:shd w:val="clear" w:color="auto" w:fill="F6F8FA"/>
            <w:tcMar>
              <w:top w:w="50" w:type="dxa"/>
              <w:left w:w="55" w:type="dxa"/>
              <w:bottom w:w="50" w:type="dxa"/>
              <w:right w:w="55" w:type="dxa"/>
            </w:tcMar>
            <w:vAlign w:val="top"/>
          </w:tcPr>
          <w:p w14:paraId="450D2BB7">
            <w:pPr>
              <w:spacing w:before="0" w:after="0" w:line="240" w:lineRule="auto"/>
              <w:jc w:val="left"/>
            </w:pPr>
            <w:r>
              <w:rPr>
                <w:rFonts w:ascii="Arial" w:hAnsi="Arial" w:eastAsia="Arial"/>
                <w:b w:val="0"/>
                <w:i w:val="0"/>
                <w:sz w:val="13"/>
              </w:rPr>
              <w:t>Prior burden</w:t>
            </w:r>
          </w:p>
        </w:tc>
        <w:tc>
          <w:tcPr>
            <w:tcW w:w="1728" w:type="dxa"/>
            <w:shd w:val="clear" w:color="auto" w:fill="F6F8FA"/>
            <w:tcMar>
              <w:top w:w="50" w:type="dxa"/>
              <w:left w:w="55" w:type="dxa"/>
              <w:bottom w:w="50" w:type="dxa"/>
              <w:right w:w="55" w:type="dxa"/>
            </w:tcMar>
            <w:vAlign w:val="top"/>
          </w:tcPr>
          <w:p w14:paraId="547031BA">
            <w:pPr>
              <w:spacing w:before="0" w:after="0" w:line="240" w:lineRule="auto"/>
              <w:jc w:val="center"/>
            </w:pPr>
            <w:r>
              <w:rPr>
                <w:rFonts w:ascii="Arial" w:hAnsi="Arial" w:eastAsia="Arial"/>
                <w:b w:val="0"/>
                <w:i w:val="0"/>
                <w:sz w:val="13"/>
              </w:rPr>
              <w:t>HR per 1 CES-D-8 point</w:t>
            </w:r>
          </w:p>
        </w:tc>
        <w:tc>
          <w:tcPr>
            <w:tcW w:w="1728" w:type="dxa"/>
            <w:shd w:val="clear" w:color="auto" w:fill="F6F8FA"/>
            <w:tcMar>
              <w:top w:w="50" w:type="dxa"/>
              <w:left w:w="55" w:type="dxa"/>
              <w:bottom w:w="50" w:type="dxa"/>
              <w:right w:w="55" w:type="dxa"/>
            </w:tcMar>
            <w:vAlign w:val="top"/>
          </w:tcPr>
          <w:p w14:paraId="07AFE2E0">
            <w:pPr>
              <w:spacing w:before="0" w:after="0" w:line="240" w:lineRule="auto"/>
              <w:jc w:val="center"/>
            </w:pPr>
            <w:r>
              <w:rPr>
                <w:rFonts w:ascii="Arial" w:hAnsi="Arial" w:eastAsia="Arial"/>
                <w:b w:val="0"/>
                <w:i w:val="0"/>
                <w:sz w:val="13"/>
              </w:rPr>
              <w:t>1.132 (1.085–1.182)</w:t>
            </w:r>
          </w:p>
        </w:tc>
        <w:tc>
          <w:tcPr>
            <w:tcW w:w="936" w:type="dxa"/>
            <w:shd w:val="clear" w:color="auto" w:fill="F6F8FA"/>
            <w:tcMar>
              <w:top w:w="50" w:type="dxa"/>
              <w:left w:w="55" w:type="dxa"/>
              <w:bottom w:w="50" w:type="dxa"/>
              <w:right w:w="55" w:type="dxa"/>
            </w:tcMar>
            <w:vAlign w:val="top"/>
          </w:tcPr>
          <w:p w14:paraId="3A2E6882">
            <w:pPr>
              <w:spacing w:before="0" w:after="0" w:line="240" w:lineRule="auto"/>
              <w:jc w:val="center"/>
            </w:pPr>
            <w:r>
              <w:rPr>
                <w:rFonts w:ascii="Arial" w:hAnsi="Arial" w:eastAsia="Arial"/>
                <w:b w:val="0"/>
                <w:i w:val="0"/>
                <w:sz w:val="13"/>
              </w:rPr>
              <w:t>&lt;0.001</w:t>
            </w:r>
          </w:p>
        </w:tc>
        <w:tc>
          <w:tcPr>
            <w:tcW w:w="1944" w:type="dxa"/>
            <w:shd w:val="clear" w:color="auto" w:fill="F6F8FA"/>
            <w:tcMar>
              <w:top w:w="50" w:type="dxa"/>
              <w:left w:w="55" w:type="dxa"/>
              <w:bottom w:w="50" w:type="dxa"/>
              <w:right w:w="55" w:type="dxa"/>
            </w:tcMar>
            <w:vAlign w:val="top"/>
          </w:tcPr>
          <w:p w14:paraId="59A64EA5">
            <w:pPr>
              <w:spacing w:before="0" w:after="0" w:line="240" w:lineRule="auto"/>
              <w:jc w:val="left"/>
            </w:pPr>
            <w:r>
              <w:rPr>
                <w:rFonts w:ascii="Arial" w:hAnsi="Arial" w:eastAsia="Arial"/>
                <w:b w:val="0"/>
                <w:i w:val="0"/>
                <w:sz w:val="13"/>
              </w:rPr>
              <w:t>N=7,094; person-waves=17,611; events=821</w:t>
            </w:r>
          </w:p>
        </w:tc>
        <w:tc>
          <w:tcPr>
            <w:tcW w:w="3671" w:type="dxa"/>
            <w:shd w:val="clear" w:color="auto" w:fill="F6F8FA"/>
            <w:tcMar>
              <w:top w:w="50" w:type="dxa"/>
              <w:left w:w="55" w:type="dxa"/>
              <w:bottom w:w="50" w:type="dxa"/>
              <w:right w:w="55" w:type="dxa"/>
            </w:tcMar>
            <w:vAlign w:val="top"/>
          </w:tcPr>
          <w:p w14:paraId="6FA7B542">
            <w:pPr>
              <w:spacing w:before="0" w:after="0" w:line="240" w:lineRule="auto"/>
              <w:jc w:val="left"/>
            </w:pPr>
          </w:p>
        </w:tc>
      </w:tr>
      <w:tr w14:paraId="497A4D9E">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5345626C">
            <w:pPr>
              <w:spacing w:before="0" w:after="0" w:line="240" w:lineRule="auto"/>
              <w:jc w:val="center"/>
            </w:pPr>
            <w:r>
              <w:rPr>
                <w:rFonts w:ascii="Arial" w:hAnsi="Arial" w:eastAsia="Arial"/>
                <w:b w:val="0"/>
                <w:i w:val="0"/>
                <w:sz w:val="13"/>
              </w:rPr>
              <w:t>HRS</w:t>
            </w:r>
          </w:p>
        </w:tc>
        <w:tc>
          <w:tcPr>
            <w:tcW w:w="2232" w:type="dxa"/>
            <w:shd w:val="clear" w:color="auto" w:fill="FFFFFF"/>
            <w:tcMar>
              <w:top w:w="50" w:type="dxa"/>
              <w:left w:w="55" w:type="dxa"/>
              <w:bottom w:w="50" w:type="dxa"/>
              <w:right w:w="55" w:type="dxa"/>
            </w:tcMar>
            <w:vAlign w:val="top"/>
          </w:tcPr>
          <w:p w14:paraId="6D3074BB">
            <w:pPr>
              <w:spacing w:before="0" w:after="0" w:line="240" w:lineRule="auto"/>
              <w:jc w:val="left"/>
            </w:pPr>
            <w:r>
              <w:rPr>
                <w:rFonts w:ascii="Arial" w:hAnsi="Arial" w:eastAsia="Arial"/>
                <w:b w:val="0"/>
                <w:i w:val="0"/>
                <w:sz w:val="13"/>
              </w:rPr>
              <w:t>Raw CES-D one-point scale</w:t>
            </w:r>
          </w:p>
        </w:tc>
        <w:tc>
          <w:tcPr>
            <w:tcW w:w="2376" w:type="dxa"/>
            <w:shd w:val="clear" w:color="auto" w:fill="FFFFFF"/>
            <w:tcMar>
              <w:top w:w="50" w:type="dxa"/>
              <w:left w:w="55" w:type="dxa"/>
              <w:bottom w:w="50" w:type="dxa"/>
              <w:right w:w="55" w:type="dxa"/>
            </w:tcMar>
            <w:vAlign w:val="top"/>
          </w:tcPr>
          <w:p w14:paraId="046D8C7D">
            <w:pPr>
              <w:spacing w:before="0" w:after="0" w:line="240" w:lineRule="auto"/>
              <w:jc w:val="left"/>
            </w:pPr>
            <w:r>
              <w:rPr>
                <w:rFonts w:ascii="Arial" w:hAnsi="Arial" w:eastAsia="Arial"/>
                <w:b w:val="0"/>
                <w:i w:val="0"/>
                <w:sz w:val="13"/>
              </w:rPr>
              <w:t>Current deviation</w:t>
            </w:r>
          </w:p>
        </w:tc>
        <w:tc>
          <w:tcPr>
            <w:tcW w:w="1728" w:type="dxa"/>
            <w:shd w:val="clear" w:color="auto" w:fill="FFFFFF"/>
            <w:tcMar>
              <w:top w:w="50" w:type="dxa"/>
              <w:left w:w="55" w:type="dxa"/>
              <w:bottom w:w="50" w:type="dxa"/>
              <w:right w:w="55" w:type="dxa"/>
            </w:tcMar>
            <w:vAlign w:val="top"/>
          </w:tcPr>
          <w:p w14:paraId="0A549347">
            <w:pPr>
              <w:spacing w:before="0" w:after="0" w:line="240" w:lineRule="auto"/>
              <w:jc w:val="center"/>
            </w:pPr>
            <w:r>
              <w:rPr>
                <w:rFonts w:ascii="Arial" w:hAnsi="Arial" w:eastAsia="Arial"/>
                <w:b w:val="0"/>
                <w:i w:val="0"/>
                <w:sz w:val="13"/>
              </w:rPr>
              <w:t>HR per 1 CES-D-8 point</w:t>
            </w:r>
          </w:p>
        </w:tc>
        <w:tc>
          <w:tcPr>
            <w:tcW w:w="1728" w:type="dxa"/>
            <w:shd w:val="clear" w:color="auto" w:fill="FFFFFF"/>
            <w:tcMar>
              <w:top w:w="50" w:type="dxa"/>
              <w:left w:w="55" w:type="dxa"/>
              <w:bottom w:w="50" w:type="dxa"/>
              <w:right w:w="55" w:type="dxa"/>
            </w:tcMar>
            <w:vAlign w:val="top"/>
          </w:tcPr>
          <w:p w14:paraId="6DA5CD85">
            <w:pPr>
              <w:spacing w:before="0" w:after="0" w:line="240" w:lineRule="auto"/>
              <w:jc w:val="center"/>
            </w:pPr>
            <w:r>
              <w:rPr>
                <w:rFonts w:ascii="Arial" w:hAnsi="Arial" w:eastAsia="Arial"/>
                <w:b w:val="0"/>
                <w:i w:val="0"/>
                <w:sz w:val="13"/>
              </w:rPr>
              <w:t>1.060 (1.014–1.107)</w:t>
            </w:r>
          </w:p>
        </w:tc>
        <w:tc>
          <w:tcPr>
            <w:tcW w:w="936" w:type="dxa"/>
            <w:shd w:val="clear" w:color="auto" w:fill="FFFFFF"/>
            <w:tcMar>
              <w:top w:w="50" w:type="dxa"/>
              <w:left w:w="55" w:type="dxa"/>
              <w:bottom w:w="50" w:type="dxa"/>
              <w:right w:w="55" w:type="dxa"/>
            </w:tcMar>
            <w:vAlign w:val="top"/>
          </w:tcPr>
          <w:p w14:paraId="60DC9101">
            <w:pPr>
              <w:spacing w:before="0" w:after="0" w:line="240" w:lineRule="auto"/>
              <w:jc w:val="center"/>
            </w:pPr>
            <w:r>
              <w:rPr>
                <w:rFonts w:ascii="Arial" w:hAnsi="Arial" w:eastAsia="Arial"/>
                <w:b w:val="0"/>
                <w:i w:val="0"/>
                <w:sz w:val="13"/>
              </w:rPr>
              <w:t>0.009</w:t>
            </w:r>
          </w:p>
        </w:tc>
        <w:tc>
          <w:tcPr>
            <w:tcW w:w="1944" w:type="dxa"/>
            <w:shd w:val="clear" w:color="auto" w:fill="FFFFFF"/>
            <w:tcMar>
              <w:top w:w="50" w:type="dxa"/>
              <w:left w:w="55" w:type="dxa"/>
              <w:bottom w:w="50" w:type="dxa"/>
              <w:right w:w="55" w:type="dxa"/>
            </w:tcMar>
            <w:vAlign w:val="top"/>
          </w:tcPr>
          <w:p w14:paraId="6EB62699">
            <w:pPr>
              <w:spacing w:before="0" w:after="0" w:line="240" w:lineRule="auto"/>
              <w:jc w:val="left"/>
            </w:pPr>
            <w:r>
              <w:rPr>
                <w:rFonts w:ascii="Arial" w:hAnsi="Arial" w:eastAsia="Arial"/>
                <w:b w:val="0"/>
                <w:i w:val="0"/>
                <w:sz w:val="13"/>
              </w:rPr>
              <w:t>N=7,094; person-waves=17,611; events=821</w:t>
            </w:r>
          </w:p>
        </w:tc>
        <w:tc>
          <w:tcPr>
            <w:tcW w:w="3671" w:type="dxa"/>
            <w:shd w:val="clear" w:color="auto" w:fill="FFFFFF"/>
            <w:tcMar>
              <w:top w:w="50" w:type="dxa"/>
              <w:left w:w="55" w:type="dxa"/>
              <w:bottom w:w="50" w:type="dxa"/>
              <w:right w:w="55" w:type="dxa"/>
            </w:tcMar>
            <w:vAlign w:val="top"/>
          </w:tcPr>
          <w:p w14:paraId="4E381F4E">
            <w:pPr>
              <w:spacing w:before="0" w:after="0" w:line="240" w:lineRule="auto"/>
              <w:jc w:val="left"/>
            </w:pPr>
          </w:p>
        </w:tc>
      </w:tr>
    </w:tbl>
    <w:p w14:paraId="2F7A1D79">
      <w:pPr>
        <w:spacing w:before="0" w:after="40"/>
      </w:pPr>
    </w:p>
    <w:p w14:paraId="5B481A98">
      <w:pPr>
        <w:pStyle w:val="165"/>
        <w:keepNext/>
      </w:pPr>
      <w:r>
        <w:rPr>
          <w:rFonts w:ascii="Arial" w:hAnsi="Arial" w:eastAsia="Arial"/>
          <w:b/>
          <w:i w:val="0"/>
          <w:color w:val="355C7D"/>
          <w:sz w:val="17"/>
        </w:rPr>
        <w:t>Panel C. SHARE robustness</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1960"/>
        <w:gridCol w:w="1960"/>
        <w:gridCol w:w="1960"/>
        <w:gridCol w:w="1960"/>
        <w:gridCol w:w="1960"/>
        <w:gridCol w:w="1960"/>
        <w:gridCol w:w="1960"/>
        <w:gridCol w:w="1960"/>
      </w:tblGrid>
      <w:tr w14:paraId="3E850E3A">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936" w:type="dxa"/>
            <w:shd w:val="clear" w:color="auto" w:fill="355C7D"/>
            <w:tcMar>
              <w:top w:w="60" w:type="dxa"/>
              <w:left w:w="55" w:type="dxa"/>
              <w:bottom w:w="60" w:type="dxa"/>
              <w:right w:w="55" w:type="dxa"/>
            </w:tcMar>
            <w:vAlign w:val="center"/>
          </w:tcPr>
          <w:p w14:paraId="7DF22F4D">
            <w:pPr>
              <w:spacing w:before="0" w:after="0" w:line="240" w:lineRule="auto"/>
              <w:jc w:val="center"/>
            </w:pPr>
            <w:r>
              <w:rPr>
                <w:rFonts w:ascii="Arial" w:hAnsi="Arial" w:eastAsia="Arial"/>
                <w:b/>
                <w:i w:val="0"/>
                <w:color w:val="FFFFFF"/>
                <w:sz w:val="14"/>
              </w:rPr>
              <w:t>Cohort</w:t>
            </w:r>
          </w:p>
        </w:tc>
        <w:tc>
          <w:tcPr>
            <w:tcW w:w="2232" w:type="dxa"/>
            <w:shd w:val="clear" w:color="auto" w:fill="355C7D"/>
            <w:tcMar>
              <w:top w:w="60" w:type="dxa"/>
              <w:left w:w="55" w:type="dxa"/>
              <w:bottom w:w="60" w:type="dxa"/>
              <w:right w:w="55" w:type="dxa"/>
            </w:tcMar>
            <w:vAlign w:val="center"/>
          </w:tcPr>
          <w:p w14:paraId="71E81DD1">
            <w:pPr>
              <w:spacing w:before="0" w:after="0" w:line="240" w:lineRule="auto"/>
              <w:jc w:val="center"/>
            </w:pPr>
            <w:r>
              <w:rPr>
                <w:rFonts w:ascii="Arial" w:hAnsi="Arial" w:eastAsia="Arial"/>
                <w:b/>
                <w:i w:val="0"/>
                <w:color w:val="FFFFFF"/>
                <w:sz w:val="14"/>
              </w:rPr>
              <w:t>Analysis</w:t>
            </w:r>
          </w:p>
        </w:tc>
        <w:tc>
          <w:tcPr>
            <w:tcW w:w="2376" w:type="dxa"/>
            <w:shd w:val="clear" w:color="auto" w:fill="355C7D"/>
            <w:tcMar>
              <w:top w:w="60" w:type="dxa"/>
              <w:left w:w="55" w:type="dxa"/>
              <w:bottom w:w="60" w:type="dxa"/>
              <w:right w:w="55" w:type="dxa"/>
            </w:tcMar>
            <w:vAlign w:val="center"/>
          </w:tcPr>
          <w:p w14:paraId="19EDF2EF">
            <w:pPr>
              <w:spacing w:before="0" w:after="0" w:line="240" w:lineRule="auto"/>
              <w:jc w:val="center"/>
            </w:pPr>
            <w:r>
              <w:rPr>
                <w:rFonts w:ascii="Arial" w:hAnsi="Arial" w:eastAsia="Arial"/>
                <w:b/>
                <w:i w:val="0"/>
                <w:color w:val="FFFFFF"/>
                <w:sz w:val="14"/>
              </w:rPr>
              <w:t>Component</w:t>
            </w:r>
          </w:p>
        </w:tc>
        <w:tc>
          <w:tcPr>
            <w:tcW w:w="1728" w:type="dxa"/>
            <w:shd w:val="clear" w:color="auto" w:fill="355C7D"/>
            <w:tcMar>
              <w:top w:w="60" w:type="dxa"/>
              <w:left w:w="55" w:type="dxa"/>
              <w:bottom w:w="60" w:type="dxa"/>
              <w:right w:w="55" w:type="dxa"/>
            </w:tcMar>
            <w:vAlign w:val="center"/>
          </w:tcPr>
          <w:p w14:paraId="6A3D7894">
            <w:pPr>
              <w:spacing w:before="0" w:after="0" w:line="240" w:lineRule="auto"/>
              <w:jc w:val="center"/>
            </w:pPr>
            <w:r>
              <w:rPr>
                <w:rFonts w:ascii="Arial" w:hAnsi="Arial" w:eastAsia="Arial"/>
                <w:b/>
                <w:i w:val="0"/>
                <w:color w:val="FFFFFF"/>
                <w:sz w:val="14"/>
              </w:rPr>
              <w:t>Effect measure</w:t>
            </w:r>
          </w:p>
        </w:tc>
        <w:tc>
          <w:tcPr>
            <w:tcW w:w="1728" w:type="dxa"/>
            <w:shd w:val="clear" w:color="auto" w:fill="355C7D"/>
            <w:tcMar>
              <w:top w:w="60" w:type="dxa"/>
              <w:left w:w="55" w:type="dxa"/>
              <w:bottom w:w="60" w:type="dxa"/>
              <w:right w:w="55" w:type="dxa"/>
            </w:tcMar>
            <w:vAlign w:val="center"/>
          </w:tcPr>
          <w:p w14:paraId="599B9542">
            <w:pPr>
              <w:spacing w:before="0" w:after="0" w:line="240" w:lineRule="auto"/>
              <w:jc w:val="center"/>
            </w:pPr>
            <w:r>
              <w:rPr>
                <w:rFonts w:ascii="Arial" w:hAnsi="Arial" w:eastAsia="Arial"/>
                <w:b/>
                <w:i w:val="0"/>
                <w:color w:val="FFFFFF"/>
                <w:sz w:val="14"/>
              </w:rPr>
              <w:t>Result</w:t>
            </w:r>
          </w:p>
        </w:tc>
        <w:tc>
          <w:tcPr>
            <w:tcW w:w="936" w:type="dxa"/>
            <w:shd w:val="clear" w:color="auto" w:fill="355C7D"/>
            <w:tcMar>
              <w:top w:w="60" w:type="dxa"/>
              <w:left w:w="55" w:type="dxa"/>
              <w:bottom w:w="60" w:type="dxa"/>
              <w:right w:w="55" w:type="dxa"/>
            </w:tcMar>
            <w:vAlign w:val="center"/>
          </w:tcPr>
          <w:p w14:paraId="7457F144">
            <w:pPr>
              <w:spacing w:before="0" w:after="0" w:line="240" w:lineRule="auto"/>
              <w:jc w:val="center"/>
            </w:pPr>
            <w:r>
              <w:rPr>
                <w:rFonts w:ascii="Arial" w:hAnsi="Arial" w:eastAsia="Arial"/>
                <w:b/>
                <w:i w:val="0"/>
                <w:color w:val="FFFFFF"/>
                <w:sz w:val="14"/>
              </w:rPr>
              <w:t>P value</w:t>
            </w:r>
          </w:p>
        </w:tc>
        <w:tc>
          <w:tcPr>
            <w:tcW w:w="1944" w:type="dxa"/>
            <w:shd w:val="clear" w:color="auto" w:fill="355C7D"/>
            <w:tcMar>
              <w:top w:w="60" w:type="dxa"/>
              <w:left w:w="55" w:type="dxa"/>
              <w:bottom w:w="60" w:type="dxa"/>
              <w:right w:w="55" w:type="dxa"/>
            </w:tcMar>
            <w:vAlign w:val="center"/>
          </w:tcPr>
          <w:p w14:paraId="7243F9D7">
            <w:pPr>
              <w:spacing w:before="0" w:after="0" w:line="240" w:lineRule="auto"/>
              <w:jc w:val="center"/>
            </w:pPr>
            <w:r>
              <w:rPr>
                <w:rFonts w:ascii="Arial" w:hAnsi="Arial" w:eastAsia="Arial"/>
                <w:b/>
                <w:i w:val="0"/>
                <w:color w:val="FFFFFF"/>
                <w:sz w:val="14"/>
              </w:rPr>
              <w:t>Sample</w:t>
            </w:r>
          </w:p>
        </w:tc>
        <w:tc>
          <w:tcPr>
            <w:tcW w:w="3671" w:type="dxa"/>
            <w:shd w:val="clear" w:color="auto" w:fill="355C7D"/>
            <w:tcMar>
              <w:top w:w="60" w:type="dxa"/>
              <w:left w:w="55" w:type="dxa"/>
              <w:bottom w:w="60" w:type="dxa"/>
              <w:right w:w="55" w:type="dxa"/>
            </w:tcMar>
            <w:vAlign w:val="center"/>
          </w:tcPr>
          <w:p w14:paraId="18863B05">
            <w:pPr>
              <w:spacing w:before="0" w:after="0" w:line="240" w:lineRule="auto"/>
              <w:jc w:val="center"/>
            </w:pPr>
            <w:r>
              <w:rPr>
                <w:rFonts w:ascii="Arial" w:hAnsi="Arial" w:eastAsia="Arial"/>
                <w:b/>
                <w:i w:val="0"/>
                <w:color w:val="FFFFFF"/>
                <w:sz w:val="14"/>
              </w:rPr>
              <w:t>Interpretation</w:t>
            </w:r>
          </w:p>
        </w:tc>
      </w:tr>
      <w:tr w14:paraId="3FE47CC9">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41564492">
            <w:pPr>
              <w:spacing w:before="0" w:after="0" w:line="240" w:lineRule="auto"/>
              <w:jc w:val="center"/>
            </w:pPr>
            <w:r>
              <w:rPr>
                <w:rFonts w:ascii="Arial" w:hAnsi="Arial" w:eastAsia="Arial"/>
                <w:b w:val="0"/>
                <w:i w:val="0"/>
                <w:sz w:val="13"/>
              </w:rPr>
              <w:t>SHARE</w:t>
            </w:r>
          </w:p>
        </w:tc>
        <w:tc>
          <w:tcPr>
            <w:tcW w:w="2232" w:type="dxa"/>
            <w:shd w:val="clear" w:color="auto" w:fill="F6F8FA"/>
            <w:tcMar>
              <w:top w:w="50" w:type="dxa"/>
              <w:left w:w="55" w:type="dxa"/>
              <w:bottom w:w="50" w:type="dxa"/>
              <w:right w:w="55" w:type="dxa"/>
            </w:tcMar>
            <w:vAlign w:val="top"/>
          </w:tcPr>
          <w:p w14:paraId="18228749">
            <w:pPr>
              <w:spacing w:before="0" w:after="0" w:line="240" w:lineRule="auto"/>
              <w:jc w:val="left"/>
            </w:pPr>
            <w:r>
              <w:rPr>
                <w:rFonts w:ascii="Arial" w:hAnsi="Arial" w:eastAsia="Arial"/>
                <w:b w:val="0"/>
                <w:i w:val="0"/>
                <w:sz w:val="13"/>
              </w:rPr>
              <w:t>SHARE history-availability robustness</w:t>
            </w:r>
          </w:p>
        </w:tc>
        <w:tc>
          <w:tcPr>
            <w:tcW w:w="2376" w:type="dxa"/>
            <w:shd w:val="clear" w:color="auto" w:fill="F6F8FA"/>
            <w:tcMar>
              <w:top w:w="50" w:type="dxa"/>
              <w:left w:w="55" w:type="dxa"/>
              <w:bottom w:w="50" w:type="dxa"/>
              <w:right w:w="55" w:type="dxa"/>
            </w:tcMar>
            <w:vAlign w:val="top"/>
          </w:tcPr>
          <w:p w14:paraId="675A274D">
            <w:pPr>
              <w:spacing w:before="0" w:after="0" w:line="240" w:lineRule="auto"/>
              <w:jc w:val="left"/>
            </w:pPr>
            <w:r>
              <w:rPr>
                <w:rFonts w:ascii="Arial" w:hAnsi="Arial" w:eastAsia="Arial"/>
                <w:b w:val="0"/>
                <w:i w:val="0"/>
                <w:sz w:val="13"/>
              </w:rPr>
              <w:t>History restricted to the two most recent available prior EURO-D measurements</w:t>
            </w:r>
          </w:p>
        </w:tc>
        <w:tc>
          <w:tcPr>
            <w:tcW w:w="1728" w:type="dxa"/>
            <w:shd w:val="clear" w:color="auto" w:fill="F6F8FA"/>
            <w:tcMar>
              <w:top w:w="50" w:type="dxa"/>
              <w:left w:w="55" w:type="dxa"/>
              <w:bottom w:w="50" w:type="dxa"/>
              <w:right w:w="55" w:type="dxa"/>
            </w:tcMar>
            <w:vAlign w:val="top"/>
          </w:tcPr>
          <w:p w14:paraId="2EE9ED14">
            <w:pPr>
              <w:spacing w:before="0" w:after="0" w:line="240" w:lineRule="auto"/>
              <w:jc w:val="center"/>
            </w:pPr>
            <w:r>
              <w:rPr>
                <w:rFonts w:ascii="Arial" w:hAnsi="Arial" w:eastAsia="Arial"/>
                <w:b w:val="0"/>
                <w:i w:val="0"/>
                <w:sz w:val="13"/>
              </w:rPr>
              <w:t>HR per fixed SHARE Wave-1 EURO-D SD</w:t>
            </w:r>
          </w:p>
        </w:tc>
        <w:tc>
          <w:tcPr>
            <w:tcW w:w="1728" w:type="dxa"/>
            <w:shd w:val="clear" w:color="auto" w:fill="F6F8FA"/>
            <w:tcMar>
              <w:top w:w="50" w:type="dxa"/>
              <w:left w:w="55" w:type="dxa"/>
              <w:bottom w:w="50" w:type="dxa"/>
              <w:right w:w="55" w:type="dxa"/>
            </w:tcMar>
            <w:vAlign w:val="top"/>
          </w:tcPr>
          <w:p w14:paraId="2EB55DA7">
            <w:pPr>
              <w:spacing w:before="0" w:after="0" w:line="240" w:lineRule="auto"/>
              <w:jc w:val="center"/>
            </w:pPr>
            <w:r>
              <w:rPr>
                <w:rFonts w:ascii="Arial" w:hAnsi="Arial" w:eastAsia="Arial"/>
                <w:b w:val="0"/>
                <w:i w:val="0"/>
                <w:sz w:val="13"/>
              </w:rPr>
              <w:t>1.214 (1.159–1.272)</w:t>
            </w:r>
          </w:p>
        </w:tc>
        <w:tc>
          <w:tcPr>
            <w:tcW w:w="936" w:type="dxa"/>
            <w:shd w:val="clear" w:color="auto" w:fill="F6F8FA"/>
            <w:tcMar>
              <w:top w:w="50" w:type="dxa"/>
              <w:left w:w="55" w:type="dxa"/>
              <w:bottom w:w="50" w:type="dxa"/>
              <w:right w:w="55" w:type="dxa"/>
            </w:tcMar>
            <w:vAlign w:val="top"/>
          </w:tcPr>
          <w:p w14:paraId="5FA840D3">
            <w:pPr>
              <w:spacing w:before="0" w:after="0" w:line="240" w:lineRule="auto"/>
              <w:jc w:val="center"/>
            </w:pPr>
            <w:r>
              <w:rPr>
                <w:rFonts w:ascii="Arial" w:hAnsi="Arial" w:eastAsia="Arial"/>
                <w:b w:val="0"/>
                <w:i w:val="0"/>
                <w:sz w:val="13"/>
              </w:rPr>
              <w:t>&lt;0.001</w:t>
            </w:r>
          </w:p>
        </w:tc>
        <w:tc>
          <w:tcPr>
            <w:tcW w:w="1944" w:type="dxa"/>
            <w:shd w:val="clear" w:color="auto" w:fill="F6F8FA"/>
            <w:tcMar>
              <w:top w:w="50" w:type="dxa"/>
              <w:left w:w="55" w:type="dxa"/>
              <w:bottom w:w="50" w:type="dxa"/>
              <w:right w:w="55" w:type="dxa"/>
            </w:tcMar>
            <w:vAlign w:val="top"/>
          </w:tcPr>
          <w:p w14:paraId="0780E8E9">
            <w:pPr>
              <w:spacing w:before="0" w:after="0" w:line="240" w:lineRule="auto"/>
              <w:jc w:val="left"/>
            </w:pPr>
            <w:r>
              <w:rPr>
                <w:rFonts w:ascii="Arial" w:hAnsi="Arial" w:eastAsia="Arial"/>
                <w:b w:val="0"/>
                <w:i w:val="0"/>
                <w:sz w:val="13"/>
              </w:rPr>
              <w:t>N=26,489; events=2,792</w:t>
            </w:r>
          </w:p>
        </w:tc>
        <w:tc>
          <w:tcPr>
            <w:tcW w:w="3671" w:type="dxa"/>
            <w:shd w:val="clear" w:color="auto" w:fill="F6F8FA"/>
            <w:tcMar>
              <w:top w:w="50" w:type="dxa"/>
              <w:left w:w="55" w:type="dxa"/>
              <w:bottom w:w="50" w:type="dxa"/>
              <w:right w:w="55" w:type="dxa"/>
            </w:tcMar>
            <w:vAlign w:val="top"/>
          </w:tcPr>
          <w:p w14:paraId="3E80F2C9">
            <w:pPr>
              <w:spacing w:before="0" w:after="0" w:line="240" w:lineRule="auto"/>
              <w:jc w:val="left"/>
            </w:pPr>
            <w:r>
              <w:rPr>
                <w:rFonts w:ascii="Arial" w:hAnsi="Arial" w:eastAsia="Arial"/>
                <w:b w:val="0"/>
                <w:i w:val="0"/>
                <w:sz w:val="13"/>
              </w:rPr>
              <w:t>The prior-burden association did not depend on unequal numbers of prior measurements.</w:t>
            </w:r>
          </w:p>
        </w:tc>
      </w:tr>
      <w:tr w14:paraId="3B7339B8">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4D20E672">
            <w:pPr>
              <w:spacing w:before="0" w:after="0" w:line="240" w:lineRule="auto"/>
              <w:jc w:val="center"/>
            </w:pPr>
            <w:r>
              <w:rPr>
                <w:rFonts w:ascii="Arial" w:hAnsi="Arial" w:eastAsia="Arial"/>
                <w:b w:val="0"/>
                <w:i w:val="0"/>
                <w:sz w:val="13"/>
              </w:rPr>
              <w:t>SHARE</w:t>
            </w:r>
          </w:p>
        </w:tc>
        <w:tc>
          <w:tcPr>
            <w:tcW w:w="2232" w:type="dxa"/>
            <w:shd w:val="clear" w:color="auto" w:fill="FFFFFF"/>
            <w:tcMar>
              <w:top w:w="50" w:type="dxa"/>
              <w:left w:w="55" w:type="dxa"/>
              <w:bottom w:w="50" w:type="dxa"/>
              <w:right w:w="55" w:type="dxa"/>
            </w:tcMar>
            <w:vAlign w:val="top"/>
          </w:tcPr>
          <w:p w14:paraId="7556FADB">
            <w:pPr>
              <w:spacing w:before="0" w:after="0" w:line="240" w:lineRule="auto"/>
              <w:jc w:val="left"/>
            </w:pPr>
            <w:r>
              <w:rPr>
                <w:rFonts w:ascii="Arial" w:hAnsi="Arial" w:eastAsia="Arial"/>
                <w:b w:val="0"/>
                <w:i w:val="0"/>
                <w:sz w:val="13"/>
              </w:rPr>
              <w:t>SHARE history-availability robustness</w:t>
            </w:r>
          </w:p>
        </w:tc>
        <w:tc>
          <w:tcPr>
            <w:tcW w:w="2376" w:type="dxa"/>
            <w:shd w:val="clear" w:color="auto" w:fill="FFFFFF"/>
            <w:tcMar>
              <w:top w:w="50" w:type="dxa"/>
              <w:left w:w="55" w:type="dxa"/>
              <w:bottom w:w="50" w:type="dxa"/>
              <w:right w:w="55" w:type="dxa"/>
            </w:tcMar>
            <w:vAlign w:val="top"/>
          </w:tcPr>
          <w:p w14:paraId="6A4B5BEE">
            <w:pPr>
              <w:spacing w:before="0" w:after="0" w:line="240" w:lineRule="auto"/>
              <w:jc w:val="left"/>
            </w:pPr>
            <w:r>
              <w:rPr>
                <w:rFonts w:ascii="Arial" w:hAnsi="Arial" w:eastAsia="Arial"/>
                <w:b w:val="0"/>
                <w:i w:val="0"/>
                <w:sz w:val="13"/>
              </w:rPr>
              <w:t>Current deviation from the recent-two prior mean</w:t>
            </w:r>
          </w:p>
        </w:tc>
        <w:tc>
          <w:tcPr>
            <w:tcW w:w="1728" w:type="dxa"/>
            <w:shd w:val="clear" w:color="auto" w:fill="FFFFFF"/>
            <w:tcMar>
              <w:top w:w="50" w:type="dxa"/>
              <w:left w:w="55" w:type="dxa"/>
              <w:bottom w:w="50" w:type="dxa"/>
              <w:right w:w="55" w:type="dxa"/>
            </w:tcMar>
            <w:vAlign w:val="top"/>
          </w:tcPr>
          <w:p w14:paraId="3F53869C">
            <w:pPr>
              <w:spacing w:before="0" w:after="0" w:line="240" w:lineRule="auto"/>
              <w:jc w:val="center"/>
            </w:pPr>
            <w:r>
              <w:rPr>
                <w:rFonts w:ascii="Arial" w:hAnsi="Arial" w:eastAsia="Arial"/>
                <w:b w:val="0"/>
                <w:i w:val="0"/>
                <w:sz w:val="13"/>
              </w:rPr>
              <w:t>HR per fixed SHARE Wave-1 EURO-D SD</w:t>
            </w:r>
          </w:p>
        </w:tc>
        <w:tc>
          <w:tcPr>
            <w:tcW w:w="1728" w:type="dxa"/>
            <w:shd w:val="clear" w:color="auto" w:fill="FFFFFF"/>
            <w:tcMar>
              <w:top w:w="50" w:type="dxa"/>
              <w:left w:w="55" w:type="dxa"/>
              <w:bottom w:w="50" w:type="dxa"/>
              <w:right w:w="55" w:type="dxa"/>
            </w:tcMar>
            <w:vAlign w:val="top"/>
          </w:tcPr>
          <w:p w14:paraId="26FAE9DD">
            <w:pPr>
              <w:spacing w:before="0" w:after="0" w:line="240" w:lineRule="auto"/>
              <w:jc w:val="center"/>
            </w:pPr>
            <w:r>
              <w:rPr>
                <w:rFonts w:ascii="Arial" w:hAnsi="Arial" w:eastAsia="Arial"/>
                <w:b w:val="0"/>
                <w:i w:val="0"/>
                <w:sz w:val="13"/>
              </w:rPr>
              <w:t>1.143 (1.095–1.194)</w:t>
            </w:r>
          </w:p>
        </w:tc>
        <w:tc>
          <w:tcPr>
            <w:tcW w:w="936" w:type="dxa"/>
            <w:shd w:val="clear" w:color="auto" w:fill="FFFFFF"/>
            <w:tcMar>
              <w:top w:w="50" w:type="dxa"/>
              <w:left w:w="55" w:type="dxa"/>
              <w:bottom w:w="50" w:type="dxa"/>
              <w:right w:w="55" w:type="dxa"/>
            </w:tcMar>
            <w:vAlign w:val="top"/>
          </w:tcPr>
          <w:p w14:paraId="5FF70729">
            <w:pPr>
              <w:spacing w:before="0" w:after="0" w:line="240" w:lineRule="auto"/>
              <w:jc w:val="center"/>
            </w:pPr>
            <w:r>
              <w:rPr>
                <w:rFonts w:ascii="Arial" w:hAnsi="Arial" w:eastAsia="Arial"/>
                <w:b w:val="0"/>
                <w:i w:val="0"/>
                <w:sz w:val="13"/>
              </w:rPr>
              <w:t>&lt;0.001</w:t>
            </w:r>
          </w:p>
        </w:tc>
        <w:tc>
          <w:tcPr>
            <w:tcW w:w="1944" w:type="dxa"/>
            <w:shd w:val="clear" w:color="auto" w:fill="FFFFFF"/>
            <w:tcMar>
              <w:top w:w="50" w:type="dxa"/>
              <w:left w:w="55" w:type="dxa"/>
              <w:bottom w:w="50" w:type="dxa"/>
              <w:right w:w="55" w:type="dxa"/>
            </w:tcMar>
            <w:vAlign w:val="top"/>
          </w:tcPr>
          <w:p w14:paraId="24354BA7">
            <w:pPr>
              <w:spacing w:before="0" w:after="0" w:line="240" w:lineRule="auto"/>
              <w:jc w:val="left"/>
            </w:pPr>
            <w:r>
              <w:rPr>
                <w:rFonts w:ascii="Arial" w:hAnsi="Arial" w:eastAsia="Arial"/>
                <w:b w:val="0"/>
                <w:i w:val="0"/>
                <w:sz w:val="13"/>
              </w:rPr>
              <w:t>N=26,489; events=2,792</w:t>
            </w:r>
          </w:p>
        </w:tc>
        <w:tc>
          <w:tcPr>
            <w:tcW w:w="3671" w:type="dxa"/>
            <w:shd w:val="clear" w:color="auto" w:fill="FFFFFF"/>
            <w:tcMar>
              <w:top w:w="50" w:type="dxa"/>
              <w:left w:w="55" w:type="dxa"/>
              <w:bottom w:w="50" w:type="dxa"/>
              <w:right w:w="55" w:type="dxa"/>
            </w:tcMar>
            <w:vAlign w:val="top"/>
          </w:tcPr>
          <w:p w14:paraId="3F222E99">
            <w:pPr>
              <w:spacing w:before="0" w:after="0" w:line="240" w:lineRule="auto"/>
              <w:jc w:val="left"/>
            </w:pPr>
            <w:r>
              <w:rPr>
                <w:rFonts w:ascii="Arial" w:hAnsi="Arial" w:eastAsia="Arial"/>
                <w:b w:val="0"/>
                <w:i w:val="0"/>
                <w:sz w:val="13"/>
              </w:rPr>
              <w:t>The current-deviation association was preserved using the recent-two definition.</w:t>
            </w:r>
          </w:p>
        </w:tc>
      </w:tr>
      <w:tr w14:paraId="6C1304C3">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7B8C5F88">
            <w:pPr>
              <w:spacing w:before="0" w:after="0" w:line="240" w:lineRule="auto"/>
              <w:jc w:val="center"/>
            </w:pPr>
            <w:r>
              <w:rPr>
                <w:rFonts w:ascii="Arial" w:hAnsi="Arial" w:eastAsia="Arial"/>
                <w:b w:val="0"/>
                <w:i w:val="0"/>
                <w:sz w:val="13"/>
              </w:rPr>
              <w:t>SHARE</w:t>
            </w:r>
          </w:p>
        </w:tc>
        <w:tc>
          <w:tcPr>
            <w:tcW w:w="2232" w:type="dxa"/>
            <w:shd w:val="clear" w:color="auto" w:fill="F6F8FA"/>
            <w:tcMar>
              <w:top w:w="50" w:type="dxa"/>
              <w:left w:w="55" w:type="dxa"/>
              <w:bottom w:w="50" w:type="dxa"/>
              <w:right w:w="55" w:type="dxa"/>
            </w:tcMar>
            <w:vAlign w:val="top"/>
          </w:tcPr>
          <w:p w14:paraId="5C57DB8F">
            <w:pPr>
              <w:spacing w:before="0" w:after="0" w:line="240" w:lineRule="auto"/>
              <w:jc w:val="left"/>
            </w:pPr>
            <w:r>
              <w:rPr>
                <w:rFonts w:ascii="Arial" w:hAnsi="Arial" w:eastAsia="Arial"/>
                <w:b w:val="0"/>
                <w:i w:val="0"/>
                <w:sz w:val="13"/>
              </w:rPr>
              <w:t>SHARE history-availability robustness</w:t>
            </w:r>
          </w:p>
        </w:tc>
        <w:tc>
          <w:tcPr>
            <w:tcW w:w="2376" w:type="dxa"/>
            <w:shd w:val="clear" w:color="auto" w:fill="F6F8FA"/>
            <w:tcMar>
              <w:top w:w="50" w:type="dxa"/>
              <w:left w:w="55" w:type="dxa"/>
              <w:bottom w:w="50" w:type="dxa"/>
              <w:right w:w="55" w:type="dxa"/>
            </w:tcMar>
            <w:vAlign w:val="top"/>
          </w:tcPr>
          <w:p w14:paraId="305658C6">
            <w:pPr>
              <w:spacing w:before="0" w:after="0" w:line="240" w:lineRule="auto"/>
              <w:jc w:val="left"/>
            </w:pPr>
            <w:r>
              <w:rPr>
                <w:rFonts w:ascii="Arial" w:hAnsi="Arial" w:eastAsia="Arial"/>
                <w:b w:val="0"/>
                <w:i w:val="0"/>
                <w:sz w:val="13"/>
              </w:rPr>
              <w:t>Recent-two history versus deviation coefficient</w:t>
            </w:r>
          </w:p>
        </w:tc>
        <w:tc>
          <w:tcPr>
            <w:tcW w:w="1728" w:type="dxa"/>
            <w:shd w:val="clear" w:color="auto" w:fill="F6F8FA"/>
            <w:tcMar>
              <w:top w:w="50" w:type="dxa"/>
              <w:left w:w="55" w:type="dxa"/>
              <w:bottom w:w="50" w:type="dxa"/>
              <w:right w:w="55" w:type="dxa"/>
            </w:tcMar>
            <w:vAlign w:val="top"/>
          </w:tcPr>
          <w:p w14:paraId="10997A00">
            <w:pPr>
              <w:spacing w:before="0" w:after="0" w:line="240" w:lineRule="auto"/>
              <w:jc w:val="center"/>
            </w:pPr>
            <w:r>
              <w:rPr>
                <w:rFonts w:ascii="Arial" w:hAnsi="Arial" w:eastAsia="Arial"/>
                <w:b w:val="0"/>
                <w:i w:val="0"/>
                <w:sz w:val="13"/>
              </w:rPr>
              <w:t>Beta difference</w:t>
            </w:r>
          </w:p>
        </w:tc>
        <w:tc>
          <w:tcPr>
            <w:tcW w:w="1728" w:type="dxa"/>
            <w:shd w:val="clear" w:color="auto" w:fill="F6F8FA"/>
            <w:tcMar>
              <w:top w:w="50" w:type="dxa"/>
              <w:left w:w="55" w:type="dxa"/>
              <w:bottom w:w="50" w:type="dxa"/>
              <w:right w:w="55" w:type="dxa"/>
            </w:tcMar>
            <w:vAlign w:val="top"/>
          </w:tcPr>
          <w:p w14:paraId="3AD401EB">
            <w:pPr>
              <w:spacing w:before="0" w:after="0" w:line="240" w:lineRule="auto"/>
              <w:jc w:val="center"/>
            </w:pPr>
            <w:r>
              <w:rPr>
                <w:rFonts w:ascii="Arial" w:hAnsi="Arial" w:eastAsia="Arial"/>
                <w:b w:val="0"/>
                <w:i w:val="0"/>
                <w:sz w:val="13"/>
              </w:rPr>
              <w:t>0.060 (0.009–0.111)</w:t>
            </w:r>
          </w:p>
        </w:tc>
        <w:tc>
          <w:tcPr>
            <w:tcW w:w="936" w:type="dxa"/>
            <w:shd w:val="clear" w:color="auto" w:fill="F6F8FA"/>
            <w:tcMar>
              <w:top w:w="50" w:type="dxa"/>
              <w:left w:w="55" w:type="dxa"/>
              <w:bottom w:w="50" w:type="dxa"/>
              <w:right w:w="55" w:type="dxa"/>
            </w:tcMar>
            <w:vAlign w:val="top"/>
          </w:tcPr>
          <w:p w14:paraId="534EA97E">
            <w:pPr>
              <w:spacing w:before="0" w:after="0" w:line="240" w:lineRule="auto"/>
              <w:jc w:val="center"/>
            </w:pPr>
            <w:r>
              <w:rPr>
                <w:rFonts w:ascii="Arial" w:hAnsi="Arial" w:eastAsia="Arial"/>
                <w:b w:val="0"/>
                <w:i w:val="0"/>
                <w:sz w:val="13"/>
              </w:rPr>
              <w:t>0.021</w:t>
            </w:r>
          </w:p>
        </w:tc>
        <w:tc>
          <w:tcPr>
            <w:tcW w:w="1944" w:type="dxa"/>
            <w:shd w:val="clear" w:color="auto" w:fill="F6F8FA"/>
            <w:tcMar>
              <w:top w:w="50" w:type="dxa"/>
              <w:left w:w="55" w:type="dxa"/>
              <w:bottom w:w="50" w:type="dxa"/>
              <w:right w:w="55" w:type="dxa"/>
            </w:tcMar>
            <w:vAlign w:val="top"/>
          </w:tcPr>
          <w:p w14:paraId="1BA5E6C6">
            <w:pPr>
              <w:spacing w:before="0" w:after="0" w:line="240" w:lineRule="auto"/>
              <w:jc w:val="left"/>
            </w:pPr>
            <w:r>
              <w:rPr>
                <w:rFonts w:ascii="Arial" w:hAnsi="Arial" w:eastAsia="Arial"/>
                <w:b w:val="0"/>
                <w:i w:val="0"/>
                <w:sz w:val="13"/>
              </w:rPr>
              <w:t>N=26,489; events=2,792</w:t>
            </w:r>
          </w:p>
        </w:tc>
        <w:tc>
          <w:tcPr>
            <w:tcW w:w="3671" w:type="dxa"/>
            <w:shd w:val="clear" w:color="auto" w:fill="F6F8FA"/>
            <w:tcMar>
              <w:top w:w="50" w:type="dxa"/>
              <w:left w:w="55" w:type="dxa"/>
              <w:bottom w:w="50" w:type="dxa"/>
              <w:right w:w="55" w:type="dxa"/>
            </w:tcMar>
            <w:vAlign w:val="top"/>
          </w:tcPr>
          <w:p w14:paraId="465F9D5F">
            <w:pPr>
              <w:spacing w:before="0" w:after="0" w:line="240" w:lineRule="auto"/>
              <w:jc w:val="left"/>
            </w:pPr>
            <w:r>
              <w:rPr>
                <w:rFonts w:ascii="Arial" w:hAnsi="Arial" w:eastAsia="Arial"/>
                <w:b w:val="0"/>
                <w:i w:val="0"/>
                <w:sz w:val="13"/>
              </w:rPr>
              <w:t>Prior burden remained stronger under an equalized two-measure history definition.</w:t>
            </w:r>
          </w:p>
        </w:tc>
      </w:tr>
      <w:tr w14:paraId="7AF98712">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089CD9E5">
            <w:pPr>
              <w:spacing w:before="0" w:after="0" w:line="240" w:lineRule="auto"/>
              <w:jc w:val="center"/>
            </w:pPr>
            <w:r>
              <w:rPr>
                <w:rFonts w:ascii="Arial" w:hAnsi="Arial" w:eastAsia="Arial"/>
                <w:b w:val="0"/>
                <w:i w:val="0"/>
                <w:sz w:val="13"/>
              </w:rPr>
              <w:t>SHARE</w:t>
            </w:r>
          </w:p>
        </w:tc>
        <w:tc>
          <w:tcPr>
            <w:tcW w:w="2232" w:type="dxa"/>
            <w:shd w:val="clear" w:color="auto" w:fill="FFFFFF"/>
            <w:tcMar>
              <w:top w:w="50" w:type="dxa"/>
              <w:left w:w="55" w:type="dxa"/>
              <w:bottom w:w="50" w:type="dxa"/>
              <w:right w:w="55" w:type="dxa"/>
            </w:tcMar>
            <w:vAlign w:val="top"/>
          </w:tcPr>
          <w:p w14:paraId="04B2C563">
            <w:pPr>
              <w:spacing w:before="0" w:after="0" w:line="240" w:lineRule="auto"/>
              <w:jc w:val="left"/>
            </w:pPr>
            <w:r>
              <w:rPr>
                <w:rFonts w:ascii="Arial" w:hAnsi="Arial" w:eastAsia="Arial"/>
                <w:b w:val="0"/>
                <w:i w:val="0"/>
                <w:sz w:val="13"/>
              </w:rPr>
              <w:t>SHARE history-count robustness</w:t>
            </w:r>
          </w:p>
        </w:tc>
        <w:tc>
          <w:tcPr>
            <w:tcW w:w="2376" w:type="dxa"/>
            <w:shd w:val="clear" w:color="auto" w:fill="FFFFFF"/>
            <w:tcMar>
              <w:top w:w="50" w:type="dxa"/>
              <w:left w:w="55" w:type="dxa"/>
              <w:bottom w:w="50" w:type="dxa"/>
              <w:right w:w="55" w:type="dxa"/>
            </w:tcMar>
            <w:vAlign w:val="top"/>
          </w:tcPr>
          <w:p w14:paraId="54E7AD42">
            <w:pPr>
              <w:spacing w:before="0" w:after="0" w:line="240" w:lineRule="auto"/>
              <w:jc w:val="left"/>
            </w:pPr>
            <w:r>
              <w:rPr>
                <w:rFonts w:ascii="Arial" w:hAnsi="Arial" w:eastAsia="Arial"/>
                <w:b w:val="0"/>
                <w:i w:val="0"/>
                <w:sz w:val="13"/>
              </w:rPr>
              <w:t>Prior burden after adjustment for prior-measure count</w:t>
            </w:r>
          </w:p>
        </w:tc>
        <w:tc>
          <w:tcPr>
            <w:tcW w:w="1728" w:type="dxa"/>
            <w:shd w:val="clear" w:color="auto" w:fill="FFFFFF"/>
            <w:tcMar>
              <w:top w:w="50" w:type="dxa"/>
              <w:left w:w="55" w:type="dxa"/>
              <w:bottom w:w="50" w:type="dxa"/>
              <w:right w:w="55" w:type="dxa"/>
            </w:tcMar>
            <w:vAlign w:val="top"/>
          </w:tcPr>
          <w:p w14:paraId="7F14C517">
            <w:pPr>
              <w:spacing w:before="0" w:after="0" w:line="240" w:lineRule="auto"/>
              <w:jc w:val="center"/>
            </w:pPr>
            <w:r>
              <w:rPr>
                <w:rFonts w:ascii="Arial" w:hAnsi="Arial" w:eastAsia="Arial"/>
                <w:b w:val="0"/>
                <w:i w:val="0"/>
                <w:sz w:val="13"/>
              </w:rPr>
              <w:t>HR per fixed SHARE Wave-1 EURO-D SD</w:t>
            </w:r>
          </w:p>
        </w:tc>
        <w:tc>
          <w:tcPr>
            <w:tcW w:w="1728" w:type="dxa"/>
            <w:shd w:val="clear" w:color="auto" w:fill="FFFFFF"/>
            <w:tcMar>
              <w:top w:w="50" w:type="dxa"/>
              <w:left w:w="55" w:type="dxa"/>
              <w:bottom w:w="50" w:type="dxa"/>
              <w:right w:w="55" w:type="dxa"/>
            </w:tcMar>
            <w:vAlign w:val="top"/>
          </w:tcPr>
          <w:p w14:paraId="5D3824F2">
            <w:pPr>
              <w:spacing w:before="0" w:after="0" w:line="240" w:lineRule="auto"/>
              <w:jc w:val="center"/>
            </w:pPr>
            <w:r>
              <w:rPr>
                <w:rFonts w:ascii="Arial" w:hAnsi="Arial" w:eastAsia="Arial"/>
                <w:b w:val="0"/>
                <w:i w:val="0"/>
                <w:sz w:val="13"/>
              </w:rPr>
              <w:t>1.229 (1.172–1.290)</w:t>
            </w:r>
          </w:p>
        </w:tc>
        <w:tc>
          <w:tcPr>
            <w:tcW w:w="936" w:type="dxa"/>
            <w:shd w:val="clear" w:color="auto" w:fill="FFFFFF"/>
            <w:tcMar>
              <w:top w:w="50" w:type="dxa"/>
              <w:left w:w="55" w:type="dxa"/>
              <w:bottom w:w="50" w:type="dxa"/>
              <w:right w:w="55" w:type="dxa"/>
            </w:tcMar>
            <w:vAlign w:val="top"/>
          </w:tcPr>
          <w:p w14:paraId="0DF0E230">
            <w:pPr>
              <w:spacing w:before="0" w:after="0" w:line="240" w:lineRule="auto"/>
              <w:jc w:val="center"/>
            </w:pPr>
            <w:r>
              <w:rPr>
                <w:rFonts w:ascii="Arial" w:hAnsi="Arial" w:eastAsia="Arial"/>
                <w:b w:val="0"/>
                <w:i w:val="0"/>
                <w:sz w:val="13"/>
              </w:rPr>
              <w:t>&lt;0.001</w:t>
            </w:r>
          </w:p>
        </w:tc>
        <w:tc>
          <w:tcPr>
            <w:tcW w:w="1944" w:type="dxa"/>
            <w:shd w:val="clear" w:color="auto" w:fill="FFFFFF"/>
            <w:tcMar>
              <w:top w:w="50" w:type="dxa"/>
              <w:left w:w="55" w:type="dxa"/>
              <w:bottom w:w="50" w:type="dxa"/>
              <w:right w:w="55" w:type="dxa"/>
            </w:tcMar>
            <w:vAlign w:val="top"/>
          </w:tcPr>
          <w:p w14:paraId="62B19A64">
            <w:pPr>
              <w:spacing w:before="0" w:after="0" w:line="240" w:lineRule="auto"/>
              <w:jc w:val="left"/>
            </w:pPr>
            <w:r>
              <w:rPr>
                <w:rFonts w:ascii="Arial" w:hAnsi="Arial" w:eastAsia="Arial"/>
                <w:b w:val="0"/>
                <w:i w:val="0"/>
                <w:sz w:val="13"/>
              </w:rPr>
              <w:t>N=26,489; events=2,792</w:t>
            </w:r>
          </w:p>
        </w:tc>
        <w:tc>
          <w:tcPr>
            <w:tcW w:w="3671" w:type="dxa"/>
            <w:shd w:val="clear" w:color="auto" w:fill="FFFFFF"/>
            <w:tcMar>
              <w:top w:w="50" w:type="dxa"/>
              <w:left w:w="55" w:type="dxa"/>
              <w:bottom w:w="50" w:type="dxa"/>
              <w:right w:w="55" w:type="dxa"/>
            </w:tcMar>
            <w:vAlign w:val="top"/>
          </w:tcPr>
          <w:p w14:paraId="43E63EC7">
            <w:pPr>
              <w:spacing w:before="0" w:after="0" w:line="240" w:lineRule="auto"/>
              <w:jc w:val="left"/>
            </w:pPr>
            <w:r>
              <w:rPr>
                <w:rFonts w:ascii="Arial" w:hAnsi="Arial" w:eastAsia="Arial"/>
                <w:b w:val="0"/>
                <w:i w:val="0"/>
                <w:sz w:val="13"/>
              </w:rPr>
              <w:t>Adjustment for measurement density did not materially alter the history estimate.</w:t>
            </w:r>
          </w:p>
        </w:tc>
      </w:tr>
      <w:tr w14:paraId="6C1DA738">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72CBC693">
            <w:pPr>
              <w:spacing w:before="0" w:after="0" w:line="240" w:lineRule="auto"/>
              <w:jc w:val="center"/>
            </w:pPr>
            <w:r>
              <w:rPr>
                <w:rFonts w:ascii="Arial" w:hAnsi="Arial" w:eastAsia="Arial"/>
                <w:b w:val="0"/>
                <w:i w:val="0"/>
                <w:sz w:val="13"/>
              </w:rPr>
              <w:t>SHARE</w:t>
            </w:r>
          </w:p>
        </w:tc>
        <w:tc>
          <w:tcPr>
            <w:tcW w:w="2232" w:type="dxa"/>
            <w:shd w:val="clear" w:color="auto" w:fill="F6F8FA"/>
            <w:tcMar>
              <w:top w:w="50" w:type="dxa"/>
              <w:left w:w="55" w:type="dxa"/>
              <w:bottom w:w="50" w:type="dxa"/>
              <w:right w:w="55" w:type="dxa"/>
            </w:tcMar>
            <w:vAlign w:val="top"/>
          </w:tcPr>
          <w:p w14:paraId="71F8739F">
            <w:pPr>
              <w:spacing w:before="0" w:after="0" w:line="240" w:lineRule="auto"/>
              <w:jc w:val="left"/>
            </w:pPr>
            <w:r>
              <w:rPr>
                <w:rFonts w:ascii="Arial" w:hAnsi="Arial" w:eastAsia="Arial"/>
                <w:b w:val="0"/>
                <w:i w:val="0"/>
                <w:sz w:val="13"/>
              </w:rPr>
              <w:t>SHARE history-count robustness</w:t>
            </w:r>
          </w:p>
        </w:tc>
        <w:tc>
          <w:tcPr>
            <w:tcW w:w="2376" w:type="dxa"/>
            <w:shd w:val="clear" w:color="auto" w:fill="F6F8FA"/>
            <w:tcMar>
              <w:top w:w="50" w:type="dxa"/>
              <w:left w:w="55" w:type="dxa"/>
              <w:bottom w:w="50" w:type="dxa"/>
              <w:right w:w="55" w:type="dxa"/>
            </w:tcMar>
            <w:vAlign w:val="top"/>
          </w:tcPr>
          <w:p w14:paraId="5365D2B7">
            <w:pPr>
              <w:spacing w:before="0" w:after="0" w:line="240" w:lineRule="auto"/>
              <w:jc w:val="left"/>
            </w:pPr>
            <w:r>
              <w:rPr>
                <w:rFonts w:ascii="Arial" w:hAnsi="Arial" w:eastAsia="Arial"/>
                <w:b w:val="0"/>
                <w:i w:val="0"/>
                <w:sz w:val="13"/>
              </w:rPr>
              <w:t>Current deviation after adjustment for prior-measure count</w:t>
            </w:r>
          </w:p>
        </w:tc>
        <w:tc>
          <w:tcPr>
            <w:tcW w:w="1728" w:type="dxa"/>
            <w:shd w:val="clear" w:color="auto" w:fill="F6F8FA"/>
            <w:tcMar>
              <w:top w:w="50" w:type="dxa"/>
              <w:left w:w="55" w:type="dxa"/>
              <w:bottom w:w="50" w:type="dxa"/>
              <w:right w:w="55" w:type="dxa"/>
            </w:tcMar>
            <w:vAlign w:val="top"/>
          </w:tcPr>
          <w:p w14:paraId="64FF51B8">
            <w:pPr>
              <w:spacing w:before="0" w:after="0" w:line="240" w:lineRule="auto"/>
              <w:jc w:val="center"/>
            </w:pPr>
            <w:r>
              <w:rPr>
                <w:rFonts w:ascii="Arial" w:hAnsi="Arial" w:eastAsia="Arial"/>
                <w:b w:val="0"/>
                <w:i w:val="0"/>
                <w:sz w:val="13"/>
              </w:rPr>
              <w:t>HR per fixed SHARE Wave-1 EURO-D SD</w:t>
            </w:r>
          </w:p>
        </w:tc>
        <w:tc>
          <w:tcPr>
            <w:tcW w:w="1728" w:type="dxa"/>
            <w:shd w:val="clear" w:color="auto" w:fill="F6F8FA"/>
            <w:tcMar>
              <w:top w:w="50" w:type="dxa"/>
              <w:left w:w="55" w:type="dxa"/>
              <w:bottom w:w="50" w:type="dxa"/>
              <w:right w:w="55" w:type="dxa"/>
            </w:tcMar>
            <w:vAlign w:val="top"/>
          </w:tcPr>
          <w:p w14:paraId="73660B53">
            <w:pPr>
              <w:spacing w:before="0" w:after="0" w:line="240" w:lineRule="auto"/>
              <w:jc w:val="center"/>
            </w:pPr>
            <w:r>
              <w:rPr>
                <w:rFonts w:ascii="Arial" w:hAnsi="Arial" w:eastAsia="Arial"/>
                <w:b w:val="0"/>
                <w:i w:val="0"/>
                <w:sz w:val="13"/>
              </w:rPr>
              <w:t>1.136 (1.088–1.186)</w:t>
            </w:r>
          </w:p>
        </w:tc>
        <w:tc>
          <w:tcPr>
            <w:tcW w:w="936" w:type="dxa"/>
            <w:shd w:val="clear" w:color="auto" w:fill="F6F8FA"/>
            <w:tcMar>
              <w:top w:w="50" w:type="dxa"/>
              <w:left w:w="55" w:type="dxa"/>
              <w:bottom w:w="50" w:type="dxa"/>
              <w:right w:w="55" w:type="dxa"/>
            </w:tcMar>
            <w:vAlign w:val="top"/>
          </w:tcPr>
          <w:p w14:paraId="5A7827A0">
            <w:pPr>
              <w:spacing w:before="0" w:after="0" w:line="240" w:lineRule="auto"/>
              <w:jc w:val="center"/>
            </w:pPr>
            <w:r>
              <w:rPr>
                <w:rFonts w:ascii="Arial" w:hAnsi="Arial" w:eastAsia="Arial"/>
                <w:b w:val="0"/>
                <w:i w:val="0"/>
                <w:sz w:val="13"/>
              </w:rPr>
              <w:t>&lt;0.001</w:t>
            </w:r>
          </w:p>
        </w:tc>
        <w:tc>
          <w:tcPr>
            <w:tcW w:w="1944" w:type="dxa"/>
            <w:shd w:val="clear" w:color="auto" w:fill="F6F8FA"/>
            <w:tcMar>
              <w:top w:w="50" w:type="dxa"/>
              <w:left w:w="55" w:type="dxa"/>
              <w:bottom w:w="50" w:type="dxa"/>
              <w:right w:w="55" w:type="dxa"/>
            </w:tcMar>
            <w:vAlign w:val="top"/>
          </w:tcPr>
          <w:p w14:paraId="36B268E4">
            <w:pPr>
              <w:spacing w:before="0" w:after="0" w:line="240" w:lineRule="auto"/>
              <w:jc w:val="left"/>
            </w:pPr>
            <w:r>
              <w:rPr>
                <w:rFonts w:ascii="Arial" w:hAnsi="Arial" w:eastAsia="Arial"/>
                <w:b w:val="0"/>
                <w:i w:val="0"/>
                <w:sz w:val="13"/>
              </w:rPr>
              <w:t>N=26,489; events=2,792</w:t>
            </w:r>
          </w:p>
        </w:tc>
        <w:tc>
          <w:tcPr>
            <w:tcW w:w="3671" w:type="dxa"/>
            <w:shd w:val="clear" w:color="auto" w:fill="F6F8FA"/>
            <w:tcMar>
              <w:top w:w="50" w:type="dxa"/>
              <w:left w:w="55" w:type="dxa"/>
              <w:bottom w:w="50" w:type="dxa"/>
              <w:right w:w="55" w:type="dxa"/>
            </w:tcMar>
            <w:vAlign w:val="top"/>
          </w:tcPr>
          <w:p w14:paraId="1644B135">
            <w:pPr>
              <w:spacing w:before="0" w:after="0" w:line="240" w:lineRule="auto"/>
              <w:jc w:val="left"/>
            </w:pPr>
            <w:r>
              <w:rPr>
                <w:rFonts w:ascii="Arial" w:hAnsi="Arial" w:eastAsia="Arial"/>
                <w:b w:val="0"/>
                <w:i w:val="0"/>
                <w:sz w:val="13"/>
              </w:rPr>
              <w:t>Adjustment for measurement density did not materially alter the deviation estimate.</w:t>
            </w:r>
          </w:p>
        </w:tc>
      </w:tr>
      <w:tr w14:paraId="23D77720">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105A9A76">
            <w:pPr>
              <w:spacing w:before="0" w:after="0" w:line="240" w:lineRule="auto"/>
              <w:jc w:val="center"/>
            </w:pPr>
            <w:r>
              <w:rPr>
                <w:rFonts w:ascii="Arial" w:hAnsi="Arial" w:eastAsia="Arial"/>
                <w:b w:val="0"/>
                <w:i w:val="0"/>
                <w:sz w:val="13"/>
              </w:rPr>
              <w:t>SHARE</w:t>
            </w:r>
          </w:p>
        </w:tc>
        <w:tc>
          <w:tcPr>
            <w:tcW w:w="2232" w:type="dxa"/>
            <w:shd w:val="clear" w:color="auto" w:fill="FFFFFF"/>
            <w:tcMar>
              <w:top w:w="50" w:type="dxa"/>
              <w:left w:w="55" w:type="dxa"/>
              <w:bottom w:w="50" w:type="dxa"/>
              <w:right w:w="55" w:type="dxa"/>
            </w:tcMar>
            <w:vAlign w:val="top"/>
          </w:tcPr>
          <w:p w14:paraId="1C6A3278">
            <w:pPr>
              <w:spacing w:before="0" w:after="0" w:line="240" w:lineRule="auto"/>
              <w:jc w:val="left"/>
            </w:pPr>
            <w:r>
              <w:rPr>
                <w:rFonts w:ascii="Arial" w:hAnsi="Arial" w:eastAsia="Arial"/>
                <w:b w:val="0"/>
                <w:i w:val="0"/>
                <w:sz w:val="13"/>
              </w:rPr>
              <w:t>SHARE history-count robustness</w:t>
            </w:r>
          </w:p>
        </w:tc>
        <w:tc>
          <w:tcPr>
            <w:tcW w:w="2376" w:type="dxa"/>
            <w:shd w:val="clear" w:color="auto" w:fill="FFFFFF"/>
            <w:tcMar>
              <w:top w:w="50" w:type="dxa"/>
              <w:left w:w="55" w:type="dxa"/>
              <w:bottom w:w="50" w:type="dxa"/>
              <w:right w:w="55" w:type="dxa"/>
            </w:tcMar>
            <w:vAlign w:val="top"/>
          </w:tcPr>
          <w:p w14:paraId="68DD2E4F">
            <w:pPr>
              <w:spacing w:before="0" w:after="0" w:line="240" w:lineRule="auto"/>
              <w:jc w:val="left"/>
            </w:pPr>
            <w:r>
              <w:rPr>
                <w:rFonts w:ascii="Arial" w:hAnsi="Arial" w:eastAsia="Arial"/>
                <w:b w:val="0"/>
                <w:i w:val="0"/>
                <w:sz w:val="13"/>
              </w:rPr>
              <w:t>Within-interval-centered number of prior EURO-D measurements</w:t>
            </w:r>
          </w:p>
        </w:tc>
        <w:tc>
          <w:tcPr>
            <w:tcW w:w="1728" w:type="dxa"/>
            <w:shd w:val="clear" w:color="auto" w:fill="FFFFFF"/>
            <w:tcMar>
              <w:top w:w="50" w:type="dxa"/>
              <w:left w:w="55" w:type="dxa"/>
              <w:bottom w:w="50" w:type="dxa"/>
              <w:right w:w="55" w:type="dxa"/>
            </w:tcMar>
            <w:vAlign w:val="top"/>
          </w:tcPr>
          <w:p w14:paraId="058883B2">
            <w:pPr>
              <w:spacing w:before="0" w:after="0" w:line="240" w:lineRule="auto"/>
              <w:jc w:val="center"/>
            </w:pPr>
            <w:r>
              <w:rPr>
                <w:rFonts w:ascii="Arial" w:hAnsi="Arial" w:eastAsia="Arial"/>
                <w:b w:val="0"/>
                <w:i w:val="0"/>
                <w:sz w:val="13"/>
              </w:rPr>
              <w:t>HR per additional prior measurement</w:t>
            </w:r>
          </w:p>
        </w:tc>
        <w:tc>
          <w:tcPr>
            <w:tcW w:w="1728" w:type="dxa"/>
            <w:shd w:val="clear" w:color="auto" w:fill="FFFFFF"/>
            <w:tcMar>
              <w:top w:w="50" w:type="dxa"/>
              <w:left w:w="55" w:type="dxa"/>
              <w:bottom w:w="50" w:type="dxa"/>
              <w:right w:w="55" w:type="dxa"/>
            </w:tcMar>
            <w:vAlign w:val="top"/>
          </w:tcPr>
          <w:p w14:paraId="1718D103">
            <w:pPr>
              <w:spacing w:before="0" w:after="0" w:line="240" w:lineRule="auto"/>
              <w:jc w:val="center"/>
            </w:pPr>
            <w:r>
              <w:rPr>
                <w:rFonts w:ascii="Arial" w:hAnsi="Arial" w:eastAsia="Arial"/>
                <w:b w:val="0"/>
                <w:i w:val="0"/>
                <w:sz w:val="13"/>
              </w:rPr>
              <w:t>0.976 (0.925–1.029)</w:t>
            </w:r>
          </w:p>
        </w:tc>
        <w:tc>
          <w:tcPr>
            <w:tcW w:w="936" w:type="dxa"/>
            <w:shd w:val="clear" w:color="auto" w:fill="FFFFFF"/>
            <w:tcMar>
              <w:top w:w="50" w:type="dxa"/>
              <w:left w:w="55" w:type="dxa"/>
              <w:bottom w:w="50" w:type="dxa"/>
              <w:right w:w="55" w:type="dxa"/>
            </w:tcMar>
            <w:vAlign w:val="top"/>
          </w:tcPr>
          <w:p w14:paraId="622E7037">
            <w:pPr>
              <w:spacing w:before="0" w:after="0" w:line="240" w:lineRule="auto"/>
              <w:jc w:val="center"/>
            </w:pPr>
            <w:r>
              <w:rPr>
                <w:rFonts w:ascii="Arial" w:hAnsi="Arial" w:eastAsia="Arial"/>
                <w:b w:val="0"/>
                <w:i w:val="0"/>
                <w:sz w:val="13"/>
              </w:rPr>
              <w:t>0.367</w:t>
            </w:r>
          </w:p>
        </w:tc>
        <w:tc>
          <w:tcPr>
            <w:tcW w:w="1944" w:type="dxa"/>
            <w:shd w:val="clear" w:color="auto" w:fill="FFFFFF"/>
            <w:tcMar>
              <w:top w:w="50" w:type="dxa"/>
              <w:left w:w="55" w:type="dxa"/>
              <w:bottom w:w="50" w:type="dxa"/>
              <w:right w:w="55" w:type="dxa"/>
            </w:tcMar>
            <w:vAlign w:val="top"/>
          </w:tcPr>
          <w:p w14:paraId="05882F2C">
            <w:pPr>
              <w:spacing w:before="0" w:after="0" w:line="240" w:lineRule="auto"/>
              <w:jc w:val="left"/>
            </w:pPr>
            <w:r>
              <w:rPr>
                <w:rFonts w:ascii="Arial" w:hAnsi="Arial" w:eastAsia="Arial"/>
                <w:b w:val="0"/>
                <w:i w:val="0"/>
                <w:sz w:val="13"/>
              </w:rPr>
              <w:t>N=26,489; events=2,792</w:t>
            </w:r>
          </w:p>
        </w:tc>
        <w:tc>
          <w:tcPr>
            <w:tcW w:w="3671" w:type="dxa"/>
            <w:shd w:val="clear" w:color="auto" w:fill="FFFFFF"/>
            <w:tcMar>
              <w:top w:w="50" w:type="dxa"/>
              <w:left w:w="55" w:type="dxa"/>
              <w:bottom w:w="50" w:type="dxa"/>
              <w:right w:w="55" w:type="dxa"/>
            </w:tcMar>
            <w:vAlign w:val="top"/>
          </w:tcPr>
          <w:p w14:paraId="0B27809C">
            <w:pPr>
              <w:spacing w:before="0" w:after="0" w:line="240" w:lineRule="auto"/>
              <w:jc w:val="left"/>
            </w:pPr>
            <w:r>
              <w:rPr>
                <w:rFonts w:ascii="Arial" w:hAnsi="Arial" w:eastAsia="Arial"/>
                <w:b w:val="0"/>
                <w:i w:val="0"/>
                <w:sz w:val="13"/>
              </w:rPr>
              <w:t>History-measure count itself was not associated with the outcome.</w:t>
            </w:r>
          </w:p>
        </w:tc>
      </w:tr>
      <w:tr w14:paraId="29703C5B">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7608634A">
            <w:pPr>
              <w:spacing w:before="0" w:after="0" w:line="240" w:lineRule="auto"/>
              <w:jc w:val="center"/>
            </w:pPr>
            <w:r>
              <w:rPr>
                <w:rFonts w:ascii="Arial" w:hAnsi="Arial" w:eastAsia="Arial"/>
                <w:b w:val="0"/>
                <w:i w:val="0"/>
                <w:sz w:val="13"/>
              </w:rPr>
              <w:t>SHARE</w:t>
            </w:r>
          </w:p>
        </w:tc>
        <w:tc>
          <w:tcPr>
            <w:tcW w:w="2232" w:type="dxa"/>
            <w:shd w:val="clear" w:color="auto" w:fill="F6F8FA"/>
            <w:tcMar>
              <w:top w:w="50" w:type="dxa"/>
              <w:left w:w="55" w:type="dxa"/>
              <w:bottom w:w="50" w:type="dxa"/>
              <w:right w:w="55" w:type="dxa"/>
            </w:tcMar>
            <w:vAlign w:val="top"/>
          </w:tcPr>
          <w:p w14:paraId="39C639EB">
            <w:pPr>
              <w:spacing w:before="0" w:after="0" w:line="240" w:lineRule="auto"/>
              <w:jc w:val="left"/>
            </w:pPr>
            <w:r>
              <w:rPr>
                <w:rFonts w:ascii="Arial" w:hAnsi="Arial" w:eastAsia="Arial"/>
                <w:b w:val="0"/>
                <w:i w:val="0"/>
                <w:sz w:val="13"/>
              </w:rPr>
              <w:t>SHARE history-count robustness</w:t>
            </w:r>
          </w:p>
        </w:tc>
        <w:tc>
          <w:tcPr>
            <w:tcW w:w="2376" w:type="dxa"/>
            <w:shd w:val="clear" w:color="auto" w:fill="F6F8FA"/>
            <w:tcMar>
              <w:top w:w="50" w:type="dxa"/>
              <w:left w:w="55" w:type="dxa"/>
              <w:bottom w:w="50" w:type="dxa"/>
              <w:right w:w="55" w:type="dxa"/>
            </w:tcMar>
            <w:vAlign w:val="top"/>
          </w:tcPr>
          <w:p w14:paraId="3C7E24AE">
            <w:pPr>
              <w:spacing w:before="0" w:after="0" w:line="240" w:lineRule="auto"/>
              <w:jc w:val="left"/>
            </w:pPr>
            <w:r>
              <w:rPr>
                <w:rFonts w:ascii="Arial" w:hAnsi="Arial" w:eastAsia="Arial"/>
                <w:b w:val="0"/>
                <w:i w:val="0"/>
                <w:sz w:val="13"/>
              </w:rPr>
              <w:t>Count-adjusted history versus deviation coefficient</w:t>
            </w:r>
          </w:p>
        </w:tc>
        <w:tc>
          <w:tcPr>
            <w:tcW w:w="1728" w:type="dxa"/>
            <w:shd w:val="clear" w:color="auto" w:fill="F6F8FA"/>
            <w:tcMar>
              <w:top w:w="50" w:type="dxa"/>
              <w:left w:w="55" w:type="dxa"/>
              <w:bottom w:w="50" w:type="dxa"/>
              <w:right w:w="55" w:type="dxa"/>
            </w:tcMar>
            <w:vAlign w:val="top"/>
          </w:tcPr>
          <w:p w14:paraId="25F86241">
            <w:pPr>
              <w:spacing w:before="0" w:after="0" w:line="240" w:lineRule="auto"/>
              <w:jc w:val="center"/>
            </w:pPr>
            <w:r>
              <w:rPr>
                <w:rFonts w:ascii="Arial" w:hAnsi="Arial" w:eastAsia="Arial"/>
                <w:b w:val="0"/>
                <w:i w:val="0"/>
                <w:sz w:val="13"/>
              </w:rPr>
              <w:t>Beta difference</w:t>
            </w:r>
          </w:p>
        </w:tc>
        <w:tc>
          <w:tcPr>
            <w:tcW w:w="1728" w:type="dxa"/>
            <w:shd w:val="clear" w:color="auto" w:fill="F6F8FA"/>
            <w:tcMar>
              <w:top w:w="50" w:type="dxa"/>
              <w:left w:w="55" w:type="dxa"/>
              <w:bottom w:w="50" w:type="dxa"/>
              <w:right w:w="55" w:type="dxa"/>
            </w:tcMar>
            <w:vAlign w:val="top"/>
          </w:tcPr>
          <w:p w14:paraId="4B390707">
            <w:pPr>
              <w:spacing w:before="0" w:after="0" w:line="240" w:lineRule="auto"/>
              <w:jc w:val="center"/>
            </w:pPr>
            <w:r>
              <w:rPr>
                <w:rFonts w:ascii="Arial" w:hAnsi="Arial" w:eastAsia="Arial"/>
                <w:b w:val="0"/>
                <w:i w:val="0"/>
                <w:sz w:val="13"/>
              </w:rPr>
              <w:t>0.079 (0.026–0.133)</w:t>
            </w:r>
          </w:p>
        </w:tc>
        <w:tc>
          <w:tcPr>
            <w:tcW w:w="936" w:type="dxa"/>
            <w:shd w:val="clear" w:color="auto" w:fill="F6F8FA"/>
            <w:tcMar>
              <w:top w:w="50" w:type="dxa"/>
              <w:left w:w="55" w:type="dxa"/>
              <w:bottom w:w="50" w:type="dxa"/>
              <w:right w:w="55" w:type="dxa"/>
            </w:tcMar>
            <w:vAlign w:val="top"/>
          </w:tcPr>
          <w:p w14:paraId="1CD2F396">
            <w:pPr>
              <w:spacing w:before="0" w:after="0" w:line="240" w:lineRule="auto"/>
              <w:jc w:val="center"/>
            </w:pPr>
            <w:r>
              <w:rPr>
                <w:rFonts w:ascii="Arial" w:hAnsi="Arial" w:eastAsia="Arial"/>
                <w:b w:val="0"/>
                <w:i w:val="0"/>
                <w:sz w:val="13"/>
              </w:rPr>
              <w:t>0.003</w:t>
            </w:r>
          </w:p>
        </w:tc>
        <w:tc>
          <w:tcPr>
            <w:tcW w:w="1944" w:type="dxa"/>
            <w:shd w:val="clear" w:color="auto" w:fill="F6F8FA"/>
            <w:tcMar>
              <w:top w:w="50" w:type="dxa"/>
              <w:left w:w="55" w:type="dxa"/>
              <w:bottom w:w="50" w:type="dxa"/>
              <w:right w:w="55" w:type="dxa"/>
            </w:tcMar>
            <w:vAlign w:val="top"/>
          </w:tcPr>
          <w:p w14:paraId="51A51FBF">
            <w:pPr>
              <w:spacing w:before="0" w:after="0" w:line="240" w:lineRule="auto"/>
              <w:jc w:val="left"/>
            </w:pPr>
            <w:r>
              <w:rPr>
                <w:rFonts w:ascii="Arial" w:hAnsi="Arial" w:eastAsia="Arial"/>
                <w:b w:val="0"/>
                <w:i w:val="0"/>
                <w:sz w:val="13"/>
              </w:rPr>
              <w:t>N=26,489; events=2,792</w:t>
            </w:r>
          </w:p>
        </w:tc>
        <w:tc>
          <w:tcPr>
            <w:tcW w:w="3671" w:type="dxa"/>
            <w:shd w:val="clear" w:color="auto" w:fill="F6F8FA"/>
            <w:tcMar>
              <w:top w:w="50" w:type="dxa"/>
              <w:left w:w="55" w:type="dxa"/>
              <w:bottom w:w="50" w:type="dxa"/>
              <w:right w:w="55" w:type="dxa"/>
            </w:tcMar>
            <w:vAlign w:val="top"/>
          </w:tcPr>
          <w:p w14:paraId="5AFC071C">
            <w:pPr>
              <w:spacing w:before="0" w:after="0" w:line="240" w:lineRule="auto"/>
              <w:jc w:val="left"/>
            </w:pPr>
            <w:r>
              <w:rPr>
                <w:rFonts w:ascii="Arial" w:hAnsi="Arial" w:eastAsia="Arial"/>
                <w:b w:val="0"/>
                <w:i w:val="0"/>
                <w:sz w:val="13"/>
              </w:rPr>
              <w:t>Prior burden remained stronger after adjustment for measurement count.</w:t>
            </w:r>
          </w:p>
        </w:tc>
      </w:tr>
      <w:tr w14:paraId="2A1B2C09">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1FBE4E1D">
            <w:pPr>
              <w:spacing w:before="0" w:after="0" w:line="240" w:lineRule="auto"/>
              <w:jc w:val="center"/>
            </w:pPr>
            <w:r>
              <w:rPr>
                <w:rFonts w:ascii="Arial" w:hAnsi="Arial" w:eastAsia="Arial"/>
                <w:b w:val="0"/>
                <w:i w:val="0"/>
                <w:sz w:val="13"/>
              </w:rPr>
              <w:t>SHARE</w:t>
            </w:r>
          </w:p>
        </w:tc>
        <w:tc>
          <w:tcPr>
            <w:tcW w:w="2232" w:type="dxa"/>
            <w:shd w:val="clear" w:color="auto" w:fill="FFFFFF"/>
            <w:tcMar>
              <w:top w:w="50" w:type="dxa"/>
              <w:left w:w="55" w:type="dxa"/>
              <w:bottom w:w="50" w:type="dxa"/>
              <w:right w:w="55" w:type="dxa"/>
            </w:tcMar>
            <w:vAlign w:val="top"/>
          </w:tcPr>
          <w:p w14:paraId="1FB143EF">
            <w:pPr>
              <w:spacing w:before="0" w:after="0" w:line="240" w:lineRule="auto"/>
              <w:jc w:val="left"/>
            </w:pPr>
            <w:r>
              <w:rPr>
                <w:rFonts w:ascii="Arial" w:hAnsi="Arial" w:eastAsia="Arial"/>
                <w:b w:val="0"/>
                <w:i w:val="0"/>
                <w:sz w:val="13"/>
              </w:rPr>
              <w:t>SHARE outcome-observability audit</w:t>
            </w:r>
          </w:p>
        </w:tc>
        <w:tc>
          <w:tcPr>
            <w:tcW w:w="2376" w:type="dxa"/>
            <w:shd w:val="clear" w:color="auto" w:fill="FFFFFF"/>
            <w:tcMar>
              <w:top w:w="50" w:type="dxa"/>
              <w:left w:w="55" w:type="dxa"/>
              <w:bottom w:w="50" w:type="dxa"/>
              <w:right w:w="55" w:type="dxa"/>
            </w:tcMar>
            <w:vAlign w:val="top"/>
          </w:tcPr>
          <w:p w14:paraId="0C3F7554">
            <w:pPr>
              <w:spacing w:before="0" w:after="0" w:line="240" w:lineRule="auto"/>
              <w:jc w:val="left"/>
            </w:pPr>
            <w:r>
              <w:rPr>
                <w:rFonts w:ascii="Arial" w:hAnsi="Arial" w:eastAsia="Arial"/>
                <w:b w:val="0"/>
                <w:i w:val="0"/>
                <w:sz w:val="13"/>
              </w:rPr>
              <w:t>Prior burden and next-wave outcome observability</w:t>
            </w:r>
          </w:p>
        </w:tc>
        <w:tc>
          <w:tcPr>
            <w:tcW w:w="1728" w:type="dxa"/>
            <w:shd w:val="clear" w:color="auto" w:fill="FFFFFF"/>
            <w:tcMar>
              <w:top w:w="50" w:type="dxa"/>
              <w:left w:w="55" w:type="dxa"/>
              <w:bottom w:w="50" w:type="dxa"/>
              <w:right w:w="55" w:type="dxa"/>
            </w:tcMar>
            <w:vAlign w:val="top"/>
          </w:tcPr>
          <w:p w14:paraId="43ADF809">
            <w:pPr>
              <w:spacing w:before="0" w:after="0" w:line="240" w:lineRule="auto"/>
              <w:jc w:val="center"/>
            </w:pPr>
            <w:r>
              <w:rPr>
                <w:rFonts w:ascii="Arial" w:hAnsi="Arial" w:eastAsia="Arial"/>
                <w:b w:val="0"/>
                <w:i w:val="0"/>
                <w:sz w:val="13"/>
              </w:rPr>
              <w:t>OR per fixed SHARE Wave-1 EURO-D SD</w:t>
            </w:r>
          </w:p>
        </w:tc>
        <w:tc>
          <w:tcPr>
            <w:tcW w:w="1728" w:type="dxa"/>
            <w:shd w:val="clear" w:color="auto" w:fill="FFFFFF"/>
            <w:tcMar>
              <w:top w:w="50" w:type="dxa"/>
              <w:left w:w="55" w:type="dxa"/>
              <w:bottom w:w="50" w:type="dxa"/>
              <w:right w:w="55" w:type="dxa"/>
            </w:tcMar>
            <w:vAlign w:val="top"/>
          </w:tcPr>
          <w:p w14:paraId="13611C33">
            <w:pPr>
              <w:spacing w:before="0" w:after="0" w:line="240" w:lineRule="auto"/>
              <w:jc w:val="center"/>
            </w:pPr>
            <w:r>
              <w:rPr>
                <w:rFonts w:ascii="Arial" w:hAnsi="Arial" w:eastAsia="Arial"/>
                <w:b w:val="0"/>
                <w:i w:val="0"/>
                <w:sz w:val="13"/>
              </w:rPr>
              <w:t>0.870 (0.850–0.891)</w:t>
            </w:r>
          </w:p>
        </w:tc>
        <w:tc>
          <w:tcPr>
            <w:tcW w:w="936" w:type="dxa"/>
            <w:shd w:val="clear" w:color="auto" w:fill="FFFFFF"/>
            <w:tcMar>
              <w:top w:w="50" w:type="dxa"/>
              <w:left w:w="55" w:type="dxa"/>
              <w:bottom w:w="50" w:type="dxa"/>
              <w:right w:w="55" w:type="dxa"/>
            </w:tcMar>
            <w:vAlign w:val="top"/>
          </w:tcPr>
          <w:p w14:paraId="31E519E1">
            <w:pPr>
              <w:spacing w:before="0" w:after="0" w:line="240" w:lineRule="auto"/>
              <w:jc w:val="center"/>
            </w:pPr>
            <w:r>
              <w:rPr>
                <w:rFonts w:ascii="Arial" w:hAnsi="Arial" w:eastAsia="Arial"/>
                <w:b w:val="0"/>
                <w:i w:val="0"/>
                <w:sz w:val="13"/>
              </w:rPr>
              <w:t>&lt;0.001</w:t>
            </w:r>
          </w:p>
        </w:tc>
        <w:tc>
          <w:tcPr>
            <w:tcW w:w="1944" w:type="dxa"/>
            <w:shd w:val="clear" w:color="auto" w:fill="FFFFFF"/>
            <w:tcMar>
              <w:top w:w="50" w:type="dxa"/>
              <w:left w:w="55" w:type="dxa"/>
              <w:bottom w:w="50" w:type="dxa"/>
              <w:right w:w="55" w:type="dxa"/>
            </w:tcMar>
            <w:vAlign w:val="top"/>
          </w:tcPr>
          <w:p w14:paraId="428A2676">
            <w:pPr>
              <w:spacing w:before="0" w:after="0" w:line="240" w:lineRule="auto"/>
              <w:jc w:val="left"/>
            </w:pPr>
            <w:r>
              <w:rPr>
                <w:rFonts w:ascii="Arial" w:hAnsi="Arial" w:eastAsia="Arial"/>
                <w:b w:val="0"/>
                <w:i w:val="0"/>
                <w:sz w:val="13"/>
              </w:rPr>
              <w:t>39,658 participants; 69,366 eligible person-waves; 47,336 observed and 22,030 missing next-wave outcomes</w:t>
            </w:r>
          </w:p>
        </w:tc>
        <w:tc>
          <w:tcPr>
            <w:tcW w:w="3671" w:type="dxa"/>
            <w:shd w:val="clear" w:color="auto" w:fill="FFFFFF"/>
            <w:tcMar>
              <w:top w:w="50" w:type="dxa"/>
              <w:left w:w="55" w:type="dxa"/>
              <w:bottom w:w="50" w:type="dxa"/>
              <w:right w:w="55" w:type="dxa"/>
            </w:tcMar>
            <w:vAlign w:val="top"/>
          </w:tcPr>
          <w:p w14:paraId="3312F854">
            <w:pPr>
              <w:spacing w:before="0" w:after="0" w:line="240" w:lineRule="auto"/>
              <w:jc w:val="left"/>
            </w:pPr>
            <w:r>
              <w:rPr>
                <w:rFonts w:ascii="Arial" w:hAnsi="Arial" w:eastAsia="Arial"/>
                <w:b w:val="0"/>
                <w:i w:val="0"/>
                <w:sz w:val="13"/>
              </w:rPr>
              <w:t>Greater prior burden predicted lower next-wave outcome observability.</w:t>
            </w:r>
          </w:p>
        </w:tc>
      </w:tr>
      <w:tr w14:paraId="04C18347">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71040235">
            <w:pPr>
              <w:spacing w:before="0" w:after="0" w:line="240" w:lineRule="auto"/>
              <w:jc w:val="center"/>
            </w:pPr>
            <w:r>
              <w:rPr>
                <w:rFonts w:ascii="Arial" w:hAnsi="Arial" w:eastAsia="Arial"/>
                <w:b w:val="0"/>
                <w:i w:val="0"/>
                <w:sz w:val="13"/>
              </w:rPr>
              <w:t>SHARE</w:t>
            </w:r>
          </w:p>
        </w:tc>
        <w:tc>
          <w:tcPr>
            <w:tcW w:w="2232" w:type="dxa"/>
            <w:shd w:val="clear" w:color="auto" w:fill="F6F8FA"/>
            <w:tcMar>
              <w:top w:w="50" w:type="dxa"/>
              <w:left w:w="55" w:type="dxa"/>
              <w:bottom w:w="50" w:type="dxa"/>
              <w:right w:w="55" w:type="dxa"/>
            </w:tcMar>
            <w:vAlign w:val="top"/>
          </w:tcPr>
          <w:p w14:paraId="7EEDBBB4">
            <w:pPr>
              <w:spacing w:before="0" w:after="0" w:line="240" w:lineRule="auto"/>
              <w:jc w:val="left"/>
            </w:pPr>
            <w:r>
              <w:rPr>
                <w:rFonts w:ascii="Arial" w:hAnsi="Arial" w:eastAsia="Arial"/>
                <w:b w:val="0"/>
                <w:i w:val="0"/>
                <w:sz w:val="13"/>
              </w:rPr>
              <w:t>SHARE outcome-observability audit</w:t>
            </w:r>
          </w:p>
        </w:tc>
        <w:tc>
          <w:tcPr>
            <w:tcW w:w="2376" w:type="dxa"/>
            <w:shd w:val="clear" w:color="auto" w:fill="F6F8FA"/>
            <w:tcMar>
              <w:top w:w="50" w:type="dxa"/>
              <w:left w:w="55" w:type="dxa"/>
              <w:bottom w:w="50" w:type="dxa"/>
              <w:right w:w="55" w:type="dxa"/>
            </w:tcMar>
            <w:vAlign w:val="top"/>
          </w:tcPr>
          <w:p w14:paraId="6C919688">
            <w:pPr>
              <w:spacing w:before="0" w:after="0" w:line="240" w:lineRule="auto"/>
              <w:jc w:val="left"/>
            </w:pPr>
            <w:r>
              <w:rPr>
                <w:rFonts w:ascii="Arial" w:hAnsi="Arial" w:eastAsia="Arial"/>
                <w:b w:val="0"/>
                <w:i w:val="0"/>
                <w:sz w:val="13"/>
              </w:rPr>
              <w:t>Current deviation and next-wave outcome observability</w:t>
            </w:r>
          </w:p>
        </w:tc>
        <w:tc>
          <w:tcPr>
            <w:tcW w:w="1728" w:type="dxa"/>
            <w:shd w:val="clear" w:color="auto" w:fill="F6F8FA"/>
            <w:tcMar>
              <w:top w:w="50" w:type="dxa"/>
              <w:left w:w="55" w:type="dxa"/>
              <w:bottom w:w="50" w:type="dxa"/>
              <w:right w:w="55" w:type="dxa"/>
            </w:tcMar>
            <w:vAlign w:val="top"/>
          </w:tcPr>
          <w:p w14:paraId="58B31A81">
            <w:pPr>
              <w:spacing w:before="0" w:after="0" w:line="240" w:lineRule="auto"/>
              <w:jc w:val="center"/>
            </w:pPr>
            <w:r>
              <w:rPr>
                <w:rFonts w:ascii="Arial" w:hAnsi="Arial" w:eastAsia="Arial"/>
                <w:b w:val="0"/>
                <w:i w:val="0"/>
                <w:sz w:val="13"/>
              </w:rPr>
              <w:t>OR per fixed SHARE Wave-1 EURO-D SD</w:t>
            </w:r>
          </w:p>
        </w:tc>
        <w:tc>
          <w:tcPr>
            <w:tcW w:w="1728" w:type="dxa"/>
            <w:shd w:val="clear" w:color="auto" w:fill="F6F8FA"/>
            <w:tcMar>
              <w:top w:w="50" w:type="dxa"/>
              <w:left w:w="55" w:type="dxa"/>
              <w:bottom w:w="50" w:type="dxa"/>
              <w:right w:w="55" w:type="dxa"/>
            </w:tcMar>
            <w:vAlign w:val="top"/>
          </w:tcPr>
          <w:p w14:paraId="77A4A155">
            <w:pPr>
              <w:spacing w:before="0" w:after="0" w:line="240" w:lineRule="auto"/>
              <w:jc w:val="center"/>
            </w:pPr>
            <w:r>
              <w:rPr>
                <w:rFonts w:ascii="Arial" w:hAnsi="Arial" w:eastAsia="Arial"/>
                <w:b w:val="0"/>
                <w:i w:val="0"/>
                <w:sz w:val="13"/>
              </w:rPr>
              <w:t>0.908 (0.891–0.927)</w:t>
            </w:r>
          </w:p>
        </w:tc>
        <w:tc>
          <w:tcPr>
            <w:tcW w:w="936" w:type="dxa"/>
            <w:shd w:val="clear" w:color="auto" w:fill="F6F8FA"/>
            <w:tcMar>
              <w:top w:w="50" w:type="dxa"/>
              <w:left w:w="55" w:type="dxa"/>
              <w:bottom w:w="50" w:type="dxa"/>
              <w:right w:w="55" w:type="dxa"/>
            </w:tcMar>
            <w:vAlign w:val="top"/>
          </w:tcPr>
          <w:p w14:paraId="693232C9">
            <w:pPr>
              <w:spacing w:before="0" w:after="0" w:line="240" w:lineRule="auto"/>
              <w:jc w:val="center"/>
            </w:pPr>
            <w:r>
              <w:rPr>
                <w:rFonts w:ascii="Arial" w:hAnsi="Arial" w:eastAsia="Arial"/>
                <w:b w:val="0"/>
                <w:i w:val="0"/>
                <w:sz w:val="13"/>
              </w:rPr>
              <w:t>&lt;0.001</w:t>
            </w:r>
          </w:p>
        </w:tc>
        <w:tc>
          <w:tcPr>
            <w:tcW w:w="1944" w:type="dxa"/>
            <w:shd w:val="clear" w:color="auto" w:fill="F6F8FA"/>
            <w:tcMar>
              <w:top w:w="50" w:type="dxa"/>
              <w:left w:w="55" w:type="dxa"/>
              <w:bottom w:w="50" w:type="dxa"/>
              <w:right w:w="55" w:type="dxa"/>
            </w:tcMar>
            <w:vAlign w:val="top"/>
          </w:tcPr>
          <w:p w14:paraId="4BB92520">
            <w:pPr>
              <w:spacing w:before="0" w:after="0" w:line="240" w:lineRule="auto"/>
              <w:jc w:val="left"/>
            </w:pPr>
            <w:r>
              <w:rPr>
                <w:rFonts w:ascii="Arial" w:hAnsi="Arial" w:eastAsia="Arial"/>
                <w:b w:val="0"/>
                <w:i w:val="0"/>
                <w:sz w:val="13"/>
              </w:rPr>
              <w:t>39,658 participants; 69,366 eligible person-waves; 47,336 observed and 22,030 missing next-wave outcomes</w:t>
            </w:r>
          </w:p>
        </w:tc>
        <w:tc>
          <w:tcPr>
            <w:tcW w:w="3671" w:type="dxa"/>
            <w:shd w:val="clear" w:color="auto" w:fill="F6F8FA"/>
            <w:tcMar>
              <w:top w:w="50" w:type="dxa"/>
              <w:left w:w="55" w:type="dxa"/>
              <w:bottom w:w="50" w:type="dxa"/>
              <w:right w:w="55" w:type="dxa"/>
            </w:tcMar>
            <w:vAlign w:val="top"/>
          </w:tcPr>
          <w:p w14:paraId="2B0472E2">
            <w:pPr>
              <w:spacing w:before="0" w:after="0" w:line="240" w:lineRule="auto"/>
              <w:jc w:val="left"/>
            </w:pPr>
            <w:r>
              <w:rPr>
                <w:rFonts w:ascii="Arial" w:hAnsi="Arial" w:eastAsia="Arial"/>
                <w:b w:val="0"/>
                <w:i w:val="0"/>
                <w:sz w:val="13"/>
              </w:rPr>
              <w:t>Greater current deviation predicted lower next-wave outcome observability.</w:t>
            </w:r>
          </w:p>
        </w:tc>
      </w:tr>
      <w:tr w14:paraId="2417E1F3">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4176DD72">
            <w:pPr>
              <w:spacing w:before="0" w:after="0" w:line="240" w:lineRule="auto"/>
              <w:jc w:val="center"/>
            </w:pPr>
            <w:r>
              <w:rPr>
                <w:rFonts w:ascii="Arial" w:hAnsi="Arial" w:eastAsia="Arial"/>
                <w:b w:val="0"/>
                <w:i w:val="0"/>
                <w:sz w:val="13"/>
              </w:rPr>
              <w:t>SHARE</w:t>
            </w:r>
          </w:p>
        </w:tc>
        <w:tc>
          <w:tcPr>
            <w:tcW w:w="2232" w:type="dxa"/>
            <w:shd w:val="clear" w:color="auto" w:fill="FFFFFF"/>
            <w:tcMar>
              <w:top w:w="50" w:type="dxa"/>
              <w:left w:w="55" w:type="dxa"/>
              <w:bottom w:w="50" w:type="dxa"/>
              <w:right w:w="55" w:type="dxa"/>
            </w:tcMar>
            <w:vAlign w:val="top"/>
          </w:tcPr>
          <w:p w14:paraId="7075F0F4">
            <w:pPr>
              <w:spacing w:before="0" w:after="0" w:line="240" w:lineRule="auto"/>
              <w:jc w:val="left"/>
            </w:pPr>
            <w:r>
              <w:rPr>
                <w:rFonts w:ascii="Arial" w:hAnsi="Arial" w:eastAsia="Arial"/>
                <w:b w:val="0"/>
                <w:i w:val="0"/>
                <w:sz w:val="13"/>
              </w:rPr>
              <w:t>SHARE observation-IPW robustness</w:t>
            </w:r>
          </w:p>
        </w:tc>
        <w:tc>
          <w:tcPr>
            <w:tcW w:w="2376" w:type="dxa"/>
            <w:shd w:val="clear" w:color="auto" w:fill="FFFFFF"/>
            <w:tcMar>
              <w:top w:w="50" w:type="dxa"/>
              <w:left w:w="55" w:type="dxa"/>
              <w:bottom w:w="50" w:type="dxa"/>
              <w:right w:w="55" w:type="dxa"/>
            </w:tcMar>
            <w:vAlign w:val="top"/>
          </w:tcPr>
          <w:p w14:paraId="094B89D3">
            <w:pPr>
              <w:spacing w:before="0" w:after="0" w:line="240" w:lineRule="auto"/>
              <w:jc w:val="left"/>
            </w:pPr>
            <w:r>
              <w:rPr>
                <w:rFonts w:ascii="Arial" w:hAnsi="Arial" w:eastAsia="Arial"/>
                <w:b w:val="0"/>
                <w:i w:val="0"/>
                <w:sz w:val="13"/>
              </w:rPr>
              <w:t>Prior burden after inverse-probability weighting for next-wave outcome observation</w:t>
            </w:r>
          </w:p>
        </w:tc>
        <w:tc>
          <w:tcPr>
            <w:tcW w:w="1728" w:type="dxa"/>
            <w:shd w:val="clear" w:color="auto" w:fill="FFFFFF"/>
            <w:tcMar>
              <w:top w:w="50" w:type="dxa"/>
              <w:left w:w="55" w:type="dxa"/>
              <w:bottom w:w="50" w:type="dxa"/>
              <w:right w:w="55" w:type="dxa"/>
            </w:tcMar>
            <w:vAlign w:val="top"/>
          </w:tcPr>
          <w:p w14:paraId="6579785A">
            <w:pPr>
              <w:spacing w:before="0" w:after="0" w:line="240" w:lineRule="auto"/>
              <w:jc w:val="center"/>
            </w:pPr>
            <w:r>
              <w:rPr>
                <w:rFonts w:ascii="Arial" w:hAnsi="Arial" w:eastAsia="Arial"/>
                <w:b w:val="0"/>
                <w:i w:val="0"/>
                <w:sz w:val="13"/>
              </w:rPr>
              <w:t>Weighted HR per fixed SHARE Wave-1 EURO-D SD</w:t>
            </w:r>
          </w:p>
        </w:tc>
        <w:tc>
          <w:tcPr>
            <w:tcW w:w="1728" w:type="dxa"/>
            <w:shd w:val="clear" w:color="auto" w:fill="FFFFFF"/>
            <w:tcMar>
              <w:top w:w="50" w:type="dxa"/>
              <w:left w:w="55" w:type="dxa"/>
              <w:bottom w:w="50" w:type="dxa"/>
              <w:right w:w="55" w:type="dxa"/>
            </w:tcMar>
            <w:vAlign w:val="top"/>
          </w:tcPr>
          <w:p w14:paraId="0C70E035">
            <w:pPr>
              <w:spacing w:before="0" w:after="0" w:line="240" w:lineRule="auto"/>
              <w:jc w:val="center"/>
            </w:pPr>
            <w:r>
              <w:rPr>
                <w:rFonts w:ascii="Arial" w:hAnsi="Arial" w:eastAsia="Arial"/>
                <w:b w:val="0"/>
                <w:i w:val="0"/>
                <w:sz w:val="13"/>
              </w:rPr>
              <w:t>1.221 (1.164–1.281)</w:t>
            </w:r>
          </w:p>
        </w:tc>
        <w:tc>
          <w:tcPr>
            <w:tcW w:w="936" w:type="dxa"/>
            <w:shd w:val="clear" w:color="auto" w:fill="FFFFFF"/>
            <w:tcMar>
              <w:top w:w="50" w:type="dxa"/>
              <w:left w:w="55" w:type="dxa"/>
              <w:bottom w:w="50" w:type="dxa"/>
              <w:right w:w="55" w:type="dxa"/>
            </w:tcMar>
            <w:vAlign w:val="top"/>
          </w:tcPr>
          <w:p w14:paraId="1C8CDAC4">
            <w:pPr>
              <w:spacing w:before="0" w:after="0" w:line="240" w:lineRule="auto"/>
              <w:jc w:val="center"/>
            </w:pPr>
            <w:r>
              <w:rPr>
                <w:rFonts w:ascii="Arial" w:hAnsi="Arial" w:eastAsia="Arial"/>
                <w:b w:val="0"/>
                <w:i w:val="0"/>
                <w:sz w:val="13"/>
              </w:rPr>
              <w:t>&lt;0.001</w:t>
            </w:r>
          </w:p>
        </w:tc>
        <w:tc>
          <w:tcPr>
            <w:tcW w:w="1944" w:type="dxa"/>
            <w:shd w:val="clear" w:color="auto" w:fill="FFFFFF"/>
            <w:tcMar>
              <w:top w:w="50" w:type="dxa"/>
              <w:left w:w="55" w:type="dxa"/>
              <w:bottom w:w="50" w:type="dxa"/>
              <w:right w:w="55" w:type="dxa"/>
            </w:tcMar>
            <w:vAlign w:val="top"/>
          </w:tcPr>
          <w:p w14:paraId="7FF0CA68">
            <w:pPr>
              <w:spacing w:before="0" w:after="0" w:line="240" w:lineRule="auto"/>
              <w:jc w:val="left"/>
            </w:pPr>
            <w:r>
              <w:rPr>
                <w:rFonts w:ascii="Arial" w:hAnsi="Arial" w:eastAsia="Arial"/>
                <w:b w:val="0"/>
                <w:i w:val="0"/>
                <w:sz w:val="13"/>
              </w:rPr>
              <w:t>N=26,489; events=2,792</w:t>
            </w:r>
          </w:p>
        </w:tc>
        <w:tc>
          <w:tcPr>
            <w:tcW w:w="3671" w:type="dxa"/>
            <w:shd w:val="clear" w:color="auto" w:fill="FFFFFF"/>
            <w:tcMar>
              <w:top w:w="50" w:type="dxa"/>
              <w:left w:w="55" w:type="dxa"/>
              <w:bottom w:w="50" w:type="dxa"/>
              <w:right w:w="55" w:type="dxa"/>
            </w:tcMar>
            <w:vAlign w:val="top"/>
          </w:tcPr>
          <w:p w14:paraId="3EA055F5">
            <w:pPr>
              <w:spacing w:before="0" w:after="0" w:line="240" w:lineRule="auto"/>
              <w:jc w:val="left"/>
            </w:pPr>
            <w:r>
              <w:rPr>
                <w:rFonts w:ascii="Arial" w:hAnsi="Arial" w:eastAsia="Arial"/>
                <w:b w:val="0"/>
                <w:i w:val="0"/>
                <w:sz w:val="13"/>
              </w:rPr>
              <w:t>Selection on measured predictors of outcome observability did not explain the prior-burden association.</w:t>
            </w:r>
          </w:p>
        </w:tc>
      </w:tr>
      <w:tr w14:paraId="79AA1D3C">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2A41EA7C">
            <w:pPr>
              <w:spacing w:before="0" w:after="0" w:line="240" w:lineRule="auto"/>
              <w:jc w:val="center"/>
            </w:pPr>
            <w:r>
              <w:rPr>
                <w:rFonts w:ascii="Arial" w:hAnsi="Arial" w:eastAsia="Arial"/>
                <w:b w:val="0"/>
                <w:i w:val="0"/>
                <w:sz w:val="13"/>
              </w:rPr>
              <w:t>SHARE</w:t>
            </w:r>
          </w:p>
        </w:tc>
        <w:tc>
          <w:tcPr>
            <w:tcW w:w="2232" w:type="dxa"/>
            <w:shd w:val="clear" w:color="auto" w:fill="F6F8FA"/>
            <w:tcMar>
              <w:top w:w="50" w:type="dxa"/>
              <w:left w:w="55" w:type="dxa"/>
              <w:bottom w:w="50" w:type="dxa"/>
              <w:right w:w="55" w:type="dxa"/>
            </w:tcMar>
            <w:vAlign w:val="top"/>
          </w:tcPr>
          <w:p w14:paraId="786DC947">
            <w:pPr>
              <w:spacing w:before="0" w:after="0" w:line="240" w:lineRule="auto"/>
              <w:jc w:val="left"/>
            </w:pPr>
            <w:r>
              <w:rPr>
                <w:rFonts w:ascii="Arial" w:hAnsi="Arial" w:eastAsia="Arial"/>
                <w:b w:val="0"/>
                <w:i w:val="0"/>
                <w:sz w:val="13"/>
              </w:rPr>
              <w:t>SHARE observation-IPW robustness</w:t>
            </w:r>
          </w:p>
        </w:tc>
        <w:tc>
          <w:tcPr>
            <w:tcW w:w="2376" w:type="dxa"/>
            <w:shd w:val="clear" w:color="auto" w:fill="F6F8FA"/>
            <w:tcMar>
              <w:top w:w="50" w:type="dxa"/>
              <w:left w:w="55" w:type="dxa"/>
              <w:bottom w:w="50" w:type="dxa"/>
              <w:right w:w="55" w:type="dxa"/>
            </w:tcMar>
            <w:vAlign w:val="top"/>
          </w:tcPr>
          <w:p w14:paraId="49DE2916">
            <w:pPr>
              <w:spacing w:before="0" w:after="0" w:line="240" w:lineRule="auto"/>
              <w:jc w:val="left"/>
            </w:pPr>
            <w:r>
              <w:rPr>
                <w:rFonts w:ascii="Arial" w:hAnsi="Arial" w:eastAsia="Arial"/>
                <w:b w:val="0"/>
                <w:i w:val="0"/>
                <w:sz w:val="13"/>
              </w:rPr>
              <w:t>Current deviation after inverse-probability weighting for next-wave outcome observation</w:t>
            </w:r>
          </w:p>
        </w:tc>
        <w:tc>
          <w:tcPr>
            <w:tcW w:w="1728" w:type="dxa"/>
            <w:shd w:val="clear" w:color="auto" w:fill="F6F8FA"/>
            <w:tcMar>
              <w:top w:w="50" w:type="dxa"/>
              <w:left w:w="55" w:type="dxa"/>
              <w:bottom w:w="50" w:type="dxa"/>
              <w:right w:w="55" w:type="dxa"/>
            </w:tcMar>
            <w:vAlign w:val="top"/>
          </w:tcPr>
          <w:p w14:paraId="34AA77A5">
            <w:pPr>
              <w:spacing w:before="0" w:after="0" w:line="240" w:lineRule="auto"/>
              <w:jc w:val="center"/>
            </w:pPr>
            <w:r>
              <w:rPr>
                <w:rFonts w:ascii="Arial" w:hAnsi="Arial" w:eastAsia="Arial"/>
                <w:b w:val="0"/>
                <w:i w:val="0"/>
                <w:sz w:val="13"/>
              </w:rPr>
              <w:t>Weighted HR per fixed SHARE Wave-1 EURO-D SD</w:t>
            </w:r>
          </w:p>
        </w:tc>
        <w:tc>
          <w:tcPr>
            <w:tcW w:w="1728" w:type="dxa"/>
            <w:shd w:val="clear" w:color="auto" w:fill="F6F8FA"/>
            <w:tcMar>
              <w:top w:w="50" w:type="dxa"/>
              <w:left w:w="55" w:type="dxa"/>
              <w:bottom w:w="50" w:type="dxa"/>
              <w:right w:w="55" w:type="dxa"/>
            </w:tcMar>
            <w:vAlign w:val="top"/>
          </w:tcPr>
          <w:p w14:paraId="38F5E8B6">
            <w:pPr>
              <w:spacing w:before="0" w:after="0" w:line="240" w:lineRule="auto"/>
              <w:jc w:val="center"/>
            </w:pPr>
            <w:r>
              <w:rPr>
                <w:rFonts w:ascii="Arial" w:hAnsi="Arial" w:eastAsia="Arial"/>
                <w:b w:val="0"/>
                <w:i w:val="0"/>
                <w:sz w:val="13"/>
              </w:rPr>
              <w:t>1.136 (1.088–1.187)</w:t>
            </w:r>
          </w:p>
        </w:tc>
        <w:tc>
          <w:tcPr>
            <w:tcW w:w="936" w:type="dxa"/>
            <w:shd w:val="clear" w:color="auto" w:fill="F6F8FA"/>
            <w:tcMar>
              <w:top w:w="50" w:type="dxa"/>
              <w:left w:w="55" w:type="dxa"/>
              <w:bottom w:w="50" w:type="dxa"/>
              <w:right w:w="55" w:type="dxa"/>
            </w:tcMar>
            <w:vAlign w:val="top"/>
          </w:tcPr>
          <w:p w14:paraId="3B104FBA">
            <w:pPr>
              <w:spacing w:before="0" w:after="0" w:line="240" w:lineRule="auto"/>
              <w:jc w:val="center"/>
            </w:pPr>
            <w:r>
              <w:rPr>
                <w:rFonts w:ascii="Arial" w:hAnsi="Arial" w:eastAsia="Arial"/>
                <w:b w:val="0"/>
                <w:i w:val="0"/>
                <w:sz w:val="13"/>
              </w:rPr>
              <w:t>&lt;0.001</w:t>
            </w:r>
          </w:p>
        </w:tc>
        <w:tc>
          <w:tcPr>
            <w:tcW w:w="1944" w:type="dxa"/>
            <w:shd w:val="clear" w:color="auto" w:fill="F6F8FA"/>
            <w:tcMar>
              <w:top w:w="50" w:type="dxa"/>
              <w:left w:w="55" w:type="dxa"/>
              <w:bottom w:w="50" w:type="dxa"/>
              <w:right w:w="55" w:type="dxa"/>
            </w:tcMar>
            <w:vAlign w:val="top"/>
          </w:tcPr>
          <w:p w14:paraId="2442B512">
            <w:pPr>
              <w:spacing w:before="0" w:after="0" w:line="240" w:lineRule="auto"/>
              <w:jc w:val="left"/>
            </w:pPr>
            <w:r>
              <w:rPr>
                <w:rFonts w:ascii="Arial" w:hAnsi="Arial" w:eastAsia="Arial"/>
                <w:b w:val="0"/>
                <w:i w:val="0"/>
                <w:sz w:val="13"/>
              </w:rPr>
              <w:t>N=26,489; events=2,792</w:t>
            </w:r>
          </w:p>
        </w:tc>
        <w:tc>
          <w:tcPr>
            <w:tcW w:w="3671" w:type="dxa"/>
            <w:shd w:val="clear" w:color="auto" w:fill="F6F8FA"/>
            <w:tcMar>
              <w:top w:w="50" w:type="dxa"/>
              <w:left w:w="55" w:type="dxa"/>
              <w:bottom w:w="50" w:type="dxa"/>
              <w:right w:w="55" w:type="dxa"/>
            </w:tcMar>
            <w:vAlign w:val="top"/>
          </w:tcPr>
          <w:p w14:paraId="64515B54">
            <w:pPr>
              <w:spacing w:before="0" w:after="0" w:line="240" w:lineRule="auto"/>
              <w:jc w:val="left"/>
            </w:pPr>
            <w:r>
              <w:rPr>
                <w:rFonts w:ascii="Arial" w:hAnsi="Arial" w:eastAsia="Arial"/>
                <w:b w:val="0"/>
                <w:i w:val="0"/>
                <w:sz w:val="13"/>
              </w:rPr>
              <w:t>Selection on measured predictors of outcome observability did not explain the deviation association.</w:t>
            </w:r>
          </w:p>
        </w:tc>
      </w:tr>
      <w:tr w14:paraId="3D2CB156">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6909EB81">
            <w:pPr>
              <w:spacing w:before="0" w:after="0" w:line="240" w:lineRule="auto"/>
              <w:jc w:val="center"/>
            </w:pPr>
            <w:r>
              <w:rPr>
                <w:rFonts w:ascii="Arial" w:hAnsi="Arial" w:eastAsia="Arial"/>
                <w:b w:val="0"/>
                <w:i w:val="0"/>
                <w:sz w:val="13"/>
              </w:rPr>
              <w:t>SHARE</w:t>
            </w:r>
          </w:p>
        </w:tc>
        <w:tc>
          <w:tcPr>
            <w:tcW w:w="2232" w:type="dxa"/>
            <w:shd w:val="clear" w:color="auto" w:fill="FFFFFF"/>
            <w:tcMar>
              <w:top w:w="50" w:type="dxa"/>
              <w:left w:w="55" w:type="dxa"/>
              <w:bottom w:w="50" w:type="dxa"/>
              <w:right w:w="55" w:type="dxa"/>
            </w:tcMar>
            <w:vAlign w:val="top"/>
          </w:tcPr>
          <w:p w14:paraId="0FB3F75E">
            <w:pPr>
              <w:spacing w:before="0" w:after="0" w:line="240" w:lineRule="auto"/>
              <w:jc w:val="left"/>
            </w:pPr>
            <w:r>
              <w:rPr>
                <w:rFonts w:ascii="Arial" w:hAnsi="Arial" w:eastAsia="Arial"/>
                <w:b w:val="0"/>
                <w:i w:val="0"/>
                <w:sz w:val="13"/>
              </w:rPr>
              <w:t>SHARE observation-IPW robustness</w:t>
            </w:r>
          </w:p>
        </w:tc>
        <w:tc>
          <w:tcPr>
            <w:tcW w:w="2376" w:type="dxa"/>
            <w:shd w:val="clear" w:color="auto" w:fill="FFFFFF"/>
            <w:tcMar>
              <w:top w:w="50" w:type="dxa"/>
              <w:left w:w="55" w:type="dxa"/>
              <w:bottom w:w="50" w:type="dxa"/>
              <w:right w:w="55" w:type="dxa"/>
            </w:tcMar>
            <w:vAlign w:val="top"/>
          </w:tcPr>
          <w:p w14:paraId="3C452A49">
            <w:pPr>
              <w:spacing w:before="0" w:after="0" w:line="240" w:lineRule="auto"/>
              <w:jc w:val="left"/>
            </w:pPr>
            <w:r>
              <w:rPr>
                <w:rFonts w:ascii="Arial" w:hAnsi="Arial" w:eastAsia="Arial"/>
                <w:b w:val="0"/>
                <w:i w:val="0"/>
                <w:sz w:val="13"/>
              </w:rPr>
              <w:t>Observation-IPW history versus deviation coefficient</w:t>
            </w:r>
          </w:p>
        </w:tc>
        <w:tc>
          <w:tcPr>
            <w:tcW w:w="1728" w:type="dxa"/>
            <w:shd w:val="clear" w:color="auto" w:fill="FFFFFF"/>
            <w:tcMar>
              <w:top w:w="50" w:type="dxa"/>
              <w:left w:w="55" w:type="dxa"/>
              <w:bottom w:w="50" w:type="dxa"/>
              <w:right w:w="55" w:type="dxa"/>
            </w:tcMar>
            <w:vAlign w:val="top"/>
          </w:tcPr>
          <w:p w14:paraId="76A51033">
            <w:pPr>
              <w:spacing w:before="0" w:after="0" w:line="240" w:lineRule="auto"/>
              <w:jc w:val="center"/>
            </w:pPr>
            <w:r>
              <w:rPr>
                <w:rFonts w:ascii="Arial" w:hAnsi="Arial" w:eastAsia="Arial"/>
                <w:b w:val="0"/>
                <w:i w:val="0"/>
                <w:sz w:val="13"/>
              </w:rPr>
              <w:t>Beta difference</w:t>
            </w:r>
          </w:p>
        </w:tc>
        <w:tc>
          <w:tcPr>
            <w:tcW w:w="1728" w:type="dxa"/>
            <w:shd w:val="clear" w:color="auto" w:fill="FFFFFF"/>
            <w:tcMar>
              <w:top w:w="50" w:type="dxa"/>
              <w:left w:w="55" w:type="dxa"/>
              <w:bottom w:w="50" w:type="dxa"/>
              <w:right w:w="55" w:type="dxa"/>
            </w:tcMar>
            <w:vAlign w:val="top"/>
          </w:tcPr>
          <w:p w14:paraId="7A4A3F05">
            <w:pPr>
              <w:spacing w:before="0" w:after="0" w:line="240" w:lineRule="auto"/>
              <w:jc w:val="center"/>
            </w:pPr>
            <w:r>
              <w:rPr>
                <w:rFonts w:ascii="Arial" w:hAnsi="Arial" w:eastAsia="Arial"/>
                <w:b w:val="0"/>
                <w:i w:val="0"/>
                <w:sz w:val="13"/>
              </w:rPr>
              <w:t>0.072 (0.018–0.125)</w:t>
            </w:r>
          </w:p>
        </w:tc>
        <w:tc>
          <w:tcPr>
            <w:tcW w:w="936" w:type="dxa"/>
            <w:shd w:val="clear" w:color="auto" w:fill="FFFFFF"/>
            <w:tcMar>
              <w:top w:w="50" w:type="dxa"/>
              <w:left w:w="55" w:type="dxa"/>
              <w:bottom w:w="50" w:type="dxa"/>
              <w:right w:w="55" w:type="dxa"/>
            </w:tcMar>
            <w:vAlign w:val="top"/>
          </w:tcPr>
          <w:p w14:paraId="5766E0F2">
            <w:pPr>
              <w:spacing w:before="0" w:after="0" w:line="240" w:lineRule="auto"/>
              <w:jc w:val="center"/>
            </w:pPr>
            <w:r>
              <w:rPr>
                <w:rFonts w:ascii="Arial" w:hAnsi="Arial" w:eastAsia="Arial"/>
                <w:b w:val="0"/>
                <w:i w:val="0"/>
                <w:sz w:val="13"/>
              </w:rPr>
              <w:t>0.009</w:t>
            </w:r>
          </w:p>
        </w:tc>
        <w:tc>
          <w:tcPr>
            <w:tcW w:w="1944" w:type="dxa"/>
            <w:shd w:val="clear" w:color="auto" w:fill="FFFFFF"/>
            <w:tcMar>
              <w:top w:w="50" w:type="dxa"/>
              <w:left w:w="55" w:type="dxa"/>
              <w:bottom w:w="50" w:type="dxa"/>
              <w:right w:w="55" w:type="dxa"/>
            </w:tcMar>
            <w:vAlign w:val="top"/>
          </w:tcPr>
          <w:p w14:paraId="40536E9F">
            <w:pPr>
              <w:spacing w:before="0" w:after="0" w:line="240" w:lineRule="auto"/>
              <w:jc w:val="left"/>
            </w:pPr>
            <w:r>
              <w:rPr>
                <w:rFonts w:ascii="Arial" w:hAnsi="Arial" w:eastAsia="Arial"/>
                <w:b w:val="0"/>
                <w:i w:val="0"/>
                <w:sz w:val="13"/>
              </w:rPr>
              <w:t>N=26,489; events=2,792</w:t>
            </w:r>
          </w:p>
        </w:tc>
        <w:tc>
          <w:tcPr>
            <w:tcW w:w="3671" w:type="dxa"/>
            <w:shd w:val="clear" w:color="auto" w:fill="FFFFFF"/>
            <w:tcMar>
              <w:top w:w="50" w:type="dxa"/>
              <w:left w:w="55" w:type="dxa"/>
              <w:bottom w:w="50" w:type="dxa"/>
              <w:right w:w="55" w:type="dxa"/>
            </w:tcMar>
            <w:vAlign w:val="top"/>
          </w:tcPr>
          <w:p w14:paraId="75467D7C">
            <w:pPr>
              <w:spacing w:before="0" w:after="0" w:line="240" w:lineRule="auto"/>
              <w:jc w:val="left"/>
            </w:pPr>
            <w:r>
              <w:rPr>
                <w:rFonts w:ascii="Arial" w:hAnsi="Arial" w:eastAsia="Arial"/>
                <w:b w:val="0"/>
                <w:i w:val="0"/>
                <w:sz w:val="13"/>
              </w:rPr>
              <w:t>Prior burden remained stronger after correction for measured outcome observability.</w:t>
            </w:r>
          </w:p>
        </w:tc>
      </w:tr>
      <w:tr w14:paraId="71E05860">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41195D30">
            <w:pPr>
              <w:spacing w:before="0" w:after="0" w:line="240" w:lineRule="auto"/>
              <w:jc w:val="center"/>
            </w:pPr>
            <w:r>
              <w:rPr>
                <w:rFonts w:ascii="Arial" w:hAnsi="Arial" w:eastAsia="Arial"/>
                <w:b w:val="0"/>
                <w:i w:val="0"/>
                <w:sz w:val="13"/>
              </w:rPr>
              <w:t>SHARE</w:t>
            </w:r>
          </w:p>
        </w:tc>
        <w:tc>
          <w:tcPr>
            <w:tcW w:w="2232" w:type="dxa"/>
            <w:shd w:val="clear" w:color="auto" w:fill="F6F8FA"/>
            <w:tcMar>
              <w:top w:w="50" w:type="dxa"/>
              <w:left w:w="55" w:type="dxa"/>
              <w:bottom w:w="50" w:type="dxa"/>
              <w:right w:w="55" w:type="dxa"/>
            </w:tcMar>
            <w:vAlign w:val="top"/>
          </w:tcPr>
          <w:p w14:paraId="08279340">
            <w:pPr>
              <w:spacing w:before="0" w:after="0" w:line="240" w:lineRule="auto"/>
              <w:jc w:val="left"/>
            </w:pPr>
            <w:r>
              <w:rPr>
                <w:rFonts w:ascii="Arial" w:hAnsi="Arial" w:eastAsia="Arial"/>
                <w:b w:val="0"/>
                <w:i w:val="0"/>
                <w:sz w:val="13"/>
              </w:rPr>
              <w:t>Exclude first risk interval</w:t>
            </w:r>
          </w:p>
        </w:tc>
        <w:tc>
          <w:tcPr>
            <w:tcW w:w="2376" w:type="dxa"/>
            <w:shd w:val="clear" w:color="auto" w:fill="F6F8FA"/>
            <w:tcMar>
              <w:top w:w="50" w:type="dxa"/>
              <w:left w:w="55" w:type="dxa"/>
              <w:bottom w:w="50" w:type="dxa"/>
              <w:right w:w="55" w:type="dxa"/>
            </w:tcMar>
            <w:vAlign w:val="top"/>
          </w:tcPr>
          <w:p w14:paraId="3235243E">
            <w:pPr>
              <w:spacing w:before="0" w:after="0" w:line="240" w:lineRule="auto"/>
              <w:jc w:val="left"/>
            </w:pPr>
            <w:r>
              <w:rPr>
                <w:rFonts w:ascii="Arial" w:hAnsi="Arial" w:eastAsia="Arial"/>
                <w:b w:val="0"/>
                <w:i w:val="0"/>
                <w:sz w:val="13"/>
              </w:rPr>
              <w:t>Prior burden</w:t>
            </w:r>
          </w:p>
        </w:tc>
        <w:tc>
          <w:tcPr>
            <w:tcW w:w="1728" w:type="dxa"/>
            <w:shd w:val="clear" w:color="auto" w:fill="F6F8FA"/>
            <w:tcMar>
              <w:top w:w="50" w:type="dxa"/>
              <w:left w:w="55" w:type="dxa"/>
              <w:bottom w:w="50" w:type="dxa"/>
              <w:right w:w="55" w:type="dxa"/>
            </w:tcMar>
            <w:vAlign w:val="top"/>
          </w:tcPr>
          <w:p w14:paraId="54CD620B">
            <w:pPr>
              <w:spacing w:before="0" w:after="0" w:line="240" w:lineRule="auto"/>
              <w:jc w:val="center"/>
            </w:pPr>
            <w:r>
              <w:rPr>
                <w:rFonts w:ascii="Arial" w:hAnsi="Arial" w:eastAsia="Arial"/>
                <w:b w:val="0"/>
                <w:i w:val="0"/>
                <w:sz w:val="13"/>
              </w:rPr>
              <w:t>HR</w:t>
            </w:r>
          </w:p>
        </w:tc>
        <w:tc>
          <w:tcPr>
            <w:tcW w:w="1728" w:type="dxa"/>
            <w:shd w:val="clear" w:color="auto" w:fill="F6F8FA"/>
            <w:tcMar>
              <w:top w:w="50" w:type="dxa"/>
              <w:left w:w="55" w:type="dxa"/>
              <w:bottom w:w="50" w:type="dxa"/>
              <w:right w:w="55" w:type="dxa"/>
            </w:tcMar>
            <w:vAlign w:val="top"/>
          </w:tcPr>
          <w:p w14:paraId="4C933644">
            <w:pPr>
              <w:spacing w:before="0" w:after="0" w:line="240" w:lineRule="auto"/>
              <w:jc w:val="center"/>
            </w:pPr>
            <w:r>
              <w:rPr>
                <w:rFonts w:ascii="Arial" w:hAnsi="Arial" w:eastAsia="Arial"/>
                <w:b w:val="0"/>
                <w:i w:val="0"/>
                <w:sz w:val="13"/>
              </w:rPr>
              <w:t>1.228 (1.167–1.293)</w:t>
            </w:r>
          </w:p>
        </w:tc>
        <w:tc>
          <w:tcPr>
            <w:tcW w:w="936" w:type="dxa"/>
            <w:shd w:val="clear" w:color="auto" w:fill="F6F8FA"/>
            <w:tcMar>
              <w:top w:w="50" w:type="dxa"/>
              <w:left w:w="55" w:type="dxa"/>
              <w:bottom w:w="50" w:type="dxa"/>
              <w:right w:w="55" w:type="dxa"/>
            </w:tcMar>
            <w:vAlign w:val="top"/>
          </w:tcPr>
          <w:p w14:paraId="0B0094F8">
            <w:pPr>
              <w:spacing w:before="0" w:after="0" w:line="240" w:lineRule="auto"/>
              <w:jc w:val="center"/>
            </w:pPr>
            <w:r>
              <w:rPr>
                <w:rFonts w:ascii="Arial" w:hAnsi="Arial" w:eastAsia="Arial"/>
                <w:b w:val="0"/>
                <w:i w:val="0"/>
                <w:sz w:val="13"/>
              </w:rPr>
              <w:t>&lt;0.001</w:t>
            </w:r>
          </w:p>
        </w:tc>
        <w:tc>
          <w:tcPr>
            <w:tcW w:w="1944" w:type="dxa"/>
            <w:shd w:val="clear" w:color="auto" w:fill="F6F8FA"/>
            <w:tcMar>
              <w:top w:w="50" w:type="dxa"/>
              <w:left w:w="55" w:type="dxa"/>
              <w:bottom w:w="50" w:type="dxa"/>
              <w:right w:w="55" w:type="dxa"/>
            </w:tcMar>
            <w:vAlign w:val="top"/>
          </w:tcPr>
          <w:p w14:paraId="0750466F">
            <w:pPr>
              <w:spacing w:before="0" w:after="0" w:line="240" w:lineRule="auto"/>
              <w:jc w:val="left"/>
            </w:pPr>
            <w:r>
              <w:rPr>
                <w:rFonts w:ascii="Arial" w:hAnsi="Arial" w:eastAsia="Arial"/>
                <w:b w:val="0"/>
                <w:i w:val="0"/>
                <w:sz w:val="13"/>
              </w:rPr>
              <w:t>N=24,838; events=2,490</w:t>
            </w:r>
          </w:p>
        </w:tc>
        <w:tc>
          <w:tcPr>
            <w:tcW w:w="3671" w:type="dxa"/>
            <w:shd w:val="clear" w:color="auto" w:fill="F6F8FA"/>
            <w:tcMar>
              <w:top w:w="50" w:type="dxa"/>
              <w:left w:w="55" w:type="dxa"/>
              <w:bottom w:w="50" w:type="dxa"/>
              <w:right w:w="55" w:type="dxa"/>
            </w:tcMar>
            <w:vAlign w:val="top"/>
          </w:tcPr>
          <w:p w14:paraId="042D1E06">
            <w:pPr>
              <w:spacing w:before="0" w:after="0" w:line="240" w:lineRule="auto"/>
              <w:jc w:val="left"/>
            </w:pPr>
            <w:r>
              <w:rPr>
                <w:rFonts w:ascii="Arial" w:hAnsi="Arial" w:eastAsia="Arial"/>
                <w:b w:val="0"/>
                <w:i w:val="0"/>
                <w:sz w:val="13"/>
              </w:rPr>
              <w:t>Direction and magnitude remained compatible with the primary SHARE model.</w:t>
            </w:r>
          </w:p>
        </w:tc>
      </w:tr>
      <w:tr w14:paraId="58DE5122">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6C116AB9">
            <w:pPr>
              <w:spacing w:before="0" w:after="0" w:line="240" w:lineRule="auto"/>
              <w:jc w:val="center"/>
            </w:pPr>
            <w:r>
              <w:rPr>
                <w:rFonts w:ascii="Arial" w:hAnsi="Arial" w:eastAsia="Arial"/>
                <w:b w:val="0"/>
                <w:i w:val="0"/>
                <w:sz w:val="13"/>
              </w:rPr>
              <w:t>SHARE</w:t>
            </w:r>
          </w:p>
        </w:tc>
        <w:tc>
          <w:tcPr>
            <w:tcW w:w="2232" w:type="dxa"/>
            <w:shd w:val="clear" w:color="auto" w:fill="FFFFFF"/>
            <w:tcMar>
              <w:top w:w="50" w:type="dxa"/>
              <w:left w:w="55" w:type="dxa"/>
              <w:bottom w:w="50" w:type="dxa"/>
              <w:right w:w="55" w:type="dxa"/>
            </w:tcMar>
            <w:vAlign w:val="top"/>
          </w:tcPr>
          <w:p w14:paraId="61407DCA">
            <w:pPr>
              <w:spacing w:before="0" w:after="0" w:line="240" w:lineRule="auto"/>
              <w:jc w:val="left"/>
            </w:pPr>
            <w:r>
              <w:rPr>
                <w:rFonts w:ascii="Arial" w:hAnsi="Arial" w:eastAsia="Arial"/>
                <w:b w:val="0"/>
                <w:i w:val="0"/>
                <w:sz w:val="13"/>
              </w:rPr>
              <w:t>Exclude first risk interval</w:t>
            </w:r>
          </w:p>
        </w:tc>
        <w:tc>
          <w:tcPr>
            <w:tcW w:w="2376" w:type="dxa"/>
            <w:shd w:val="clear" w:color="auto" w:fill="FFFFFF"/>
            <w:tcMar>
              <w:top w:w="50" w:type="dxa"/>
              <w:left w:w="55" w:type="dxa"/>
              <w:bottom w:w="50" w:type="dxa"/>
              <w:right w:w="55" w:type="dxa"/>
            </w:tcMar>
            <w:vAlign w:val="top"/>
          </w:tcPr>
          <w:p w14:paraId="1DBD3AEC">
            <w:pPr>
              <w:spacing w:before="0" w:after="0" w:line="240" w:lineRule="auto"/>
              <w:jc w:val="left"/>
            </w:pPr>
            <w:r>
              <w:rPr>
                <w:rFonts w:ascii="Arial" w:hAnsi="Arial" w:eastAsia="Arial"/>
                <w:b w:val="0"/>
                <w:i w:val="0"/>
                <w:sz w:val="13"/>
              </w:rPr>
              <w:t>Current deviation</w:t>
            </w:r>
          </w:p>
        </w:tc>
        <w:tc>
          <w:tcPr>
            <w:tcW w:w="1728" w:type="dxa"/>
            <w:shd w:val="clear" w:color="auto" w:fill="FFFFFF"/>
            <w:tcMar>
              <w:top w:w="50" w:type="dxa"/>
              <w:left w:w="55" w:type="dxa"/>
              <w:bottom w:w="50" w:type="dxa"/>
              <w:right w:w="55" w:type="dxa"/>
            </w:tcMar>
            <w:vAlign w:val="top"/>
          </w:tcPr>
          <w:p w14:paraId="4A38643B">
            <w:pPr>
              <w:spacing w:before="0" w:after="0" w:line="240" w:lineRule="auto"/>
              <w:jc w:val="center"/>
            </w:pPr>
            <w:r>
              <w:rPr>
                <w:rFonts w:ascii="Arial" w:hAnsi="Arial" w:eastAsia="Arial"/>
                <w:b w:val="0"/>
                <w:i w:val="0"/>
                <w:sz w:val="13"/>
              </w:rPr>
              <w:t>HR</w:t>
            </w:r>
          </w:p>
        </w:tc>
        <w:tc>
          <w:tcPr>
            <w:tcW w:w="1728" w:type="dxa"/>
            <w:shd w:val="clear" w:color="auto" w:fill="FFFFFF"/>
            <w:tcMar>
              <w:top w:w="50" w:type="dxa"/>
              <w:left w:w="55" w:type="dxa"/>
              <w:bottom w:w="50" w:type="dxa"/>
              <w:right w:w="55" w:type="dxa"/>
            </w:tcMar>
            <w:vAlign w:val="top"/>
          </w:tcPr>
          <w:p w14:paraId="7F937C8F">
            <w:pPr>
              <w:spacing w:before="0" w:after="0" w:line="240" w:lineRule="auto"/>
              <w:jc w:val="center"/>
            </w:pPr>
            <w:r>
              <w:rPr>
                <w:rFonts w:ascii="Arial" w:hAnsi="Arial" w:eastAsia="Arial"/>
                <w:b w:val="0"/>
                <w:i w:val="0"/>
                <w:sz w:val="13"/>
              </w:rPr>
              <w:t>1.132 (1.082–1.186)</w:t>
            </w:r>
          </w:p>
        </w:tc>
        <w:tc>
          <w:tcPr>
            <w:tcW w:w="936" w:type="dxa"/>
            <w:shd w:val="clear" w:color="auto" w:fill="FFFFFF"/>
            <w:tcMar>
              <w:top w:w="50" w:type="dxa"/>
              <w:left w:w="55" w:type="dxa"/>
              <w:bottom w:w="50" w:type="dxa"/>
              <w:right w:w="55" w:type="dxa"/>
            </w:tcMar>
            <w:vAlign w:val="top"/>
          </w:tcPr>
          <w:p w14:paraId="68F92570">
            <w:pPr>
              <w:spacing w:before="0" w:after="0" w:line="240" w:lineRule="auto"/>
              <w:jc w:val="center"/>
            </w:pPr>
            <w:r>
              <w:rPr>
                <w:rFonts w:ascii="Arial" w:hAnsi="Arial" w:eastAsia="Arial"/>
                <w:b w:val="0"/>
                <w:i w:val="0"/>
                <w:sz w:val="13"/>
              </w:rPr>
              <w:t>&lt;0.001</w:t>
            </w:r>
          </w:p>
        </w:tc>
        <w:tc>
          <w:tcPr>
            <w:tcW w:w="1944" w:type="dxa"/>
            <w:shd w:val="clear" w:color="auto" w:fill="FFFFFF"/>
            <w:tcMar>
              <w:top w:w="50" w:type="dxa"/>
              <w:left w:w="55" w:type="dxa"/>
              <w:bottom w:w="50" w:type="dxa"/>
              <w:right w:w="55" w:type="dxa"/>
            </w:tcMar>
            <w:vAlign w:val="top"/>
          </w:tcPr>
          <w:p w14:paraId="0075C899">
            <w:pPr>
              <w:spacing w:before="0" w:after="0" w:line="240" w:lineRule="auto"/>
              <w:jc w:val="left"/>
            </w:pPr>
            <w:r>
              <w:rPr>
                <w:rFonts w:ascii="Arial" w:hAnsi="Arial" w:eastAsia="Arial"/>
                <w:b w:val="0"/>
                <w:i w:val="0"/>
                <w:sz w:val="13"/>
              </w:rPr>
              <w:t>N=24,838; events=2,490</w:t>
            </w:r>
          </w:p>
        </w:tc>
        <w:tc>
          <w:tcPr>
            <w:tcW w:w="3671" w:type="dxa"/>
            <w:shd w:val="clear" w:color="auto" w:fill="FFFFFF"/>
            <w:tcMar>
              <w:top w:w="50" w:type="dxa"/>
              <w:left w:w="55" w:type="dxa"/>
              <w:bottom w:w="50" w:type="dxa"/>
              <w:right w:w="55" w:type="dxa"/>
            </w:tcMar>
            <w:vAlign w:val="top"/>
          </w:tcPr>
          <w:p w14:paraId="2C2F8FF4">
            <w:pPr>
              <w:spacing w:before="0" w:after="0" w:line="240" w:lineRule="auto"/>
              <w:jc w:val="left"/>
            </w:pPr>
            <w:r>
              <w:rPr>
                <w:rFonts w:ascii="Arial" w:hAnsi="Arial" w:eastAsia="Arial"/>
                <w:b w:val="0"/>
                <w:i w:val="0"/>
                <w:sz w:val="13"/>
              </w:rPr>
              <w:t>Direction and magnitude remained compatible with the primary SHARE model.</w:t>
            </w:r>
          </w:p>
        </w:tc>
      </w:tr>
      <w:tr w14:paraId="7AD840E0">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1EB60700">
            <w:pPr>
              <w:spacing w:before="0" w:after="0" w:line="240" w:lineRule="auto"/>
              <w:jc w:val="center"/>
            </w:pPr>
            <w:r>
              <w:rPr>
                <w:rFonts w:ascii="Arial" w:hAnsi="Arial" w:eastAsia="Arial"/>
                <w:b w:val="0"/>
                <w:i w:val="0"/>
                <w:sz w:val="13"/>
              </w:rPr>
              <w:t>SHARE</w:t>
            </w:r>
          </w:p>
        </w:tc>
        <w:tc>
          <w:tcPr>
            <w:tcW w:w="2232" w:type="dxa"/>
            <w:shd w:val="clear" w:color="auto" w:fill="F6F8FA"/>
            <w:tcMar>
              <w:top w:w="50" w:type="dxa"/>
              <w:left w:w="55" w:type="dxa"/>
              <w:bottom w:w="50" w:type="dxa"/>
              <w:right w:w="55" w:type="dxa"/>
            </w:tcMar>
            <w:vAlign w:val="top"/>
          </w:tcPr>
          <w:p w14:paraId="24F8B62B">
            <w:pPr>
              <w:spacing w:before="0" w:after="0" w:line="240" w:lineRule="auto"/>
              <w:jc w:val="left"/>
            </w:pPr>
            <w:r>
              <w:rPr>
                <w:rFonts w:ascii="Arial" w:hAnsi="Arial" w:eastAsia="Arial"/>
                <w:b w:val="0"/>
                <w:i w:val="0"/>
                <w:sz w:val="13"/>
              </w:rPr>
              <w:t>Country-clustered robust standard errors</w:t>
            </w:r>
          </w:p>
        </w:tc>
        <w:tc>
          <w:tcPr>
            <w:tcW w:w="2376" w:type="dxa"/>
            <w:shd w:val="clear" w:color="auto" w:fill="F6F8FA"/>
            <w:tcMar>
              <w:top w:w="50" w:type="dxa"/>
              <w:left w:w="55" w:type="dxa"/>
              <w:bottom w:w="50" w:type="dxa"/>
              <w:right w:w="55" w:type="dxa"/>
            </w:tcMar>
            <w:vAlign w:val="top"/>
          </w:tcPr>
          <w:p w14:paraId="68A3B37C">
            <w:pPr>
              <w:spacing w:before="0" w:after="0" w:line="240" w:lineRule="auto"/>
              <w:jc w:val="left"/>
            </w:pPr>
            <w:r>
              <w:rPr>
                <w:rFonts w:ascii="Arial" w:hAnsi="Arial" w:eastAsia="Arial"/>
                <w:b w:val="0"/>
                <w:i w:val="0"/>
                <w:sz w:val="13"/>
              </w:rPr>
              <w:t>Prior burden</w:t>
            </w:r>
          </w:p>
        </w:tc>
        <w:tc>
          <w:tcPr>
            <w:tcW w:w="1728" w:type="dxa"/>
            <w:shd w:val="clear" w:color="auto" w:fill="F6F8FA"/>
            <w:tcMar>
              <w:top w:w="50" w:type="dxa"/>
              <w:left w:w="55" w:type="dxa"/>
              <w:bottom w:w="50" w:type="dxa"/>
              <w:right w:w="55" w:type="dxa"/>
            </w:tcMar>
            <w:vAlign w:val="top"/>
          </w:tcPr>
          <w:p w14:paraId="26247867">
            <w:pPr>
              <w:spacing w:before="0" w:after="0" w:line="240" w:lineRule="auto"/>
              <w:jc w:val="center"/>
            </w:pPr>
            <w:r>
              <w:rPr>
                <w:rFonts w:ascii="Arial" w:hAnsi="Arial" w:eastAsia="Arial"/>
                <w:b w:val="0"/>
                <w:i w:val="0"/>
                <w:sz w:val="13"/>
              </w:rPr>
              <w:t>HR</w:t>
            </w:r>
          </w:p>
        </w:tc>
        <w:tc>
          <w:tcPr>
            <w:tcW w:w="1728" w:type="dxa"/>
            <w:shd w:val="clear" w:color="auto" w:fill="F6F8FA"/>
            <w:tcMar>
              <w:top w:w="50" w:type="dxa"/>
              <w:left w:w="55" w:type="dxa"/>
              <w:bottom w:w="50" w:type="dxa"/>
              <w:right w:w="55" w:type="dxa"/>
            </w:tcMar>
            <w:vAlign w:val="top"/>
          </w:tcPr>
          <w:p w14:paraId="17E4AB9B">
            <w:pPr>
              <w:spacing w:before="0" w:after="0" w:line="240" w:lineRule="auto"/>
              <w:jc w:val="center"/>
            </w:pPr>
            <w:r>
              <w:rPr>
                <w:rFonts w:ascii="Arial" w:hAnsi="Arial" w:eastAsia="Arial"/>
                <w:b w:val="0"/>
                <w:i w:val="0"/>
                <w:sz w:val="13"/>
              </w:rPr>
              <w:t>1.231 (1.166–1.299)</w:t>
            </w:r>
          </w:p>
        </w:tc>
        <w:tc>
          <w:tcPr>
            <w:tcW w:w="936" w:type="dxa"/>
            <w:shd w:val="clear" w:color="auto" w:fill="F6F8FA"/>
            <w:tcMar>
              <w:top w:w="50" w:type="dxa"/>
              <w:left w:w="55" w:type="dxa"/>
              <w:bottom w:w="50" w:type="dxa"/>
              <w:right w:w="55" w:type="dxa"/>
            </w:tcMar>
            <w:vAlign w:val="top"/>
          </w:tcPr>
          <w:p w14:paraId="0BCE7554">
            <w:pPr>
              <w:spacing w:before="0" w:after="0" w:line="240" w:lineRule="auto"/>
              <w:jc w:val="center"/>
            </w:pPr>
            <w:r>
              <w:rPr>
                <w:rFonts w:ascii="Arial" w:hAnsi="Arial" w:eastAsia="Arial"/>
                <w:b w:val="0"/>
                <w:i w:val="0"/>
                <w:sz w:val="13"/>
              </w:rPr>
              <w:t>&lt;0.001</w:t>
            </w:r>
          </w:p>
        </w:tc>
        <w:tc>
          <w:tcPr>
            <w:tcW w:w="1944" w:type="dxa"/>
            <w:shd w:val="clear" w:color="auto" w:fill="F6F8FA"/>
            <w:tcMar>
              <w:top w:w="50" w:type="dxa"/>
              <w:left w:w="55" w:type="dxa"/>
              <w:bottom w:w="50" w:type="dxa"/>
              <w:right w:w="55" w:type="dxa"/>
            </w:tcMar>
            <w:vAlign w:val="top"/>
          </w:tcPr>
          <w:p w14:paraId="098C80ED">
            <w:pPr>
              <w:spacing w:before="0" w:after="0" w:line="240" w:lineRule="auto"/>
              <w:jc w:val="left"/>
            </w:pPr>
            <w:r>
              <w:rPr>
                <w:rFonts w:ascii="Arial" w:hAnsi="Arial" w:eastAsia="Arial"/>
                <w:b w:val="0"/>
                <w:i w:val="0"/>
                <w:sz w:val="13"/>
              </w:rPr>
              <w:t>N=26,489; events=2,792</w:t>
            </w:r>
          </w:p>
        </w:tc>
        <w:tc>
          <w:tcPr>
            <w:tcW w:w="3671" w:type="dxa"/>
            <w:shd w:val="clear" w:color="auto" w:fill="F6F8FA"/>
            <w:tcMar>
              <w:top w:w="50" w:type="dxa"/>
              <w:left w:w="55" w:type="dxa"/>
              <w:bottom w:w="50" w:type="dxa"/>
              <w:right w:w="55" w:type="dxa"/>
            </w:tcMar>
            <w:vAlign w:val="top"/>
          </w:tcPr>
          <w:p w14:paraId="37A0F13B">
            <w:pPr>
              <w:spacing w:before="0" w:after="0" w:line="240" w:lineRule="auto"/>
              <w:jc w:val="left"/>
            </w:pPr>
            <w:r>
              <w:rPr>
                <w:rFonts w:ascii="Arial" w:hAnsi="Arial" w:eastAsia="Arial"/>
                <w:b w:val="0"/>
                <w:i w:val="0"/>
                <w:sz w:val="13"/>
              </w:rPr>
              <w:t>Direction and magnitude remained compatible with the primary SHARE model.</w:t>
            </w:r>
          </w:p>
        </w:tc>
      </w:tr>
      <w:tr w14:paraId="256CF194">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2C95FE0C">
            <w:pPr>
              <w:spacing w:before="0" w:after="0" w:line="240" w:lineRule="auto"/>
              <w:jc w:val="center"/>
            </w:pPr>
            <w:r>
              <w:rPr>
                <w:rFonts w:ascii="Arial" w:hAnsi="Arial" w:eastAsia="Arial"/>
                <w:b w:val="0"/>
                <w:i w:val="0"/>
                <w:sz w:val="13"/>
              </w:rPr>
              <w:t>SHARE</w:t>
            </w:r>
          </w:p>
        </w:tc>
        <w:tc>
          <w:tcPr>
            <w:tcW w:w="2232" w:type="dxa"/>
            <w:shd w:val="clear" w:color="auto" w:fill="FFFFFF"/>
            <w:tcMar>
              <w:top w:w="50" w:type="dxa"/>
              <w:left w:w="55" w:type="dxa"/>
              <w:bottom w:w="50" w:type="dxa"/>
              <w:right w:w="55" w:type="dxa"/>
            </w:tcMar>
            <w:vAlign w:val="top"/>
          </w:tcPr>
          <w:p w14:paraId="715B6F8A">
            <w:pPr>
              <w:spacing w:before="0" w:after="0" w:line="240" w:lineRule="auto"/>
              <w:jc w:val="left"/>
            </w:pPr>
            <w:r>
              <w:rPr>
                <w:rFonts w:ascii="Arial" w:hAnsi="Arial" w:eastAsia="Arial"/>
                <w:b w:val="0"/>
                <w:i w:val="0"/>
                <w:sz w:val="13"/>
              </w:rPr>
              <w:t>Country-clustered robust standard errors</w:t>
            </w:r>
          </w:p>
        </w:tc>
        <w:tc>
          <w:tcPr>
            <w:tcW w:w="2376" w:type="dxa"/>
            <w:shd w:val="clear" w:color="auto" w:fill="FFFFFF"/>
            <w:tcMar>
              <w:top w:w="50" w:type="dxa"/>
              <w:left w:w="55" w:type="dxa"/>
              <w:bottom w:w="50" w:type="dxa"/>
              <w:right w:w="55" w:type="dxa"/>
            </w:tcMar>
            <w:vAlign w:val="top"/>
          </w:tcPr>
          <w:p w14:paraId="5040A988">
            <w:pPr>
              <w:spacing w:before="0" w:after="0" w:line="240" w:lineRule="auto"/>
              <w:jc w:val="left"/>
            </w:pPr>
            <w:r>
              <w:rPr>
                <w:rFonts w:ascii="Arial" w:hAnsi="Arial" w:eastAsia="Arial"/>
                <w:b w:val="0"/>
                <w:i w:val="0"/>
                <w:sz w:val="13"/>
              </w:rPr>
              <w:t>Current deviation</w:t>
            </w:r>
          </w:p>
        </w:tc>
        <w:tc>
          <w:tcPr>
            <w:tcW w:w="1728" w:type="dxa"/>
            <w:shd w:val="clear" w:color="auto" w:fill="FFFFFF"/>
            <w:tcMar>
              <w:top w:w="50" w:type="dxa"/>
              <w:left w:w="55" w:type="dxa"/>
              <w:bottom w:w="50" w:type="dxa"/>
              <w:right w:w="55" w:type="dxa"/>
            </w:tcMar>
            <w:vAlign w:val="top"/>
          </w:tcPr>
          <w:p w14:paraId="5E835C6E">
            <w:pPr>
              <w:spacing w:before="0" w:after="0" w:line="240" w:lineRule="auto"/>
              <w:jc w:val="center"/>
            </w:pPr>
            <w:r>
              <w:rPr>
                <w:rFonts w:ascii="Arial" w:hAnsi="Arial" w:eastAsia="Arial"/>
                <w:b w:val="0"/>
                <w:i w:val="0"/>
                <w:sz w:val="13"/>
              </w:rPr>
              <w:t>HR</w:t>
            </w:r>
          </w:p>
        </w:tc>
        <w:tc>
          <w:tcPr>
            <w:tcW w:w="1728" w:type="dxa"/>
            <w:shd w:val="clear" w:color="auto" w:fill="FFFFFF"/>
            <w:tcMar>
              <w:top w:w="50" w:type="dxa"/>
              <w:left w:w="55" w:type="dxa"/>
              <w:bottom w:w="50" w:type="dxa"/>
              <w:right w:w="55" w:type="dxa"/>
            </w:tcMar>
            <w:vAlign w:val="top"/>
          </w:tcPr>
          <w:p w14:paraId="2CF04D47">
            <w:pPr>
              <w:spacing w:before="0" w:after="0" w:line="240" w:lineRule="auto"/>
              <w:jc w:val="center"/>
            </w:pPr>
            <w:r>
              <w:rPr>
                <w:rFonts w:ascii="Arial" w:hAnsi="Arial" w:eastAsia="Arial"/>
                <w:b w:val="0"/>
                <w:i w:val="0"/>
                <w:sz w:val="13"/>
              </w:rPr>
              <w:t>1.136 (1.091–1.182)</w:t>
            </w:r>
          </w:p>
        </w:tc>
        <w:tc>
          <w:tcPr>
            <w:tcW w:w="936" w:type="dxa"/>
            <w:shd w:val="clear" w:color="auto" w:fill="FFFFFF"/>
            <w:tcMar>
              <w:top w:w="50" w:type="dxa"/>
              <w:left w:w="55" w:type="dxa"/>
              <w:bottom w:w="50" w:type="dxa"/>
              <w:right w:w="55" w:type="dxa"/>
            </w:tcMar>
            <w:vAlign w:val="top"/>
          </w:tcPr>
          <w:p w14:paraId="5062CDD2">
            <w:pPr>
              <w:spacing w:before="0" w:after="0" w:line="240" w:lineRule="auto"/>
              <w:jc w:val="center"/>
            </w:pPr>
            <w:r>
              <w:rPr>
                <w:rFonts w:ascii="Arial" w:hAnsi="Arial" w:eastAsia="Arial"/>
                <w:b w:val="0"/>
                <w:i w:val="0"/>
                <w:sz w:val="13"/>
              </w:rPr>
              <w:t>&lt;0.001</w:t>
            </w:r>
          </w:p>
        </w:tc>
        <w:tc>
          <w:tcPr>
            <w:tcW w:w="1944" w:type="dxa"/>
            <w:shd w:val="clear" w:color="auto" w:fill="FFFFFF"/>
            <w:tcMar>
              <w:top w:w="50" w:type="dxa"/>
              <w:left w:w="55" w:type="dxa"/>
              <w:bottom w:w="50" w:type="dxa"/>
              <w:right w:w="55" w:type="dxa"/>
            </w:tcMar>
            <w:vAlign w:val="top"/>
          </w:tcPr>
          <w:p w14:paraId="371D951D">
            <w:pPr>
              <w:spacing w:before="0" w:after="0" w:line="240" w:lineRule="auto"/>
              <w:jc w:val="left"/>
            </w:pPr>
            <w:r>
              <w:rPr>
                <w:rFonts w:ascii="Arial" w:hAnsi="Arial" w:eastAsia="Arial"/>
                <w:b w:val="0"/>
                <w:i w:val="0"/>
                <w:sz w:val="13"/>
              </w:rPr>
              <w:t>N=26,489; events=2,792</w:t>
            </w:r>
          </w:p>
        </w:tc>
        <w:tc>
          <w:tcPr>
            <w:tcW w:w="3671" w:type="dxa"/>
            <w:shd w:val="clear" w:color="auto" w:fill="FFFFFF"/>
            <w:tcMar>
              <w:top w:w="50" w:type="dxa"/>
              <w:left w:w="55" w:type="dxa"/>
              <w:bottom w:w="50" w:type="dxa"/>
              <w:right w:w="55" w:type="dxa"/>
            </w:tcMar>
            <w:vAlign w:val="top"/>
          </w:tcPr>
          <w:p w14:paraId="16B1F2C3">
            <w:pPr>
              <w:spacing w:before="0" w:after="0" w:line="240" w:lineRule="auto"/>
              <w:jc w:val="left"/>
            </w:pPr>
            <w:r>
              <w:rPr>
                <w:rFonts w:ascii="Arial" w:hAnsi="Arial" w:eastAsia="Arial"/>
                <w:b w:val="0"/>
                <w:i w:val="0"/>
                <w:sz w:val="13"/>
              </w:rPr>
              <w:t>Direction and magnitude remained compatible with the primary SHARE model.</w:t>
            </w:r>
          </w:p>
        </w:tc>
      </w:tr>
      <w:tr w14:paraId="5B079DEE">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634EC138">
            <w:pPr>
              <w:spacing w:before="0" w:after="0" w:line="240" w:lineRule="auto"/>
              <w:jc w:val="center"/>
            </w:pPr>
            <w:r>
              <w:rPr>
                <w:rFonts w:ascii="Arial" w:hAnsi="Arial" w:eastAsia="Arial"/>
                <w:b w:val="0"/>
                <w:i w:val="0"/>
                <w:sz w:val="13"/>
              </w:rPr>
              <w:t>SHARE</w:t>
            </w:r>
          </w:p>
        </w:tc>
        <w:tc>
          <w:tcPr>
            <w:tcW w:w="2232" w:type="dxa"/>
            <w:shd w:val="clear" w:color="auto" w:fill="F6F8FA"/>
            <w:tcMar>
              <w:top w:w="50" w:type="dxa"/>
              <w:left w:w="55" w:type="dxa"/>
              <w:bottom w:w="50" w:type="dxa"/>
              <w:right w:w="55" w:type="dxa"/>
            </w:tcMar>
            <w:vAlign w:val="top"/>
          </w:tcPr>
          <w:p w14:paraId="6CE9E96E">
            <w:pPr>
              <w:spacing w:before="0" w:after="0" w:line="240" w:lineRule="auto"/>
              <w:jc w:val="left"/>
            </w:pPr>
            <w:r>
              <w:rPr>
                <w:rFonts w:ascii="Arial" w:hAnsi="Arial" w:eastAsia="Arial"/>
                <w:b w:val="0"/>
                <w:i w:val="0"/>
                <w:sz w:val="13"/>
              </w:rPr>
              <w:t>Leave one country out</w:t>
            </w:r>
          </w:p>
        </w:tc>
        <w:tc>
          <w:tcPr>
            <w:tcW w:w="2376" w:type="dxa"/>
            <w:shd w:val="clear" w:color="auto" w:fill="F6F8FA"/>
            <w:tcMar>
              <w:top w:w="50" w:type="dxa"/>
              <w:left w:w="55" w:type="dxa"/>
              <w:bottom w:w="50" w:type="dxa"/>
              <w:right w:w="55" w:type="dxa"/>
            </w:tcMar>
            <w:vAlign w:val="top"/>
          </w:tcPr>
          <w:p w14:paraId="2734753D">
            <w:pPr>
              <w:spacing w:before="0" w:after="0" w:line="240" w:lineRule="auto"/>
              <w:jc w:val="left"/>
            </w:pPr>
            <w:r>
              <w:rPr>
                <w:rFonts w:ascii="Arial" w:hAnsi="Arial" w:eastAsia="Arial"/>
                <w:b w:val="0"/>
                <w:i w:val="0"/>
                <w:sz w:val="13"/>
              </w:rPr>
              <w:t>Prior burden</w:t>
            </w:r>
          </w:p>
        </w:tc>
        <w:tc>
          <w:tcPr>
            <w:tcW w:w="1728" w:type="dxa"/>
            <w:shd w:val="clear" w:color="auto" w:fill="F6F8FA"/>
            <w:tcMar>
              <w:top w:w="50" w:type="dxa"/>
              <w:left w:w="55" w:type="dxa"/>
              <w:bottom w:w="50" w:type="dxa"/>
              <w:right w:w="55" w:type="dxa"/>
            </w:tcMar>
            <w:vAlign w:val="top"/>
          </w:tcPr>
          <w:p w14:paraId="726A5241">
            <w:pPr>
              <w:spacing w:before="0" w:after="0" w:line="240" w:lineRule="auto"/>
              <w:jc w:val="center"/>
            </w:pPr>
            <w:r>
              <w:rPr>
                <w:rFonts w:ascii="Arial" w:hAnsi="Arial" w:eastAsia="Arial"/>
                <w:b w:val="0"/>
                <w:i w:val="0"/>
                <w:sz w:val="13"/>
              </w:rPr>
              <w:t>HR range</w:t>
            </w:r>
          </w:p>
        </w:tc>
        <w:tc>
          <w:tcPr>
            <w:tcW w:w="1728" w:type="dxa"/>
            <w:shd w:val="clear" w:color="auto" w:fill="F6F8FA"/>
            <w:tcMar>
              <w:top w:w="50" w:type="dxa"/>
              <w:left w:w="55" w:type="dxa"/>
              <w:bottom w:w="50" w:type="dxa"/>
              <w:right w:w="55" w:type="dxa"/>
            </w:tcMar>
            <w:vAlign w:val="top"/>
          </w:tcPr>
          <w:p w14:paraId="36636B3A">
            <w:pPr>
              <w:spacing w:before="0" w:after="0" w:line="240" w:lineRule="auto"/>
              <w:jc w:val="center"/>
            </w:pPr>
            <w:r>
              <w:rPr>
                <w:rFonts w:ascii="Arial" w:hAnsi="Arial" w:eastAsia="Arial"/>
                <w:b w:val="0"/>
                <w:i w:val="0"/>
                <w:sz w:val="13"/>
              </w:rPr>
              <w:t>1.210–1.247</w:t>
            </w:r>
          </w:p>
        </w:tc>
        <w:tc>
          <w:tcPr>
            <w:tcW w:w="936" w:type="dxa"/>
            <w:shd w:val="clear" w:color="auto" w:fill="F6F8FA"/>
            <w:tcMar>
              <w:top w:w="50" w:type="dxa"/>
              <w:left w:w="55" w:type="dxa"/>
              <w:bottom w:w="50" w:type="dxa"/>
              <w:right w:w="55" w:type="dxa"/>
            </w:tcMar>
            <w:vAlign w:val="top"/>
          </w:tcPr>
          <w:p w14:paraId="1AD5843F">
            <w:pPr>
              <w:spacing w:before="0" w:after="0" w:line="240" w:lineRule="auto"/>
              <w:jc w:val="center"/>
            </w:pPr>
          </w:p>
        </w:tc>
        <w:tc>
          <w:tcPr>
            <w:tcW w:w="1944" w:type="dxa"/>
            <w:shd w:val="clear" w:color="auto" w:fill="F6F8FA"/>
            <w:tcMar>
              <w:top w:w="50" w:type="dxa"/>
              <w:left w:w="55" w:type="dxa"/>
              <w:bottom w:w="50" w:type="dxa"/>
              <w:right w:w="55" w:type="dxa"/>
            </w:tcMar>
            <w:vAlign w:val="top"/>
          </w:tcPr>
          <w:p w14:paraId="50692DFD">
            <w:pPr>
              <w:spacing w:before="0" w:after="0" w:line="240" w:lineRule="auto"/>
              <w:jc w:val="left"/>
            </w:pPr>
          </w:p>
        </w:tc>
        <w:tc>
          <w:tcPr>
            <w:tcW w:w="3671" w:type="dxa"/>
            <w:shd w:val="clear" w:color="auto" w:fill="F6F8FA"/>
            <w:tcMar>
              <w:top w:w="50" w:type="dxa"/>
              <w:left w:w="55" w:type="dxa"/>
              <w:bottom w:w="50" w:type="dxa"/>
              <w:right w:w="55" w:type="dxa"/>
            </w:tcMar>
            <w:vAlign w:val="top"/>
          </w:tcPr>
          <w:p w14:paraId="2382EB0E">
            <w:pPr>
              <w:spacing w:before="0" w:after="0" w:line="240" w:lineRule="auto"/>
              <w:jc w:val="left"/>
            </w:pPr>
            <w:r>
              <w:rPr>
                <w:rFonts w:ascii="Arial" w:hAnsi="Arial" w:eastAsia="Arial"/>
                <w:b w:val="0"/>
                <w:i w:val="0"/>
                <w:sz w:val="13"/>
              </w:rPr>
              <w:t>17 country-omission analyses; all point estimates above 1 = TRUE</w:t>
            </w:r>
          </w:p>
        </w:tc>
      </w:tr>
      <w:tr w14:paraId="51E0C007">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2BB49974">
            <w:pPr>
              <w:spacing w:before="0" w:after="0" w:line="240" w:lineRule="auto"/>
              <w:jc w:val="center"/>
            </w:pPr>
            <w:r>
              <w:rPr>
                <w:rFonts w:ascii="Arial" w:hAnsi="Arial" w:eastAsia="Arial"/>
                <w:b w:val="0"/>
                <w:i w:val="0"/>
                <w:sz w:val="13"/>
              </w:rPr>
              <w:t>SHARE</w:t>
            </w:r>
          </w:p>
        </w:tc>
        <w:tc>
          <w:tcPr>
            <w:tcW w:w="2232" w:type="dxa"/>
            <w:shd w:val="clear" w:color="auto" w:fill="FFFFFF"/>
            <w:tcMar>
              <w:top w:w="50" w:type="dxa"/>
              <w:left w:w="55" w:type="dxa"/>
              <w:bottom w:w="50" w:type="dxa"/>
              <w:right w:w="55" w:type="dxa"/>
            </w:tcMar>
            <w:vAlign w:val="top"/>
          </w:tcPr>
          <w:p w14:paraId="313F415F">
            <w:pPr>
              <w:spacing w:before="0" w:after="0" w:line="240" w:lineRule="auto"/>
              <w:jc w:val="left"/>
            </w:pPr>
            <w:r>
              <w:rPr>
                <w:rFonts w:ascii="Arial" w:hAnsi="Arial" w:eastAsia="Arial"/>
                <w:b w:val="0"/>
                <w:i w:val="0"/>
                <w:sz w:val="13"/>
              </w:rPr>
              <w:t>Leave one country out</w:t>
            </w:r>
          </w:p>
        </w:tc>
        <w:tc>
          <w:tcPr>
            <w:tcW w:w="2376" w:type="dxa"/>
            <w:shd w:val="clear" w:color="auto" w:fill="FFFFFF"/>
            <w:tcMar>
              <w:top w:w="50" w:type="dxa"/>
              <w:left w:w="55" w:type="dxa"/>
              <w:bottom w:w="50" w:type="dxa"/>
              <w:right w:w="55" w:type="dxa"/>
            </w:tcMar>
            <w:vAlign w:val="top"/>
          </w:tcPr>
          <w:p w14:paraId="584F9523">
            <w:pPr>
              <w:spacing w:before="0" w:after="0" w:line="240" w:lineRule="auto"/>
              <w:jc w:val="left"/>
            </w:pPr>
            <w:r>
              <w:rPr>
                <w:rFonts w:ascii="Arial" w:hAnsi="Arial" w:eastAsia="Arial"/>
                <w:b w:val="0"/>
                <w:i w:val="0"/>
                <w:sz w:val="13"/>
              </w:rPr>
              <w:t>Current deviation</w:t>
            </w:r>
          </w:p>
        </w:tc>
        <w:tc>
          <w:tcPr>
            <w:tcW w:w="1728" w:type="dxa"/>
            <w:shd w:val="clear" w:color="auto" w:fill="FFFFFF"/>
            <w:tcMar>
              <w:top w:w="50" w:type="dxa"/>
              <w:left w:w="55" w:type="dxa"/>
              <w:bottom w:w="50" w:type="dxa"/>
              <w:right w:w="55" w:type="dxa"/>
            </w:tcMar>
            <w:vAlign w:val="top"/>
          </w:tcPr>
          <w:p w14:paraId="2229C290">
            <w:pPr>
              <w:spacing w:before="0" w:after="0" w:line="240" w:lineRule="auto"/>
              <w:jc w:val="center"/>
            </w:pPr>
            <w:r>
              <w:rPr>
                <w:rFonts w:ascii="Arial" w:hAnsi="Arial" w:eastAsia="Arial"/>
                <w:b w:val="0"/>
                <w:i w:val="0"/>
                <w:sz w:val="13"/>
              </w:rPr>
              <w:t>HR range</w:t>
            </w:r>
          </w:p>
        </w:tc>
        <w:tc>
          <w:tcPr>
            <w:tcW w:w="1728" w:type="dxa"/>
            <w:shd w:val="clear" w:color="auto" w:fill="FFFFFF"/>
            <w:tcMar>
              <w:top w:w="50" w:type="dxa"/>
              <w:left w:w="55" w:type="dxa"/>
              <w:bottom w:w="50" w:type="dxa"/>
              <w:right w:w="55" w:type="dxa"/>
            </w:tcMar>
            <w:vAlign w:val="top"/>
          </w:tcPr>
          <w:p w14:paraId="1CAA137E">
            <w:pPr>
              <w:spacing w:before="0" w:after="0" w:line="240" w:lineRule="auto"/>
              <w:jc w:val="center"/>
            </w:pPr>
            <w:r>
              <w:rPr>
                <w:rFonts w:ascii="Arial" w:hAnsi="Arial" w:eastAsia="Arial"/>
                <w:b w:val="0"/>
                <w:i w:val="0"/>
                <w:sz w:val="13"/>
              </w:rPr>
              <w:t>1.127–1.155</w:t>
            </w:r>
          </w:p>
        </w:tc>
        <w:tc>
          <w:tcPr>
            <w:tcW w:w="936" w:type="dxa"/>
            <w:shd w:val="clear" w:color="auto" w:fill="FFFFFF"/>
            <w:tcMar>
              <w:top w:w="50" w:type="dxa"/>
              <w:left w:w="55" w:type="dxa"/>
              <w:bottom w:w="50" w:type="dxa"/>
              <w:right w:w="55" w:type="dxa"/>
            </w:tcMar>
            <w:vAlign w:val="top"/>
          </w:tcPr>
          <w:p w14:paraId="55B39ECF">
            <w:pPr>
              <w:spacing w:before="0" w:after="0" w:line="240" w:lineRule="auto"/>
              <w:jc w:val="center"/>
            </w:pPr>
          </w:p>
        </w:tc>
        <w:tc>
          <w:tcPr>
            <w:tcW w:w="1944" w:type="dxa"/>
            <w:shd w:val="clear" w:color="auto" w:fill="FFFFFF"/>
            <w:tcMar>
              <w:top w:w="50" w:type="dxa"/>
              <w:left w:w="55" w:type="dxa"/>
              <w:bottom w:w="50" w:type="dxa"/>
              <w:right w:w="55" w:type="dxa"/>
            </w:tcMar>
            <w:vAlign w:val="top"/>
          </w:tcPr>
          <w:p w14:paraId="491DA10A">
            <w:pPr>
              <w:spacing w:before="0" w:after="0" w:line="240" w:lineRule="auto"/>
              <w:jc w:val="left"/>
            </w:pPr>
          </w:p>
        </w:tc>
        <w:tc>
          <w:tcPr>
            <w:tcW w:w="3671" w:type="dxa"/>
            <w:shd w:val="clear" w:color="auto" w:fill="FFFFFF"/>
            <w:tcMar>
              <w:top w:w="50" w:type="dxa"/>
              <w:left w:w="55" w:type="dxa"/>
              <w:bottom w:w="50" w:type="dxa"/>
              <w:right w:w="55" w:type="dxa"/>
            </w:tcMar>
            <w:vAlign w:val="top"/>
          </w:tcPr>
          <w:p w14:paraId="34AAB285">
            <w:pPr>
              <w:spacing w:before="0" w:after="0" w:line="240" w:lineRule="auto"/>
              <w:jc w:val="left"/>
            </w:pPr>
            <w:r>
              <w:rPr>
                <w:rFonts w:ascii="Arial" w:hAnsi="Arial" w:eastAsia="Arial"/>
                <w:b w:val="0"/>
                <w:i w:val="0"/>
                <w:sz w:val="13"/>
              </w:rPr>
              <w:t>17 country-omission analyses; all point estimates above 1 = TRUE</w:t>
            </w:r>
          </w:p>
        </w:tc>
      </w:tr>
    </w:tbl>
    <w:p w14:paraId="378CF077">
      <w:pPr>
        <w:spacing w:before="0" w:after="40"/>
      </w:pPr>
    </w:p>
    <w:p w14:paraId="5AAFFC47">
      <w:pPr>
        <w:pStyle w:val="165"/>
        <w:keepNext/>
      </w:pPr>
      <w:r>
        <w:rPr>
          <w:rFonts w:ascii="Arial" w:hAnsi="Arial" w:eastAsia="Arial"/>
          <w:b/>
          <w:i w:val="0"/>
          <w:color w:val="355C7D"/>
          <w:sz w:val="17"/>
        </w:rPr>
        <w:t>Panel D. ELSA robustness</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1960"/>
        <w:gridCol w:w="1960"/>
        <w:gridCol w:w="1960"/>
        <w:gridCol w:w="1960"/>
        <w:gridCol w:w="1960"/>
        <w:gridCol w:w="1960"/>
        <w:gridCol w:w="1960"/>
        <w:gridCol w:w="1960"/>
      </w:tblGrid>
      <w:tr w14:paraId="6D59A855">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936" w:type="dxa"/>
            <w:shd w:val="clear" w:color="auto" w:fill="355C7D"/>
            <w:tcMar>
              <w:top w:w="60" w:type="dxa"/>
              <w:left w:w="55" w:type="dxa"/>
              <w:bottom w:w="60" w:type="dxa"/>
              <w:right w:w="55" w:type="dxa"/>
            </w:tcMar>
            <w:vAlign w:val="center"/>
          </w:tcPr>
          <w:p w14:paraId="54BBADE3">
            <w:pPr>
              <w:spacing w:before="0" w:after="0" w:line="240" w:lineRule="auto"/>
              <w:jc w:val="center"/>
            </w:pPr>
            <w:r>
              <w:rPr>
                <w:rFonts w:ascii="Arial" w:hAnsi="Arial" w:eastAsia="Arial"/>
                <w:b/>
                <w:i w:val="0"/>
                <w:color w:val="FFFFFF"/>
                <w:sz w:val="14"/>
              </w:rPr>
              <w:t>Cohort</w:t>
            </w:r>
          </w:p>
        </w:tc>
        <w:tc>
          <w:tcPr>
            <w:tcW w:w="2232" w:type="dxa"/>
            <w:shd w:val="clear" w:color="auto" w:fill="355C7D"/>
            <w:tcMar>
              <w:top w:w="60" w:type="dxa"/>
              <w:left w:w="55" w:type="dxa"/>
              <w:bottom w:w="60" w:type="dxa"/>
              <w:right w:w="55" w:type="dxa"/>
            </w:tcMar>
            <w:vAlign w:val="center"/>
          </w:tcPr>
          <w:p w14:paraId="617B2A78">
            <w:pPr>
              <w:spacing w:before="0" w:after="0" w:line="240" w:lineRule="auto"/>
              <w:jc w:val="center"/>
            </w:pPr>
            <w:r>
              <w:rPr>
                <w:rFonts w:ascii="Arial" w:hAnsi="Arial" w:eastAsia="Arial"/>
                <w:b/>
                <w:i w:val="0"/>
                <w:color w:val="FFFFFF"/>
                <w:sz w:val="14"/>
              </w:rPr>
              <w:t>Analysis</w:t>
            </w:r>
          </w:p>
        </w:tc>
        <w:tc>
          <w:tcPr>
            <w:tcW w:w="2376" w:type="dxa"/>
            <w:shd w:val="clear" w:color="auto" w:fill="355C7D"/>
            <w:tcMar>
              <w:top w:w="60" w:type="dxa"/>
              <w:left w:w="55" w:type="dxa"/>
              <w:bottom w:w="60" w:type="dxa"/>
              <w:right w:w="55" w:type="dxa"/>
            </w:tcMar>
            <w:vAlign w:val="center"/>
          </w:tcPr>
          <w:p w14:paraId="6E6DDA86">
            <w:pPr>
              <w:spacing w:before="0" w:after="0" w:line="240" w:lineRule="auto"/>
              <w:jc w:val="center"/>
            </w:pPr>
            <w:r>
              <w:rPr>
                <w:rFonts w:ascii="Arial" w:hAnsi="Arial" w:eastAsia="Arial"/>
                <w:b/>
                <w:i w:val="0"/>
                <w:color w:val="FFFFFF"/>
                <w:sz w:val="14"/>
              </w:rPr>
              <w:t>Component</w:t>
            </w:r>
          </w:p>
        </w:tc>
        <w:tc>
          <w:tcPr>
            <w:tcW w:w="1728" w:type="dxa"/>
            <w:shd w:val="clear" w:color="auto" w:fill="355C7D"/>
            <w:tcMar>
              <w:top w:w="60" w:type="dxa"/>
              <w:left w:w="55" w:type="dxa"/>
              <w:bottom w:w="60" w:type="dxa"/>
              <w:right w:w="55" w:type="dxa"/>
            </w:tcMar>
            <w:vAlign w:val="center"/>
          </w:tcPr>
          <w:p w14:paraId="57AF43F7">
            <w:pPr>
              <w:spacing w:before="0" w:after="0" w:line="240" w:lineRule="auto"/>
              <w:jc w:val="center"/>
            </w:pPr>
            <w:r>
              <w:rPr>
                <w:rFonts w:ascii="Arial" w:hAnsi="Arial" w:eastAsia="Arial"/>
                <w:b/>
                <w:i w:val="0"/>
                <w:color w:val="FFFFFF"/>
                <w:sz w:val="14"/>
              </w:rPr>
              <w:t>Effect measure</w:t>
            </w:r>
          </w:p>
        </w:tc>
        <w:tc>
          <w:tcPr>
            <w:tcW w:w="1728" w:type="dxa"/>
            <w:shd w:val="clear" w:color="auto" w:fill="355C7D"/>
            <w:tcMar>
              <w:top w:w="60" w:type="dxa"/>
              <w:left w:w="55" w:type="dxa"/>
              <w:bottom w:w="60" w:type="dxa"/>
              <w:right w:w="55" w:type="dxa"/>
            </w:tcMar>
            <w:vAlign w:val="center"/>
          </w:tcPr>
          <w:p w14:paraId="5BA87B8A">
            <w:pPr>
              <w:spacing w:before="0" w:after="0" w:line="240" w:lineRule="auto"/>
              <w:jc w:val="center"/>
            </w:pPr>
            <w:r>
              <w:rPr>
                <w:rFonts w:ascii="Arial" w:hAnsi="Arial" w:eastAsia="Arial"/>
                <w:b/>
                <w:i w:val="0"/>
                <w:color w:val="FFFFFF"/>
                <w:sz w:val="14"/>
              </w:rPr>
              <w:t>Result</w:t>
            </w:r>
          </w:p>
        </w:tc>
        <w:tc>
          <w:tcPr>
            <w:tcW w:w="936" w:type="dxa"/>
            <w:shd w:val="clear" w:color="auto" w:fill="355C7D"/>
            <w:tcMar>
              <w:top w:w="60" w:type="dxa"/>
              <w:left w:w="55" w:type="dxa"/>
              <w:bottom w:w="60" w:type="dxa"/>
              <w:right w:w="55" w:type="dxa"/>
            </w:tcMar>
            <w:vAlign w:val="center"/>
          </w:tcPr>
          <w:p w14:paraId="6A5E7A0A">
            <w:pPr>
              <w:spacing w:before="0" w:after="0" w:line="240" w:lineRule="auto"/>
              <w:jc w:val="center"/>
            </w:pPr>
            <w:r>
              <w:rPr>
                <w:rFonts w:ascii="Arial" w:hAnsi="Arial" w:eastAsia="Arial"/>
                <w:b/>
                <w:i w:val="0"/>
                <w:color w:val="FFFFFF"/>
                <w:sz w:val="14"/>
              </w:rPr>
              <w:t>P value</w:t>
            </w:r>
          </w:p>
        </w:tc>
        <w:tc>
          <w:tcPr>
            <w:tcW w:w="1944" w:type="dxa"/>
            <w:shd w:val="clear" w:color="auto" w:fill="355C7D"/>
            <w:tcMar>
              <w:top w:w="60" w:type="dxa"/>
              <w:left w:w="55" w:type="dxa"/>
              <w:bottom w:w="60" w:type="dxa"/>
              <w:right w:w="55" w:type="dxa"/>
            </w:tcMar>
            <w:vAlign w:val="center"/>
          </w:tcPr>
          <w:p w14:paraId="39858D86">
            <w:pPr>
              <w:spacing w:before="0" w:after="0" w:line="240" w:lineRule="auto"/>
              <w:jc w:val="center"/>
            </w:pPr>
            <w:r>
              <w:rPr>
                <w:rFonts w:ascii="Arial" w:hAnsi="Arial" w:eastAsia="Arial"/>
                <w:b/>
                <w:i w:val="0"/>
                <w:color w:val="FFFFFF"/>
                <w:sz w:val="14"/>
              </w:rPr>
              <w:t>Sample</w:t>
            </w:r>
          </w:p>
        </w:tc>
        <w:tc>
          <w:tcPr>
            <w:tcW w:w="3671" w:type="dxa"/>
            <w:shd w:val="clear" w:color="auto" w:fill="355C7D"/>
            <w:tcMar>
              <w:top w:w="60" w:type="dxa"/>
              <w:left w:w="55" w:type="dxa"/>
              <w:bottom w:w="60" w:type="dxa"/>
              <w:right w:w="55" w:type="dxa"/>
            </w:tcMar>
            <w:vAlign w:val="center"/>
          </w:tcPr>
          <w:p w14:paraId="3226B855">
            <w:pPr>
              <w:spacing w:before="0" w:after="0" w:line="240" w:lineRule="auto"/>
              <w:jc w:val="center"/>
            </w:pPr>
            <w:r>
              <w:rPr>
                <w:rFonts w:ascii="Arial" w:hAnsi="Arial" w:eastAsia="Arial"/>
                <w:b/>
                <w:i w:val="0"/>
                <w:color w:val="FFFFFF"/>
                <w:sz w:val="14"/>
              </w:rPr>
              <w:t>Interpretation</w:t>
            </w:r>
          </w:p>
        </w:tc>
      </w:tr>
      <w:tr w14:paraId="4A6C1E98">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07B8B64B">
            <w:pPr>
              <w:spacing w:before="0" w:after="0" w:line="240" w:lineRule="auto"/>
              <w:jc w:val="center"/>
            </w:pPr>
            <w:r>
              <w:rPr>
                <w:rFonts w:ascii="Arial" w:hAnsi="Arial" w:eastAsia="Arial"/>
                <w:b w:val="0"/>
                <w:i w:val="0"/>
                <w:sz w:val="13"/>
              </w:rPr>
              <w:t>ELSA</w:t>
            </w:r>
          </w:p>
        </w:tc>
        <w:tc>
          <w:tcPr>
            <w:tcW w:w="2232" w:type="dxa"/>
            <w:shd w:val="clear" w:color="auto" w:fill="F6F8FA"/>
            <w:tcMar>
              <w:top w:w="50" w:type="dxa"/>
              <w:left w:w="55" w:type="dxa"/>
              <w:bottom w:w="50" w:type="dxa"/>
              <w:right w:w="55" w:type="dxa"/>
            </w:tcMar>
            <w:vAlign w:val="top"/>
          </w:tcPr>
          <w:p w14:paraId="20DAEE49">
            <w:pPr>
              <w:spacing w:before="0" w:after="0" w:line="240" w:lineRule="auto"/>
              <w:jc w:val="left"/>
            </w:pPr>
            <w:r>
              <w:rPr>
                <w:rFonts w:ascii="Arial" w:hAnsi="Arial" w:eastAsia="Arial"/>
                <w:b w:val="0"/>
                <w:i w:val="0"/>
                <w:sz w:val="13"/>
              </w:rPr>
              <w:t>Complete prior-history sensitivity</w:t>
            </w:r>
          </w:p>
        </w:tc>
        <w:tc>
          <w:tcPr>
            <w:tcW w:w="2376" w:type="dxa"/>
            <w:shd w:val="clear" w:color="auto" w:fill="F6F8FA"/>
            <w:tcMar>
              <w:top w:w="50" w:type="dxa"/>
              <w:left w:w="55" w:type="dxa"/>
              <w:bottom w:w="50" w:type="dxa"/>
              <w:right w:w="55" w:type="dxa"/>
            </w:tcMar>
            <w:vAlign w:val="top"/>
          </w:tcPr>
          <w:p w14:paraId="1D2121D7">
            <w:pPr>
              <w:spacing w:before="0" w:after="0" w:line="240" w:lineRule="auto"/>
              <w:jc w:val="left"/>
            </w:pPr>
            <w:r>
              <w:rPr>
                <w:rFonts w:ascii="Arial" w:hAnsi="Arial" w:eastAsia="Arial"/>
                <w:b w:val="0"/>
                <w:i w:val="0"/>
                <w:sz w:val="13"/>
              </w:rPr>
              <w:t>Prior burden</w:t>
            </w:r>
          </w:p>
        </w:tc>
        <w:tc>
          <w:tcPr>
            <w:tcW w:w="1728" w:type="dxa"/>
            <w:shd w:val="clear" w:color="auto" w:fill="F6F8FA"/>
            <w:tcMar>
              <w:top w:w="50" w:type="dxa"/>
              <w:left w:w="55" w:type="dxa"/>
              <w:bottom w:w="50" w:type="dxa"/>
              <w:right w:w="55" w:type="dxa"/>
            </w:tcMar>
            <w:vAlign w:val="top"/>
          </w:tcPr>
          <w:p w14:paraId="553D540B">
            <w:pPr>
              <w:spacing w:before="0" w:after="0" w:line="240" w:lineRule="auto"/>
              <w:jc w:val="center"/>
            </w:pPr>
            <w:r>
              <w:rPr>
                <w:rFonts w:ascii="Arial" w:hAnsi="Arial" w:eastAsia="Arial"/>
                <w:b w:val="0"/>
                <w:i w:val="0"/>
                <w:sz w:val="13"/>
              </w:rPr>
              <w:t>HR per cohort-specific SD</w:t>
            </w:r>
          </w:p>
        </w:tc>
        <w:tc>
          <w:tcPr>
            <w:tcW w:w="1728" w:type="dxa"/>
            <w:shd w:val="clear" w:color="auto" w:fill="F6F8FA"/>
            <w:tcMar>
              <w:top w:w="50" w:type="dxa"/>
              <w:left w:w="55" w:type="dxa"/>
              <w:bottom w:w="50" w:type="dxa"/>
              <w:right w:w="55" w:type="dxa"/>
            </w:tcMar>
            <w:vAlign w:val="top"/>
          </w:tcPr>
          <w:p w14:paraId="70DCF81C">
            <w:pPr>
              <w:spacing w:before="0" w:after="0" w:line="240" w:lineRule="auto"/>
              <w:jc w:val="center"/>
            </w:pPr>
            <w:r>
              <w:rPr>
                <w:rFonts w:ascii="Arial" w:hAnsi="Arial" w:eastAsia="Arial"/>
                <w:b w:val="0"/>
                <w:i w:val="0"/>
                <w:sz w:val="13"/>
              </w:rPr>
              <w:t>0.971 (0.832–1.134)</w:t>
            </w:r>
          </w:p>
        </w:tc>
        <w:tc>
          <w:tcPr>
            <w:tcW w:w="936" w:type="dxa"/>
            <w:shd w:val="clear" w:color="auto" w:fill="F6F8FA"/>
            <w:tcMar>
              <w:top w:w="50" w:type="dxa"/>
              <w:left w:w="55" w:type="dxa"/>
              <w:bottom w:w="50" w:type="dxa"/>
              <w:right w:w="55" w:type="dxa"/>
            </w:tcMar>
            <w:vAlign w:val="top"/>
          </w:tcPr>
          <w:p w14:paraId="26041982">
            <w:pPr>
              <w:spacing w:before="0" w:after="0" w:line="240" w:lineRule="auto"/>
              <w:jc w:val="center"/>
            </w:pPr>
            <w:r>
              <w:rPr>
                <w:rFonts w:ascii="Arial" w:hAnsi="Arial" w:eastAsia="Arial"/>
                <w:b w:val="0"/>
                <w:i w:val="0"/>
                <w:sz w:val="13"/>
              </w:rPr>
              <w:t>0.711</w:t>
            </w:r>
          </w:p>
        </w:tc>
        <w:tc>
          <w:tcPr>
            <w:tcW w:w="1944" w:type="dxa"/>
            <w:shd w:val="clear" w:color="auto" w:fill="F6F8FA"/>
            <w:tcMar>
              <w:top w:w="50" w:type="dxa"/>
              <w:left w:w="55" w:type="dxa"/>
              <w:bottom w:w="50" w:type="dxa"/>
              <w:right w:w="55" w:type="dxa"/>
            </w:tcMar>
            <w:vAlign w:val="top"/>
          </w:tcPr>
          <w:p w14:paraId="6EA8312B">
            <w:pPr>
              <w:spacing w:before="0" w:after="0" w:line="240" w:lineRule="auto"/>
              <w:jc w:val="left"/>
            </w:pPr>
            <w:r>
              <w:rPr>
                <w:rFonts w:ascii="Arial" w:hAnsi="Arial" w:eastAsia="Arial"/>
                <w:b w:val="0"/>
                <w:i w:val="0"/>
                <w:sz w:val="13"/>
              </w:rPr>
              <w:t>person-waves=7,242; events=345</w:t>
            </w:r>
          </w:p>
        </w:tc>
        <w:tc>
          <w:tcPr>
            <w:tcW w:w="3671" w:type="dxa"/>
            <w:shd w:val="clear" w:color="auto" w:fill="F6F8FA"/>
            <w:tcMar>
              <w:top w:w="50" w:type="dxa"/>
              <w:left w:w="55" w:type="dxa"/>
              <w:bottom w:w="50" w:type="dxa"/>
              <w:right w:w="55" w:type="dxa"/>
            </w:tcMar>
            <w:vAlign w:val="top"/>
          </w:tcPr>
          <w:p w14:paraId="71B26B6F">
            <w:pPr>
              <w:spacing w:before="0" w:after="0" w:line="240" w:lineRule="auto"/>
              <w:jc w:val="left"/>
            </w:pPr>
            <w:r>
              <w:rPr>
                <w:rFonts w:ascii="Arial" w:hAnsi="Arial" w:eastAsia="Arial"/>
                <w:b w:val="0"/>
                <w:i w:val="0"/>
                <w:sz w:val="13"/>
              </w:rPr>
              <w:t>The ELSA null pattern was not materially altered.</w:t>
            </w:r>
          </w:p>
        </w:tc>
      </w:tr>
      <w:tr w14:paraId="43B6FA94">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55B32315">
            <w:pPr>
              <w:spacing w:before="0" w:after="0" w:line="240" w:lineRule="auto"/>
              <w:jc w:val="center"/>
            </w:pPr>
            <w:r>
              <w:rPr>
                <w:rFonts w:ascii="Arial" w:hAnsi="Arial" w:eastAsia="Arial"/>
                <w:b w:val="0"/>
                <w:i w:val="0"/>
                <w:sz w:val="13"/>
              </w:rPr>
              <w:t>ELSA</w:t>
            </w:r>
          </w:p>
        </w:tc>
        <w:tc>
          <w:tcPr>
            <w:tcW w:w="2232" w:type="dxa"/>
            <w:shd w:val="clear" w:color="auto" w:fill="FFFFFF"/>
            <w:tcMar>
              <w:top w:w="50" w:type="dxa"/>
              <w:left w:w="55" w:type="dxa"/>
              <w:bottom w:w="50" w:type="dxa"/>
              <w:right w:w="55" w:type="dxa"/>
            </w:tcMar>
            <w:vAlign w:val="top"/>
          </w:tcPr>
          <w:p w14:paraId="0984863B">
            <w:pPr>
              <w:spacing w:before="0" w:after="0" w:line="240" w:lineRule="auto"/>
              <w:jc w:val="left"/>
            </w:pPr>
            <w:r>
              <w:rPr>
                <w:rFonts w:ascii="Arial" w:hAnsi="Arial" w:eastAsia="Arial"/>
                <w:b w:val="0"/>
                <w:i w:val="0"/>
                <w:sz w:val="13"/>
              </w:rPr>
              <w:t>Complete prior-history sensitivity</w:t>
            </w:r>
          </w:p>
        </w:tc>
        <w:tc>
          <w:tcPr>
            <w:tcW w:w="2376" w:type="dxa"/>
            <w:shd w:val="clear" w:color="auto" w:fill="FFFFFF"/>
            <w:tcMar>
              <w:top w:w="50" w:type="dxa"/>
              <w:left w:w="55" w:type="dxa"/>
              <w:bottom w:w="50" w:type="dxa"/>
              <w:right w:w="55" w:type="dxa"/>
            </w:tcMar>
            <w:vAlign w:val="top"/>
          </w:tcPr>
          <w:p w14:paraId="7C5F5CA3">
            <w:pPr>
              <w:spacing w:before="0" w:after="0" w:line="240" w:lineRule="auto"/>
              <w:jc w:val="left"/>
            </w:pPr>
            <w:r>
              <w:rPr>
                <w:rFonts w:ascii="Arial" w:hAnsi="Arial" w:eastAsia="Arial"/>
                <w:b w:val="0"/>
                <w:i w:val="0"/>
                <w:sz w:val="13"/>
              </w:rPr>
              <w:t>Current deviation</w:t>
            </w:r>
          </w:p>
        </w:tc>
        <w:tc>
          <w:tcPr>
            <w:tcW w:w="1728" w:type="dxa"/>
            <w:shd w:val="clear" w:color="auto" w:fill="FFFFFF"/>
            <w:tcMar>
              <w:top w:w="50" w:type="dxa"/>
              <w:left w:w="55" w:type="dxa"/>
              <w:bottom w:w="50" w:type="dxa"/>
              <w:right w:w="55" w:type="dxa"/>
            </w:tcMar>
            <w:vAlign w:val="top"/>
          </w:tcPr>
          <w:p w14:paraId="6A8946A5">
            <w:pPr>
              <w:spacing w:before="0" w:after="0" w:line="240" w:lineRule="auto"/>
              <w:jc w:val="center"/>
            </w:pPr>
            <w:r>
              <w:rPr>
                <w:rFonts w:ascii="Arial" w:hAnsi="Arial" w:eastAsia="Arial"/>
                <w:b w:val="0"/>
                <w:i w:val="0"/>
                <w:sz w:val="13"/>
              </w:rPr>
              <w:t>HR per cohort-specific SD</w:t>
            </w:r>
          </w:p>
        </w:tc>
        <w:tc>
          <w:tcPr>
            <w:tcW w:w="1728" w:type="dxa"/>
            <w:shd w:val="clear" w:color="auto" w:fill="FFFFFF"/>
            <w:tcMar>
              <w:top w:w="50" w:type="dxa"/>
              <w:left w:w="55" w:type="dxa"/>
              <w:bottom w:w="50" w:type="dxa"/>
              <w:right w:w="55" w:type="dxa"/>
            </w:tcMar>
            <w:vAlign w:val="top"/>
          </w:tcPr>
          <w:p w14:paraId="68EEB3E3">
            <w:pPr>
              <w:spacing w:before="0" w:after="0" w:line="240" w:lineRule="auto"/>
              <w:jc w:val="center"/>
            </w:pPr>
            <w:r>
              <w:rPr>
                <w:rFonts w:ascii="Arial" w:hAnsi="Arial" w:eastAsia="Arial"/>
                <w:b w:val="0"/>
                <w:i w:val="0"/>
                <w:sz w:val="13"/>
              </w:rPr>
              <w:t>0.954 (0.833–1.092)</w:t>
            </w:r>
          </w:p>
        </w:tc>
        <w:tc>
          <w:tcPr>
            <w:tcW w:w="936" w:type="dxa"/>
            <w:shd w:val="clear" w:color="auto" w:fill="FFFFFF"/>
            <w:tcMar>
              <w:top w:w="50" w:type="dxa"/>
              <w:left w:w="55" w:type="dxa"/>
              <w:bottom w:w="50" w:type="dxa"/>
              <w:right w:w="55" w:type="dxa"/>
            </w:tcMar>
            <w:vAlign w:val="top"/>
          </w:tcPr>
          <w:p w14:paraId="0893EA14">
            <w:pPr>
              <w:spacing w:before="0" w:after="0" w:line="240" w:lineRule="auto"/>
              <w:jc w:val="center"/>
            </w:pPr>
            <w:r>
              <w:rPr>
                <w:rFonts w:ascii="Arial" w:hAnsi="Arial" w:eastAsia="Arial"/>
                <w:b w:val="0"/>
                <w:i w:val="0"/>
                <w:sz w:val="13"/>
              </w:rPr>
              <w:t>0.496</w:t>
            </w:r>
          </w:p>
        </w:tc>
        <w:tc>
          <w:tcPr>
            <w:tcW w:w="1944" w:type="dxa"/>
            <w:shd w:val="clear" w:color="auto" w:fill="FFFFFF"/>
            <w:tcMar>
              <w:top w:w="50" w:type="dxa"/>
              <w:left w:w="55" w:type="dxa"/>
              <w:bottom w:w="50" w:type="dxa"/>
              <w:right w:w="55" w:type="dxa"/>
            </w:tcMar>
            <w:vAlign w:val="top"/>
          </w:tcPr>
          <w:p w14:paraId="4A96B937">
            <w:pPr>
              <w:spacing w:before="0" w:after="0" w:line="240" w:lineRule="auto"/>
              <w:jc w:val="left"/>
            </w:pPr>
            <w:r>
              <w:rPr>
                <w:rFonts w:ascii="Arial" w:hAnsi="Arial" w:eastAsia="Arial"/>
                <w:b w:val="0"/>
                <w:i w:val="0"/>
                <w:sz w:val="13"/>
              </w:rPr>
              <w:t>person-waves=7,242; events=345</w:t>
            </w:r>
          </w:p>
        </w:tc>
        <w:tc>
          <w:tcPr>
            <w:tcW w:w="3671" w:type="dxa"/>
            <w:shd w:val="clear" w:color="auto" w:fill="FFFFFF"/>
            <w:tcMar>
              <w:top w:w="50" w:type="dxa"/>
              <w:left w:w="55" w:type="dxa"/>
              <w:bottom w:w="50" w:type="dxa"/>
              <w:right w:w="55" w:type="dxa"/>
            </w:tcMar>
            <w:vAlign w:val="top"/>
          </w:tcPr>
          <w:p w14:paraId="64DE880F">
            <w:pPr>
              <w:spacing w:before="0" w:after="0" w:line="240" w:lineRule="auto"/>
              <w:jc w:val="left"/>
            </w:pPr>
            <w:r>
              <w:rPr>
                <w:rFonts w:ascii="Arial" w:hAnsi="Arial" w:eastAsia="Arial"/>
                <w:b w:val="0"/>
                <w:i w:val="0"/>
                <w:sz w:val="13"/>
              </w:rPr>
              <w:t>The ELSA null pattern was not materially altered.</w:t>
            </w:r>
          </w:p>
        </w:tc>
      </w:tr>
      <w:tr w14:paraId="02B3B22F">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6126A7F6">
            <w:pPr>
              <w:spacing w:before="0" w:after="0" w:line="240" w:lineRule="auto"/>
              <w:jc w:val="center"/>
            </w:pPr>
            <w:r>
              <w:rPr>
                <w:rFonts w:ascii="Arial" w:hAnsi="Arial" w:eastAsia="Arial"/>
                <w:b w:val="0"/>
                <w:i w:val="0"/>
                <w:sz w:val="13"/>
              </w:rPr>
              <w:t>ELSA</w:t>
            </w:r>
          </w:p>
        </w:tc>
        <w:tc>
          <w:tcPr>
            <w:tcW w:w="2232" w:type="dxa"/>
            <w:shd w:val="clear" w:color="auto" w:fill="F6F8FA"/>
            <w:tcMar>
              <w:top w:w="50" w:type="dxa"/>
              <w:left w:w="55" w:type="dxa"/>
              <w:bottom w:w="50" w:type="dxa"/>
              <w:right w:w="55" w:type="dxa"/>
            </w:tcMar>
            <w:vAlign w:val="top"/>
          </w:tcPr>
          <w:p w14:paraId="5DB39D8C">
            <w:pPr>
              <w:spacing w:before="0" w:after="0" w:line="240" w:lineRule="auto"/>
              <w:jc w:val="left"/>
            </w:pPr>
            <w:r>
              <w:rPr>
                <w:rFonts w:ascii="Arial" w:hAnsi="Arial" w:eastAsia="Arial"/>
                <w:b w:val="0"/>
                <w:i w:val="0"/>
                <w:sz w:val="13"/>
              </w:rPr>
              <w:t>First three ELSA intervals</w:t>
            </w:r>
          </w:p>
        </w:tc>
        <w:tc>
          <w:tcPr>
            <w:tcW w:w="2376" w:type="dxa"/>
            <w:shd w:val="clear" w:color="auto" w:fill="F6F8FA"/>
            <w:tcMar>
              <w:top w:w="50" w:type="dxa"/>
              <w:left w:w="55" w:type="dxa"/>
              <w:bottom w:w="50" w:type="dxa"/>
              <w:right w:w="55" w:type="dxa"/>
            </w:tcMar>
            <w:vAlign w:val="top"/>
          </w:tcPr>
          <w:p w14:paraId="01880272">
            <w:pPr>
              <w:spacing w:before="0" w:after="0" w:line="240" w:lineRule="auto"/>
              <w:jc w:val="left"/>
            </w:pPr>
            <w:r>
              <w:rPr>
                <w:rFonts w:ascii="Arial" w:hAnsi="Arial" w:eastAsia="Arial"/>
                <w:b w:val="0"/>
                <w:i w:val="0"/>
                <w:sz w:val="13"/>
              </w:rPr>
              <w:t>Prior burden</w:t>
            </w:r>
          </w:p>
        </w:tc>
        <w:tc>
          <w:tcPr>
            <w:tcW w:w="1728" w:type="dxa"/>
            <w:shd w:val="clear" w:color="auto" w:fill="F6F8FA"/>
            <w:tcMar>
              <w:top w:w="50" w:type="dxa"/>
              <w:left w:w="55" w:type="dxa"/>
              <w:bottom w:w="50" w:type="dxa"/>
              <w:right w:w="55" w:type="dxa"/>
            </w:tcMar>
            <w:vAlign w:val="top"/>
          </w:tcPr>
          <w:p w14:paraId="6ADE2FFB">
            <w:pPr>
              <w:spacing w:before="0" w:after="0" w:line="240" w:lineRule="auto"/>
              <w:jc w:val="center"/>
            </w:pPr>
            <w:r>
              <w:rPr>
                <w:rFonts w:ascii="Arial" w:hAnsi="Arial" w:eastAsia="Arial"/>
                <w:b w:val="0"/>
                <w:i w:val="0"/>
                <w:sz w:val="13"/>
              </w:rPr>
              <w:t>HR per cohort-specific SD</w:t>
            </w:r>
          </w:p>
        </w:tc>
        <w:tc>
          <w:tcPr>
            <w:tcW w:w="1728" w:type="dxa"/>
            <w:shd w:val="clear" w:color="auto" w:fill="F6F8FA"/>
            <w:tcMar>
              <w:top w:w="50" w:type="dxa"/>
              <w:left w:w="55" w:type="dxa"/>
              <w:bottom w:w="50" w:type="dxa"/>
              <w:right w:w="55" w:type="dxa"/>
            </w:tcMar>
            <w:vAlign w:val="top"/>
          </w:tcPr>
          <w:p w14:paraId="2503BA1B">
            <w:pPr>
              <w:spacing w:before="0" w:after="0" w:line="240" w:lineRule="auto"/>
              <w:jc w:val="center"/>
            </w:pPr>
            <w:r>
              <w:rPr>
                <w:rFonts w:ascii="Arial" w:hAnsi="Arial" w:eastAsia="Arial"/>
                <w:b w:val="0"/>
                <w:i w:val="0"/>
                <w:sz w:val="13"/>
              </w:rPr>
              <w:t>1.008 (0.833–1.219)</w:t>
            </w:r>
          </w:p>
        </w:tc>
        <w:tc>
          <w:tcPr>
            <w:tcW w:w="936" w:type="dxa"/>
            <w:shd w:val="clear" w:color="auto" w:fill="F6F8FA"/>
            <w:tcMar>
              <w:top w:w="50" w:type="dxa"/>
              <w:left w:w="55" w:type="dxa"/>
              <w:bottom w:w="50" w:type="dxa"/>
              <w:right w:w="55" w:type="dxa"/>
            </w:tcMar>
            <w:vAlign w:val="top"/>
          </w:tcPr>
          <w:p w14:paraId="71F97E42">
            <w:pPr>
              <w:spacing w:before="0" w:after="0" w:line="240" w:lineRule="auto"/>
              <w:jc w:val="center"/>
            </w:pPr>
            <w:r>
              <w:rPr>
                <w:rFonts w:ascii="Arial" w:hAnsi="Arial" w:eastAsia="Arial"/>
                <w:b w:val="0"/>
                <w:i w:val="0"/>
                <w:sz w:val="13"/>
              </w:rPr>
              <w:t>0.937</w:t>
            </w:r>
          </w:p>
        </w:tc>
        <w:tc>
          <w:tcPr>
            <w:tcW w:w="1944" w:type="dxa"/>
            <w:shd w:val="clear" w:color="auto" w:fill="F6F8FA"/>
            <w:tcMar>
              <w:top w:w="50" w:type="dxa"/>
              <w:left w:w="55" w:type="dxa"/>
              <w:bottom w:w="50" w:type="dxa"/>
              <w:right w:w="55" w:type="dxa"/>
            </w:tcMar>
            <w:vAlign w:val="top"/>
          </w:tcPr>
          <w:p w14:paraId="19B35C12">
            <w:pPr>
              <w:spacing w:before="0" w:after="0" w:line="240" w:lineRule="auto"/>
              <w:jc w:val="left"/>
            </w:pPr>
            <w:r>
              <w:rPr>
                <w:rFonts w:ascii="Arial" w:hAnsi="Arial" w:eastAsia="Arial"/>
                <w:b w:val="0"/>
                <w:i w:val="0"/>
                <w:sz w:val="13"/>
              </w:rPr>
              <w:t>person-waves=5,553; events=179</w:t>
            </w:r>
          </w:p>
        </w:tc>
        <w:tc>
          <w:tcPr>
            <w:tcW w:w="3671" w:type="dxa"/>
            <w:shd w:val="clear" w:color="auto" w:fill="F6F8FA"/>
            <w:tcMar>
              <w:top w:w="50" w:type="dxa"/>
              <w:left w:w="55" w:type="dxa"/>
              <w:bottom w:w="50" w:type="dxa"/>
              <w:right w:w="55" w:type="dxa"/>
            </w:tcMar>
            <w:vAlign w:val="top"/>
          </w:tcPr>
          <w:p w14:paraId="5DE695D6">
            <w:pPr>
              <w:spacing w:before="0" w:after="0" w:line="240" w:lineRule="auto"/>
              <w:jc w:val="left"/>
            </w:pPr>
            <w:r>
              <w:rPr>
                <w:rFonts w:ascii="Arial" w:hAnsi="Arial" w:eastAsia="Arial"/>
                <w:b w:val="0"/>
                <w:i w:val="0"/>
                <w:sz w:val="13"/>
              </w:rPr>
              <w:t>The ELSA null pattern was not materially altered.</w:t>
            </w:r>
          </w:p>
        </w:tc>
      </w:tr>
      <w:tr w14:paraId="6C3A7A73">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79ABBBCB">
            <w:pPr>
              <w:spacing w:before="0" w:after="0" w:line="240" w:lineRule="auto"/>
              <w:jc w:val="center"/>
            </w:pPr>
            <w:r>
              <w:rPr>
                <w:rFonts w:ascii="Arial" w:hAnsi="Arial" w:eastAsia="Arial"/>
                <w:b w:val="0"/>
                <w:i w:val="0"/>
                <w:sz w:val="13"/>
              </w:rPr>
              <w:t>ELSA</w:t>
            </w:r>
          </w:p>
        </w:tc>
        <w:tc>
          <w:tcPr>
            <w:tcW w:w="2232" w:type="dxa"/>
            <w:shd w:val="clear" w:color="auto" w:fill="FFFFFF"/>
            <w:tcMar>
              <w:top w:w="50" w:type="dxa"/>
              <w:left w:w="55" w:type="dxa"/>
              <w:bottom w:w="50" w:type="dxa"/>
              <w:right w:w="55" w:type="dxa"/>
            </w:tcMar>
            <w:vAlign w:val="top"/>
          </w:tcPr>
          <w:p w14:paraId="434C3F3E">
            <w:pPr>
              <w:spacing w:before="0" w:after="0" w:line="240" w:lineRule="auto"/>
              <w:jc w:val="left"/>
            </w:pPr>
            <w:r>
              <w:rPr>
                <w:rFonts w:ascii="Arial" w:hAnsi="Arial" w:eastAsia="Arial"/>
                <w:b w:val="0"/>
                <w:i w:val="0"/>
                <w:sz w:val="13"/>
              </w:rPr>
              <w:t>First three ELSA intervals</w:t>
            </w:r>
          </w:p>
        </w:tc>
        <w:tc>
          <w:tcPr>
            <w:tcW w:w="2376" w:type="dxa"/>
            <w:shd w:val="clear" w:color="auto" w:fill="FFFFFF"/>
            <w:tcMar>
              <w:top w:w="50" w:type="dxa"/>
              <w:left w:w="55" w:type="dxa"/>
              <w:bottom w:w="50" w:type="dxa"/>
              <w:right w:w="55" w:type="dxa"/>
            </w:tcMar>
            <w:vAlign w:val="top"/>
          </w:tcPr>
          <w:p w14:paraId="3351E530">
            <w:pPr>
              <w:spacing w:before="0" w:after="0" w:line="240" w:lineRule="auto"/>
              <w:jc w:val="left"/>
            </w:pPr>
            <w:r>
              <w:rPr>
                <w:rFonts w:ascii="Arial" w:hAnsi="Arial" w:eastAsia="Arial"/>
                <w:b w:val="0"/>
                <w:i w:val="0"/>
                <w:sz w:val="13"/>
              </w:rPr>
              <w:t>Current deviation</w:t>
            </w:r>
          </w:p>
        </w:tc>
        <w:tc>
          <w:tcPr>
            <w:tcW w:w="1728" w:type="dxa"/>
            <w:shd w:val="clear" w:color="auto" w:fill="FFFFFF"/>
            <w:tcMar>
              <w:top w:w="50" w:type="dxa"/>
              <w:left w:w="55" w:type="dxa"/>
              <w:bottom w:w="50" w:type="dxa"/>
              <w:right w:w="55" w:type="dxa"/>
            </w:tcMar>
            <w:vAlign w:val="top"/>
          </w:tcPr>
          <w:p w14:paraId="29B31C2E">
            <w:pPr>
              <w:spacing w:before="0" w:after="0" w:line="240" w:lineRule="auto"/>
              <w:jc w:val="center"/>
            </w:pPr>
            <w:r>
              <w:rPr>
                <w:rFonts w:ascii="Arial" w:hAnsi="Arial" w:eastAsia="Arial"/>
                <w:b w:val="0"/>
                <w:i w:val="0"/>
                <w:sz w:val="13"/>
              </w:rPr>
              <w:t>HR per cohort-specific SD</w:t>
            </w:r>
          </w:p>
        </w:tc>
        <w:tc>
          <w:tcPr>
            <w:tcW w:w="1728" w:type="dxa"/>
            <w:shd w:val="clear" w:color="auto" w:fill="FFFFFF"/>
            <w:tcMar>
              <w:top w:w="50" w:type="dxa"/>
              <w:left w:w="55" w:type="dxa"/>
              <w:bottom w:w="50" w:type="dxa"/>
              <w:right w:w="55" w:type="dxa"/>
            </w:tcMar>
            <w:vAlign w:val="top"/>
          </w:tcPr>
          <w:p w14:paraId="208ECB55">
            <w:pPr>
              <w:spacing w:before="0" w:after="0" w:line="240" w:lineRule="auto"/>
              <w:jc w:val="center"/>
            </w:pPr>
            <w:r>
              <w:rPr>
                <w:rFonts w:ascii="Arial" w:hAnsi="Arial" w:eastAsia="Arial"/>
                <w:b w:val="0"/>
                <w:i w:val="0"/>
                <w:sz w:val="13"/>
              </w:rPr>
              <w:t>0.896 (0.753–1.066)</w:t>
            </w:r>
          </w:p>
        </w:tc>
        <w:tc>
          <w:tcPr>
            <w:tcW w:w="936" w:type="dxa"/>
            <w:shd w:val="clear" w:color="auto" w:fill="FFFFFF"/>
            <w:tcMar>
              <w:top w:w="50" w:type="dxa"/>
              <w:left w:w="55" w:type="dxa"/>
              <w:bottom w:w="50" w:type="dxa"/>
              <w:right w:w="55" w:type="dxa"/>
            </w:tcMar>
            <w:vAlign w:val="top"/>
          </w:tcPr>
          <w:p w14:paraId="4BB72E8F">
            <w:pPr>
              <w:spacing w:before="0" w:after="0" w:line="240" w:lineRule="auto"/>
              <w:jc w:val="center"/>
            </w:pPr>
            <w:r>
              <w:rPr>
                <w:rFonts w:ascii="Arial" w:hAnsi="Arial" w:eastAsia="Arial"/>
                <w:b w:val="0"/>
                <w:i w:val="0"/>
                <w:sz w:val="13"/>
              </w:rPr>
              <w:t>0.215</w:t>
            </w:r>
          </w:p>
        </w:tc>
        <w:tc>
          <w:tcPr>
            <w:tcW w:w="1944" w:type="dxa"/>
            <w:shd w:val="clear" w:color="auto" w:fill="FFFFFF"/>
            <w:tcMar>
              <w:top w:w="50" w:type="dxa"/>
              <w:left w:w="55" w:type="dxa"/>
              <w:bottom w:w="50" w:type="dxa"/>
              <w:right w:w="55" w:type="dxa"/>
            </w:tcMar>
            <w:vAlign w:val="top"/>
          </w:tcPr>
          <w:p w14:paraId="08071692">
            <w:pPr>
              <w:spacing w:before="0" w:after="0" w:line="240" w:lineRule="auto"/>
              <w:jc w:val="left"/>
            </w:pPr>
            <w:r>
              <w:rPr>
                <w:rFonts w:ascii="Arial" w:hAnsi="Arial" w:eastAsia="Arial"/>
                <w:b w:val="0"/>
                <w:i w:val="0"/>
                <w:sz w:val="13"/>
              </w:rPr>
              <w:t>person-waves=5,553; events=179</w:t>
            </w:r>
          </w:p>
        </w:tc>
        <w:tc>
          <w:tcPr>
            <w:tcW w:w="3671" w:type="dxa"/>
            <w:shd w:val="clear" w:color="auto" w:fill="FFFFFF"/>
            <w:tcMar>
              <w:top w:w="50" w:type="dxa"/>
              <w:left w:w="55" w:type="dxa"/>
              <w:bottom w:w="50" w:type="dxa"/>
              <w:right w:w="55" w:type="dxa"/>
            </w:tcMar>
            <w:vAlign w:val="top"/>
          </w:tcPr>
          <w:p w14:paraId="54E23CC9">
            <w:pPr>
              <w:spacing w:before="0" w:after="0" w:line="240" w:lineRule="auto"/>
              <w:jc w:val="left"/>
            </w:pPr>
            <w:r>
              <w:rPr>
                <w:rFonts w:ascii="Arial" w:hAnsi="Arial" w:eastAsia="Arial"/>
                <w:b w:val="0"/>
                <w:i w:val="0"/>
                <w:sz w:val="13"/>
              </w:rPr>
              <w:t>The ELSA null pattern was not materially altered.</w:t>
            </w:r>
          </w:p>
        </w:tc>
      </w:tr>
      <w:tr w14:paraId="37B88D56">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3E5B5692">
            <w:pPr>
              <w:spacing w:before="0" w:after="0" w:line="240" w:lineRule="auto"/>
              <w:jc w:val="center"/>
            </w:pPr>
            <w:r>
              <w:rPr>
                <w:rFonts w:ascii="Arial" w:hAnsi="Arial" w:eastAsia="Arial"/>
                <w:b w:val="0"/>
                <w:i w:val="0"/>
                <w:sz w:val="13"/>
              </w:rPr>
              <w:t>ELSA</w:t>
            </w:r>
          </w:p>
        </w:tc>
        <w:tc>
          <w:tcPr>
            <w:tcW w:w="2232" w:type="dxa"/>
            <w:shd w:val="clear" w:color="auto" w:fill="F6F8FA"/>
            <w:tcMar>
              <w:top w:w="50" w:type="dxa"/>
              <w:left w:w="55" w:type="dxa"/>
              <w:bottom w:w="50" w:type="dxa"/>
              <w:right w:w="55" w:type="dxa"/>
            </w:tcMar>
            <w:vAlign w:val="top"/>
          </w:tcPr>
          <w:p w14:paraId="48CB3BD0">
            <w:pPr>
              <w:spacing w:before="0" w:after="0" w:line="240" w:lineRule="auto"/>
              <w:jc w:val="left"/>
            </w:pPr>
            <w:r>
              <w:rPr>
                <w:rFonts w:ascii="Arial" w:hAnsi="Arial" w:eastAsia="Arial"/>
                <w:b w:val="0"/>
                <w:i w:val="0"/>
                <w:sz w:val="13"/>
              </w:rPr>
              <w:t>Raw CES-D one-point scale</w:t>
            </w:r>
          </w:p>
        </w:tc>
        <w:tc>
          <w:tcPr>
            <w:tcW w:w="2376" w:type="dxa"/>
            <w:shd w:val="clear" w:color="auto" w:fill="F6F8FA"/>
            <w:tcMar>
              <w:top w:w="50" w:type="dxa"/>
              <w:left w:w="55" w:type="dxa"/>
              <w:bottom w:w="50" w:type="dxa"/>
              <w:right w:w="55" w:type="dxa"/>
            </w:tcMar>
            <w:vAlign w:val="top"/>
          </w:tcPr>
          <w:p w14:paraId="26F1EE0B">
            <w:pPr>
              <w:spacing w:before="0" w:after="0" w:line="240" w:lineRule="auto"/>
              <w:jc w:val="left"/>
            </w:pPr>
            <w:r>
              <w:rPr>
                <w:rFonts w:ascii="Arial" w:hAnsi="Arial" w:eastAsia="Arial"/>
                <w:b w:val="0"/>
                <w:i w:val="0"/>
                <w:sz w:val="13"/>
              </w:rPr>
              <w:t>Prior burden</w:t>
            </w:r>
          </w:p>
        </w:tc>
        <w:tc>
          <w:tcPr>
            <w:tcW w:w="1728" w:type="dxa"/>
            <w:shd w:val="clear" w:color="auto" w:fill="F6F8FA"/>
            <w:tcMar>
              <w:top w:w="50" w:type="dxa"/>
              <w:left w:w="55" w:type="dxa"/>
              <w:bottom w:w="50" w:type="dxa"/>
              <w:right w:w="55" w:type="dxa"/>
            </w:tcMar>
            <w:vAlign w:val="top"/>
          </w:tcPr>
          <w:p w14:paraId="7A617252">
            <w:pPr>
              <w:spacing w:before="0" w:after="0" w:line="240" w:lineRule="auto"/>
              <w:jc w:val="center"/>
            </w:pPr>
            <w:r>
              <w:rPr>
                <w:rFonts w:ascii="Arial" w:hAnsi="Arial" w:eastAsia="Arial"/>
                <w:b w:val="0"/>
                <w:i w:val="0"/>
                <w:sz w:val="13"/>
              </w:rPr>
              <w:t>HR per 1 CES-D-8 point</w:t>
            </w:r>
          </w:p>
        </w:tc>
        <w:tc>
          <w:tcPr>
            <w:tcW w:w="1728" w:type="dxa"/>
            <w:shd w:val="clear" w:color="auto" w:fill="F6F8FA"/>
            <w:tcMar>
              <w:top w:w="50" w:type="dxa"/>
              <w:left w:w="55" w:type="dxa"/>
              <w:bottom w:w="50" w:type="dxa"/>
              <w:right w:w="55" w:type="dxa"/>
            </w:tcMar>
            <w:vAlign w:val="top"/>
          </w:tcPr>
          <w:p w14:paraId="0A59A47A">
            <w:pPr>
              <w:spacing w:before="0" w:after="0" w:line="240" w:lineRule="auto"/>
              <w:jc w:val="center"/>
            </w:pPr>
            <w:r>
              <w:rPr>
                <w:rFonts w:ascii="Arial" w:hAnsi="Arial" w:eastAsia="Arial"/>
                <w:b w:val="0"/>
                <w:i w:val="0"/>
                <w:sz w:val="13"/>
              </w:rPr>
              <w:t>1.009 (0.926–1.100)</w:t>
            </w:r>
          </w:p>
        </w:tc>
        <w:tc>
          <w:tcPr>
            <w:tcW w:w="936" w:type="dxa"/>
            <w:shd w:val="clear" w:color="auto" w:fill="F6F8FA"/>
            <w:tcMar>
              <w:top w:w="50" w:type="dxa"/>
              <w:left w:w="55" w:type="dxa"/>
              <w:bottom w:w="50" w:type="dxa"/>
              <w:right w:w="55" w:type="dxa"/>
            </w:tcMar>
            <w:vAlign w:val="top"/>
          </w:tcPr>
          <w:p w14:paraId="1F633288">
            <w:pPr>
              <w:spacing w:before="0" w:after="0" w:line="240" w:lineRule="auto"/>
              <w:jc w:val="center"/>
            </w:pPr>
            <w:r>
              <w:rPr>
                <w:rFonts w:ascii="Arial" w:hAnsi="Arial" w:eastAsia="Arial"/>
                <w:b w:val="0"/>
                <w:i w:val="0"/>
                <w:sz w:val="13"/>
              </w:rPr>
              <w:t>0.833</w:t>
            </w:r>
          </w:p>
        </w:tc>
        <w:tc>
          <w:tcPr>
            <w:tcW w:w="1944" w:type="dxa"/>
            <w:shd w:val="clear" w:color="auto" w:fill="F6F8FA"/>
            <w:tcMar>
              <w:top w:w="50" w:type="dxa"/>
              <w:left w:w="55" w:type="dxa"/>
              <w:bottom w:w="50" w:type="dxa"/>
              <w:right w:w="55" w:type="dxa"/>
            </w:tcMar>
            <w:vAlign w:val="top"/>
          </w:tcPr>
          <w:p w14:paraId="30E93D84">
            <w:pPr>
              <w:spacing w:before="0" w:after="0" w:line="240" w:lineRule="auto"/>
              <w:jc w:val="left"/>
            </w:pPr>
            <w:r>
              <w:rPr>
                <w:rFonts w:ascii="Arial" w:hAnsi="Arial" w:eastAsia="Arial"/>
                <w:b w:val="0"/>
                <w:i w:val="0"/>
                <w:sz w:val="13"/>
              </w:rPr>
              <w:t>N=2,271; person-waves=9,248; events=419</w:t>
            </w:r>
          </w:p>
        </w:tc>
        <w:tc>
          <w:tcPr>
            <w:tcW w:w="3671" w:type="dxa"/>
            <w:shd w:val="clear" w:color="auto" w:fill="F6F8FA"/>
            <w:tcMar>
              <w:top w:w="50" w:type="dxa"/>
              <w:left w:w="55" w:type="dxa"/>
              <w:bottom w:w="50" w:type="dxa"/>
              <w:right w:w="55" w:type="dxa"/>
            </w:tcMar>
            <w:vAlign w:val="top"/>
          </w:tcPr>
          <w:p w14:paraId="55DD64D5">
            <w:pPr>
              <w:spacing w:before="0" w:after="0" w:line="240" w:lineRule="auto"/>
              <w:jc w:val="left"/>
            </w:pPr>
            <w:r>
              <w:rPr>
                <w:rFonts w:ascii="Arial" w:hAnsi="Arial" w:eastAsia="Arial"/>
                <w:b w:val="0"/>
                <w:i w:val="0"/>
                <w:sz w:val="13"/>
              </w:rPr>
              <w:t>The ELSA null pattern was not materially altered.</w:t>
            </w:r>
          </w:p>
        </w:tc>
      </w:tr>
      <w:tr w14:paraId="46B92596">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3385D253">
            <w:pPr>
              <w:spacing w:before="0" w:after="0" w:line="240" w:lineRule="auto"/>
              <w:jc w:val="center"/>
            </w:pPr>
            <w:r>
              <w:rPr>
                <w:rFonts w:ascii="Arial" w:hAnsi="Arial" w:eastAsia="Arial"/>
                <w:b w:val="0"/>
                <w:i w:val="0"/>
                <w:sz w:val="13"/>
              </w:rPr>
              <w:t>ELSA</w:t>
            </w:r>
          </w:p>
        </w:tc>
        <w:tc>
          <w:tcPr>
            <w:tcW w:w="2232" w:type="dxa"/>
            <w:shd w:val="clear" w:color="auto" w:fill="FFFFFF"/>
            <w:tcMar>
              <w:top w:w="50" w:type="dxa"/>
              <w:left w:w="55" w:type="dxa"/>
              <w:bottom w:w="50" w:type="dxa"/>
              <w:right w:w="55" w:type="dxa"/>
            </w:tcMar>
            <w:vAlign w:val="top"/>
          </w:tcPr>
          <w:p w14:paraId="3C77FE40">
            <w:pPr>
              <w:spacing w:before="0" w:after="0" w:line="240" w:lineRule="auto"/>
              <w:jc w:val="left"/>
            </w:pPr>
            <w:r>
              <w:rPr>
                <w:rFonts w:ascii="Arial" w:hAnsi="Arial" w:eastAsia="Arial"/>
                <w:b w:val="0"/>
                <w:i w:val="0"/>
                <w:sz w:val="13"/>
              </w:rPr>
              <w:t>Raw CES-D one-point scale</w:t>
            </w:r>
          </w:p>
        </w:tc>
        <w:tc>
          <w:tcPr>
            <w:tcW w:w="2376" w:type="dxa"/>
            <w:shd w:val="clear" w:color="auto" w:fill="FFFFFF"/>
            <w:tcMar>
              <w:top w:w="50" w:type="dxa"/>
              <w:left w:w="55" w:type="dxa"/>
              <w:bottom w:w="50" w:type="dxa"/>
              <w:right w:w="55" w:type="dxa"/>
            </w:tcMar>
            <w:vAlign w:val="top"/>
          </w:tcPr>
          <w:p w14:paraId="1655C4BE">
            <w:pPr>
              <w:spacing w:before="0" w:after="0" w:line="240" w:lineRule="auto"/>
              <w:jc w:val="left"/>
            </w:pPr>
            <w:r>
              <w:rPr>
                <w:rFonts w:ascii="Arial" w:hAnsi="Arial" w:eastAsia="Arial"/>
                <w:b w:val="0"/>
                <w:i w:val="0"/>
                <w:sz w:val="13"/>
              </w:rPr>
              <w:t>Current deviation</w:t>
            </w:r>
          </w:p>
        </w:tc>
        <w:tc>
          <w:tcPr>
            <w:tcW w:w="1728" w:type="dxa"/>
            <w:shd w:val="clear" w:color="auto" w:fill="FFFFFF"/>
            <w:tcMar>
              <w:top w:w="50" w:type="dxa"/>
              <w:left w:w="55" w:type="dxa"/>
              <w:bottom w:w="50" w:type="dxa"/>
              <w:right w:w="55" w:type="dxa"/>
            </w:tcMar>
            <w:vAlign w:val="top"/>
          </w:tcPr>
          <w:p w14:paraId="368881AC">
            <w:pPr>
              <w:spacing w:before="0" w:after="0" w:line="240" w:lineRule="auto"/>
              <w:jc w:val="center"/>
            </w:pPr>
            <w:r>
              <w:rPr>
                <w:rFonts w:ascii="Arial" w:hAnsi="Arial" w:eastAsia="Arial"/>
                <w:b w:val="0"/>
                <w:i w:val="0"/>
                <w:sz w:val="13"/>
              </w:rPr>
              <w:t>HR per 1 CES-D-8 point</w:t>
            </w:r>
          </w:p>
        </w:tc>
        <w:tc>
          <w:tcPr>
            <w:tcW w:w="1728" w:type="dxa"/>
            <w:shd w:val="clear" w:color="auto" w:fill="FFFFFF"/>
            <w:tcMar>
              <w:top w:w="50" w:type="dxa"/>
              <w:left w:w="55" w:type="dxa"/>
              <w:bottom w:w="50" w:type="dxa"/>
              <w:right w:w="55" w:type="dxa"/>
            </w:tcMar>
            <w:vAlign w:val="top"/>
          </w:tcPr>
          <w:p w14:paraId="2FA6BADE">
            <w:pPr>
              <w:spacing w:before="0" w:after="0" w:line="240" w:lineRule="auto"/>
              <w:jc w:val="center"/>
            </w:pPr>
            <w:r>
              <w:rPr>
                <w:rFonts w:ascii="Arial" w:hAnsi="Arial" w:eastAsia="Arial"/>
                <w:b w:val="0"/>
                <w:i w:val="0"/>
                <w:sz w:val="13"/>
              </w:rPr>
              <w:t>0.944 (0.875–1.018)</w:t>
            </w:r>
          </w:p>
        </w:tc>
        <w:tc>
          <w:tcPr>
            <w:tcW w:w="936" w:type="dxa"/>
            <w:shd w:val="clear" w:color="auto" w:fill="FFFFFF"/>
            <w:tcMar>
              <w:top w:w="50" w:type="dxa"/>
              <w:left w:w="55" w:type="dxa"/>
              <w:bottom w:w="50" w:type="dxa"/>
              <w:right w:w="55" w:type="dxa"/>
            </w:tcMar>
            <w:vAlign w:val="top"/>
          </w:tcPr>
          <w:p w14:paraId="072A593A">
            <w:pPr>
              <w:spacing w:before="0" w:after="0" w:line="240" w:lineRule="auto"/>
              <w:jc w:val="center"/>
            </w:pPr>
            <w:r>
              <w:rPr>
                <w:rFonts w:ascii="Arial" w:hAnsi="Arial" w:eastAsia="Arial"/>
                <w:b w:val="0"/>
                <w:i w:val="0"/>
                <w:sz w:val="13"/>
              </w:rPr>
              <w:t>0.137</w:t>
            </w:r>
          </w:p>
        </w:tc>
        <w:tc>
          <w:tcPr>
            <w:tcW w:w="1944" w:type="dxa"/>
            <w:shd w:val="clear" w:color="auto" w:fill="FFFFFF"/>
            <w:tcMar>
              <w:top w:w="50" w:type="dxa"/>
              <w:left w:w="55" w:type="dxa"/>
              <w:bottom w:w="50" w:type="dxa"/>
              <w:right w:w="55" w:type="dxa"/>
            </w:tcMar>
            <w:vAlign w:val="top"/>
          </w:tcPr>
          <w:p w14:paraId="14044A32">
            <w:pPr>
              <w:spacing w:before="0" w:after="0" w:line="240" w:lineRule="auto"/>
              <w:jc w:val="left"/>
            </w:pPr>
            <w:r>
              <w:rPr>
                <w:rFonts w:ascii="Arial" w:hAnsi="Arial" w:eastAsia="Arial"/>
                <w:b w:val="0"/>
                <w:i w:val="0"/>
                <w:sz w:val="13"/>
              </w:rPr>
              <w:t>N=2,271; person-waves=9,248; events=419</w:t>
            </w:r>
          </w:p>
        </w:tc>
        <w:tc>
          <w:tcPr>
            <w:tcW w:w="3671" w:type="dxa"/>
            <w:shd w:val="clear" w:color="auto" w:fill="FFFFFF"/>
            <w:tcMar>
              <w:top w:w="50" w:type="dxa"/>
              <w:left w:w="55" w:type="dxa"/>
              <w:bottom w:w="50" w:type="dxa"/>
              <w:right w:w="55" w:type="dxa"/>
            </w:tcMar>
            <w:vAlign w:val="top"/>
          </w:tcPr>
          <w:p w14:paraId="3F5BF628">
            <w:pPr>
              <w:spacing w:before="0" w:after="0" w:line="240" w:lineRule="auto"/>
              <w:jc w:val="left"/>
            </w:pPr>
            <w:r>
              <w:rPr>
                <w:rFonts w:ascii="Arial" w:hAnsi="Arial" w:eastAsia="Arial"/>
                <w:b w:val="0"/>
                <w:i w:val="0"/>
                <w:sz w:val="13"/>
              </w:rPr>
              <w:t>The ELSA null pattern was not materially altered.</w:t>
            </w:r>
          </w:p>
        </w:tc>
      </w:tr>
      <w:tr w14:paraId="32C52A35">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6F8FA"/>
            <w:tcMar>
              <w:top w:w="50" w:type="dxa"/>
              <w:left w:w="55" w:type="dxa"/>
              <w:bottom w:w="50" w:type="dxa"/>
              <w:right w:w="55" w:type="dxa"/>
            </w:tcMar>
            <w:vAlign w:val="top"/>
          </w:tcPr>
          <w:p w14:paraId="4FB4A4E1">
            <w:pPr>
              <w:spacing w:before="0" w:after="0" w:line="240" w:lineRule="auto"/>
              <w:jc w:val="center"/>
            </w:pPr>
            <w:r>
              <w:rPr>
                <w:rFonts w:ascii="Arial" w:hAnsi="Arial" w:eastAsia="Arial"/>
                <w:b w:val="0"/>
                <w:i w:val="0"/>
                <w:sz w:val="13"/>
              </w:rPr>
              <w:t>ELSA</w:t>
            </w:r>
          </w:p>
        </w:tc>
        <w:tc>
          <w:tcPr>
            <w:tcW w:w="2232" w:type="dxa"/>
            <w:shd w:val="clear" w:color="auto" w:fill="F6F8FA"/>
            <w:tcMar>
              <w:top w:w="50" w:type="dxa"/>
              <w:left w:w="55" w:type="dxa"/>
              <w:bottom w:w="50" w:type="dxa"/>
              <w:right w:w="55" w:type="dxa"/>
            </w:tcMar>
            <w:vAlign w:val="top"/>
          </w:tcPr>
          <w:p w14:paraId="16B42E06">
            <w:pPr>
              <w:spacing w:before="0" w:after="0" w:line="240" w:lineRule="auto"/>
              <w:jc w:val="left"/>
            </w:pPr>
            <w:r>
              <w:rPr>
                <w:rFonts w:ascii="Arial" w:hAnsi="Arial" w:eastAsia="Arial"/>
                <w:b w:val="0"/>
                <w:i w:val="0"/>
                <w:sz w:val="13"/>
              </w:rPr>
              <w:t>Harmonized core without BMI</w:t>
            </w:r>
          </w:p>
        </w:tc>
        <w:tc>
          <w:tcPr>
            <w:tcW w:w="2376" w:type="dxa"/>
            <w:shd w:val="clear" w:color="auto" w:fill="F6F8FA"/>
            <w:tcMar>
              <w:top w:w="50" w:type="dxa"/>
              <w:left w:w="55" w:type="dxa"/>
              <w:bottom w:w="50" w:type="dxa"/>
              <w:right w:w="55" w:type="dxa"/>
            </w:tcMar>
            <w:vAlign w:val="top"/>
          </w:tcPr>
          <w:p w14:paraId="13A71970">
            <w:pPr>
              <w:spacing w:before="0" w:after="0" w:line="240" w:lineRule="auto"/>
              <w:jc w:val="left"/>
            </w:pPr>
            <w:r>
              <w:rPr>
                <w:rFonts w:ascii="Arial" w:hAnsi="Arial" w:eastAsia="Arial"/>
                <w:b w:val="0"/>
                <w:i w:val="0"/>
                <w:sz w:val="13"/>
              </w:rPr>
              <w:t>Prior burden</w:t>
            </w:r>
          </w:p>
        </w:tc>
        <w:tc>
          <w:tcPr>
            <w:tcW w:w="1728" w:type="dxa"/>
            <w:shd w:val="clear" w:color="auto" w:fill="F6F8FA"/>
            <w:tcMar>
              <w:top w:w="50" w:type="dxa"/>
              <w:left w:w="55" w:type="dxa"/>
              <w:bottom w:w="50" w:type="dxa"/>
              <w:right w:w="55" w:type="dxa"/>
            </w:tcMar>
            <w:vAlign w:val="top"/>
          </w:tcPr>
          <w:p w14:paraId="0529540E">
            <w:pPr>
              <w:spacing w:before="0" w:after="0" w:line="240" w:lineRule="auto"/>
              <w:jc w:val="center"/>
            </w:pPr>
            <w:r>
              <w:rPr>
                <w:rFonts w:ascii="Arial" w:hAnsi="Arial" w:eastAsia="Arial"/>
                <w:b w:val="0"/>
                <w:i w:val="0"/>
                <w:sz w:val="13"/>
              </w:rPr>
              <w:t>HR per cohort-specific SD</w:t>
            </w:r>
          </w:p>
        </w:tc>
        <w:tc>
          <w:tcPr>
            <w:tcW w:w="1728" w:type="dxa"/>
            <w:shd w:val="clear" w:color="auto" w:fill="F6F8FA"/>
            <w:tcMar>
              <w:top w:w="50" w:type="dxa"/>
              <w:left w:w="55" w:type="dxa"/>
              <w:bottom w:w="50" w:type="dxa"/>
              <w:right w:w="55" w:type="dxa"/>
            </w:tcMar>
            <w:vAlign w:val="top"/>
          </w:tcPr>
          <w:p w14:paraId="007EEB82">
            <w:pPr>
              <w:spacing w:before="0" w:after="0" w:line="240" w:lineRule="auto"/>
              <w:jc w:val="center"/>
            </w:pPr>
            <w:r>
              <w:rPr>
                <w:rFonts w:ascii="Arial" w:hAnsi="Arial" w:eastAsia="Arial"/>
                <w:b w:val="0"/>
                <w:i w:val="0"/>
                <w:sz w:val="13"/>
              </w:rPr>
              <w:t>1.026 (0.907–1.160)</w:t>
            </w:r>
          </w:p>
        </w:tc>
        <w:tc>
          <w:tcPr>
            <w:tcW w:w="936" w:type="dxa"/>
            <w:shd w:val="clear" w:color="auto" w:fill="F6F8FA"/>
            <w:tcMar>
              <w:top w:w="50" w:type="dxa"/>
              <w:left w:w="55" w:type="dxa"/>
              <w:bottom w:w="50" w:type="dxa"/>
              <w:right w:w="55" w:type="dxa"/>
            </w:tcMar>
            <w:vAlign w:val="top"/>
          </w:tcPr>
          <w:p w14:paraId="0D667FB9">
            <w:pPr>
              <w:spacing w:before="0" w:after="0" w:line="240" w:lineRule="auto"/>
              <w:jc w:val="center"/>
            </w:pPr>
            <w:r>
              <w:rPr>
                <w:rFonts w:ascii="Arial" w:hAnsi="Arial" w:eastAsia="Arial"/>
                <w:b w:val="0"/>
                <w:i w:val="0"/>
                <w:sz w:val="13"/>
              </w:rPr>
              <w:t>0.687</w:t>
            </w:r>
          </w:p>
        </w:tc>
        <w:tc>
          <w:tcPr>
            <w:tcW w:w="1944" w:type="dxa"/>
            <w:shd w:val="clear" w:color="auto" w:fill="F6F8FA"/>
            <w:tcMar>
              <w:top w:w="50" w:type="dxa"/>
              <w:left w:w="55" w:type="dxa"/>
              <w:bottom w:w="50" w:type="dxa"/>
              <w:right w:w="55" w:type="dxa"/>
            </w:tcMar>
            <w:vAlign w:val="top"/>
          </w:tcPr>
          <w:p w14:paraId="3BC59528">
            <w:pPr>
              <w:spacing w:before="0" w:after="0" w:line="240" w:lineRule="auto"/>
              <w:jc w:val="left"/>
            </w:pPr>
            <w:r>
              <w:rPr>
                <w:rFonts w:ascii="Arial" w:hAnsi="Arial" w:eastAsia="Arial"/>
                <w:b w:val="0"/>
                <w:i w:val="0"/>
                <w:sz w:val="13"/>
              </w:rPr>
              <w:t>person-waves=10,713; events=485</w:t>
            </w:r>
          </w:p>
        </w:tc>
        <w:tc>
          <w:tcPr>
            <w:tcW w:w="3671" w:type="dxa"/>
            <w:shd w:val="clear" w:color="auto" w:fill="F6F8FA"/>
            <w:tcMar>
              <w:top w:w="50" w:type="dxa"/>
              <w:left w:w="55" w:type="dxa"/>
              <w:bottom w:w="50" w:type="dxa"/>
              <w:right w:w="55" w:type="dxa"/>
            </w:tcMar>
            <w:vAlign w:val="top"/>
          </w:tcPr>
          <w:p w14:paraId="329D5916">
            <w:pPr>
              <w:spacing w:before="0" w:after="0" w:line="240" w:lineRule="auto"/>
              <w:jc w:val="left"/>
            </w:pPr>
            <w:r>
              <w:rPr>
                <w:rFonts w:ascii="Arial" w:hAnsi="Arial" w:eastAsia="Arial"/>
                <w:b w:val="0"/>
                <w:i w:val="0"/>
                <w:sz w:val="13"/>
              </w:rPr>
              <w:t>The ELSA null pattern was not materially altered.</w:t>
            </w:r>
          </w:p>
        </w:tc>
      </w:tr>
      <w:tr w14:paraId="08406863">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936" w:type="dxa"/>
            <w:shd w:val="clear" w:color="auto" w:fill="FFFFFF"/>
            <w:tcMar>
              <w:top w:w="50" w:type="dxa"/>
              <w:left w:w="55" w:type="dxa"/>
              <w:bottom w:w="50" w:type="dxa"/>
              <w:right w:w="55" w:type="dxa"/>
            </w:tcMar>
            <w:vAlign w:val="top"/>
          </w:tcPr>
          <w:p w14:paraId="3A84CC15">
            <w:pPr>
              <w:spacing w:before="0" w:after="0" w:line="240" w:lineRule="auto"/>
              <w:jc w:val="center"/>
            </w:pPr>
            <w:r>
              <w:rPr>
                <w:rFonts w:ascii="Arial" w:hAnsi="Arial" w:eastAsia="Arial"/>
                <w:b w:val="0"/>
                <w:i w:val="0"/>
                <w:sz w:val="13"/>
              </w:rPr>
              <w:t>ELSA</w:t>
            </w:r>
          </w:p>
        </w:tc>
        <w:tc>
          <w:tcPr>
            <w:tcW w:w="2232" w:type="dxa"/>
            <w:shd w:val="clear" w:color="auto" w:fill="FFFFFF"/>
            <w:tcMar>
              <w:top w:w="50" w:type="dxa"/>
              <w:left w:w="55" w:type="dxa"/>
              <w:bottom w:w="50" w:type="dxa"/>
              <w:right w:w="55" w:type="dxa"/>
            </w:tcMar>
            <w:vAlign w:val="top"/>
          </w:tcPr>
          <w:p w14:paraId="7AF07018">
            <w:pPr>
              <w:spacing w:before="0" w:after="0" w:line="240" w:lineRule="auto"/>
              <w:jc w:val="left"/>
            </w:pPr>
            <w:r>
              <w:rPr>
                <w:rFonts w:ascii="Arial" w:hAnsi="Arial" w:eastAsia="Arial"/>
                <w:b w:val="0"/>
                <w:i w:val="0"/>
                <w:sz w:val="13"/>
              </w:rPr>
              <w:t>Harmonized core without BMI</w:t>
            </w:r>
          </w:p>
        </w:tc>
        <w:tc>
          <w:tcPr>
            <w:tcW w:w="2376" w:type="dxa"/>
            <w:shd w:val="clear" w:color="auto" w:fill="FFFFFF"/>
            <w:tcMar>
              <w:top w:w="50" w:type="dxa"/>
              <w:left w:w="55" w:type="dxa"/>
              <w:bottom w:w="50" w:type="dxa"/>
              <w:right w:w="55" w:type="dxa"/>
            </w:tcMar>
            <w:vAlign w:val="top"/>
          </w:tcPr>
          <w:p w14:paraId="03CF15DC">
            <w:pPr>
              <w:spacing w:before="0" w:after="0" w:line="240" w:lineRule="auto"/>
              <w:jc w:val="left"/>
            </w:pPr>
            <w:r>
              <w:rPr>
                <w:rFonts w:ascii="Arial" w:hAnsi="Arial" w:eastAsia="Arial"/>
                <w:b w:val="0"/>
                <w:i w:val="0"/>
                <w:sz w:val="13"/>
              </w:rPr>
              <w:t>Current deviation</w:t>
            </w:r>
          </w:p>
        </w:tc>
        <w:tc>
          <w:tcPr>
            <w:tcW w:w="1728" w:type="dxa"/>
            <w:shd w:val="clear" w:color="auto" w:fill="FFFFFF"/>
            <w:tcMar>
              <w:top w:w="50" w:type="dxa"/>
              <w:left w:w="55" w:type="dxa"/>
              <w:bottom w:w="50" w:type="dxa"/>
              <w:right w:w="55" w:type="dxa"/>
            </w:tcMar>
            <w:vAlign w:val="top"/>
          </w:tcPr>
          <w:p w14:paraId="18EDAE16">
            <w:pPr>
              <w:spacing w:before="0" w:after="0" w:line="240" w:lineRule="auto"/>
              <w:jc w:val="center"/>
            </w:pPr>
            <w:r>
              <w:rPr>
                <w:rFonts w:ascii="Arial" w:hAnsi="Arial" w:eastAsia="Arial"/>
                <w:b w:val="0"/>
                <w:i w:val="0"/>
                <w:sz w:val="13"/>
              </w:rPr>
              <w:t>HR per cohort-specific SD</w:t>
            </w:r>
          </w:p>
        </w:tc>
        <w:tc>
          <w:tcPr>
            <w:tcW w:w="1728" w:type="dxa"/>
            <w:shd w:val="clear" w:color="auto" w:fill="FFFFFF"/>
            <w:tcMar>
              <w:top w:w="50" w:type="dxa"/>
              <w:left w:w="55" w:type="dxa"/>
              <w:bottom w:w="50" w:type="dxa"/>
              <w:right w:w="55" w:type="dxa"/>
            </w:tcMar>
            <w:vAlign w:val="top"/>
          </w:tcPr>
          <w:p w14:paraId="76781BF8">
            <w:pPr>
              <w:spacing w:before="0" w:after="0" w:line="240" w:lineRule="auto"/>
              <w:jc w:val="center"/>
            </w:pPr>
            <w:r>
              <w:rPr>
                <w:rFonts w:ascii="Arial" w:hAnsi="Arial" w:eastAsia="Arial"/>
                <w:b w:val="0"/>
                <w:i w:val="0"/>
                <w:sz w:val="13"/>
              </w:rPr>
              <w:t>0.956 (0.857–1.066)</w:t>
            </w:r>
          </w:p>
        </w:tc>
        <w:tc>
          <w:tcPr>
            <w:tcW w:w="936" w:type="dxa"/>
            <w:shd w:val="clear" w:color="auto" w:fill="FFFFFF"/>
            <w:tcMar>
              <w:top w:w="50" w:type="dxa"/>
              <w:left w:w="55" w:type="dxa"/>
              <w:bottom w:w="50" w:type="dxa"/>
              <w:right w:w="55" w:type="dxa"/>
            </w:tcMar>
            <w:vAlign w:val="top"/>
          </w:tcPr>
          <w:p w14:paraId="712E2838">
            <w:pPr>
              <w:spacing w:before="0" w:after="0" w:line="240" w:lineRule="auto"/>
              <w:jc w:val="center"/>
            </w:pPr>
            <w:r>
              <w:rPr>
                <w:rFonts w:ascii="Arial" w:hAnsi="Arial" w:eastAsia="Arial"/>
                <w:b w:val="0"/>
                <w:i w:val="0"/>
                <w:sz w:val="13"/>
              </w:rPr>
              <w:t>0.419</w:t>
            </w:r>
          </w:p>
        </w:tc>
        <w:tc>
          <w:tcPr>
            <w:tcW w:w="1944" w:type="dxa"/>
            <w:shd w:val="clear" w:color="auto" w:fill="FFFFFF"/>
            <w:tcMar>
              <w:top w:w="50" w:type="dxa"/>
              <w:left w:w="55" w:type="dxa"/>
              <w:bottom w:w="50" w:type="dxa"/>
              <w:right w:w="55" w:type="dxa"/>
            </w:tcMar>
            <w:vAlign w:val="top"/>
          </w:tcPr>
          <w:p w14:paraId="0232818E">
            <w:pPr>
              <w:spacing w:before="0" w:after="0" w:line="240" w:lineRule="auto"/>
              <w:jc w:val="left"/>
            </w:pPr>
            <w:r>
              <w:rPr>
                <w:rFonts w:ascii="Arial" w:hAnsi="Arial" w:eastAsia="Arial"/>
                <w:b w:val="0"/>
                <w:i w:val="0"/>
                <w:sz w:val="13"/>
              </w:rPr>
              <w:t>person-waves=10,713; events=485</w:t>
            </w:r>
          </w:p>
        </w:tc>
        <w:tc>
          <w:tcPr>
            <w:tcW w:w="3671" w:type="dxa"/>
            <w:shd w:val="clear" w:color="auto" w:fill="FFFFFF"/>
            <w:tcMar>
              <w:top w:w="50" w:type="dxa"/>
              <w:left w:w="55" w:type="dxa"/>
              <w:bottom w:w="50" w:type="dxa"/>
              <w:right w:w="55" w:type="dxa"/>
            </w:tcMar>
            <w:vAlign w:val="top"/>
          </w:tcPr>
          <w:p w14:paraId="2D21DF97">
            <w:pPr>
              <w:spacing w:before="0" w:after="0" w:line="240" w:lineRule="auto"/>
              <w:jc w:val="left"/>
            </w:pPr>
            <w:r>
              <w:rPr>
                <w:rFonts w:ascii="Arial" w:hAnsi="Arial" w:eastAsia="Arial"/>
                <w:b w:val="0"/>
                <w:i w:val="0"/>
                <w:sz w:val="13"/>
              </w:rPr>
              <w:t>The ELSA null pattern was not materially altered.</w:t>
            </w:r>
          </w:p>
        </w:tc>
      </w:tr>
    </w:tbl>
    <w:p w14:paraId="1D0698DB">
      <w:pPr>
        <w:spacing w:before="0" w:after="40"/>
      </w:pPr>
    </w:p>
    <w:p w14:paraId="115DEABE">
      <w:pPr>
        <w:pStyle w:val="166"/>
        <w:keepLines/>
      </w:pPr>
      <w:r>
        <w:rPr>
          <w:rFonts w:ascii="Arial" w:hAnsi="Arial" w:eastAsia="Arial"/>
          <w:b/>
          <w:i w:val="0"/>
          <w:sz w:val="14"/>
        </w:rPr>
        <w:t>Note. Current snapshot was not entered together with prior burden and current deviation because current snapshot equals their sum by construction. SHARE leave-one-country-out entries report the range of point estimates. ELSA correlation and VIF diagnostics were reconstructed in the final QC on the exact primary person-wave sample.</w:t>
      </w:r>
    </w:p>
    <w:p w14:paraId="0385ED28">
      <w:r>
        <w:br w:type="page"/>
      </w:r>
    </w:p>
    <w:p w14:paraId="2901FBF9">
      <w:pPr>
        <w:pStyle w:val="164"/>
      </w:pPr>
      <w:r>
        <w:rPr>
          <w:rFonts w:ascii="Arial" w:hAnsi="Arial" w:eastAsia="Arial"/>
          <w:b/>
          <w:i w:val="0"/>
          <w:sz w:val="21"/>
        </w:rPr>
        <w:t>Table S4. Cross-cohort heterogeneity and reweighting diagnostics</w:t>
      </w:r>
    </w:p>
    <w:p w14:paraId="637611D3">
      <w:pPr>
        <w:pStyle w:val="165"/>
        <w:keepNext/>
      </w:pPr>
      <w:r>
        <w:rPr>
          <w:rFonts w:ascii="Arial" w:hAnsi="Arial" w:eastAsia="Arial"/>
          <w:b/>
          <w:i w:val="0"/>
          <w:color w:val="355C7D"/>
          <w:sz w:val="17"/>
        </w:rPr>
        <w:t>Panel A. Formal HRS–ELSA heterogeneity</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3136"/>
        <w:gridCol w:w="3136"/>
        <w:gridCol w:w="3136"/>
        <w:gridCol w:w="3136"/>
        <w:gridCol w:w="3136"/>
      </w:tblGrid>
      <w:tr w14:paraId="2BAD7DEE">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2448" w:type="dxa"/>
            <w:shd w:val="clear" w:color="auto" w:fill="355C7D"/>
            <w:tcMar>
              <w:top w:w="60" w:type="dxa"/>
              <w:left w:w="55" w:type="dxa"/>
              <w:bottom w:w="60" w:type="dxa"/>
              <w:right w:w="55" w:type="dxa"/>
            </w:tcMar>
            <w:vAlign w:val="center"/>
          </w:tcPr>
          <w:p w14:paraId="1CD38731">
            <w:pPr>
              <w:spacing w:before="0" w:after="0" w:line="240" w:lineRule="auto"/>
              <w:jc w:val="center"/>
            </w:pPr>
            <w:r>
              <w:rPr>
                <w:rFonts w:ascii="Arial" w:hAnsi="Arial" w:eastAsia="Arial"/>
                <w:b/>
                <w:i w:val="0"/>
                <w:color w:val="FFFFFF"/>
                <w:sz w:val="14"/>
              </w:rPr>
              <w:t>Domain</w:t>
            </w:r>
          </w:p>
        </w:tc>
        <w:tc>
          <w:tcPr>
            <w:tcW w:w="3168" w:type="dxa"/>
            <w:shd w:val="clear" w:color="auto" w:fill="355C7D"/>
            <w:tcMar>
              <w:top w:w="60" w:type="dxa"/>
              <w:left w:w="55" w:type="dxa"/>
              <w:bottom w:w="60" w:type="dxa"/>
              <w:right w:w="55" w:type="dxa"/>
            </w:tcMar>
            <w:vAlign w:val="center"/>
          </w:tcPr>
          <w:p w14:paraId="03F01CE5">
            <w:pPr>
              <w:spacing w:before="0" w:after="0" w:line="240" w:lineRule="auto"/>
              <w:jc w:val="center"/>
            </w:pPr>
            <w:r>
              <w:rPr>
                <w:rFonts w:ascii="Arial" w:hAnsi="Arial" w:eastAsia="Arial"/>
                <w:b/>
                <w:i w:val="0"/>
                <w:color w:val="FFFFFF"/>
                <w:sz w:val="14"/>
              </w:rPr>
              <w:t>Comparison or diagnostic</w:t>
            </w:r>
          </w:p>
        </w:tc>
        <w:tc>
          <w:tcPr>
            <w:tcW w:w="2520" w:type="dxa"/>
            <w:shd w:val="clear" w:color="auto" w:fill="355C7D"/>
            <w:tcMar>
              <w:top w:w="60" w:type="dxa"/>
              <w:left w:w="55" w:type="dxa"/>
              <w:bottom w:w="60" w:type="dxa"/>
              <w:right w:w="55" w:type="dxa"/>
            </w:tcMar>
            <w:vAlign w:val="center"/>
          </w:tcPr>
          <w:p w14:paraId="0265F381">
            <w:pPr>
              <w:spacing w:before="0" w:after="0" w:line="240" w:lineRule="auto"/>
              <w:jc w:val="center"/>
            </w:pPr>
            <w:r>
              <w:rPr>
                <w:rFonts w:ascii="Arial" w:hAnsi="Arial" w:eastAsia="Arial"/>
                <w:b/>
                <w:i w:val="0"/>
                <w:color w:val="FFFFFF"/>
                <w:sz w:val="14"/>
              </w:rPr>
              <w:t>Result</w:t>
            </w:r>
          </w:p>
        </w:tc>
        <w:tc>
          <w:tcPr>
            <w:tcW w:w="3024" w:type="dxa"/>
            <w:shd w:val="clear" w:color="auto" w:fill="355C7D"/>
            <w:tcMar>
              <w:top w:w="60" w:type="dxa"/>
              <w:left w:w="55" w:type="dxa"/>
              <w:bottom w:w="60" w:type="dxa"/>
              <w:right w:w="55" w:type="dxa"/>
            </w:tcMar>
            <w:vAlign w:val="center"/>
          </w:tcPr>
          <w:p w14:paraId="262E0314">
            <w:pPr>
              <w:spacing w:before="0" w:after="0" w:line="240" w:lineRule="auto"/>
              <w:jc w:val="center"/>
            </w:pPr>
            <w:r>
              <w:rPr>
                <w:rFonts w:ascii="Arial" w:hAnsi="Arial" w:eastAsia="Arial"/>
                <w:b/>
                <w:i w:val="0"/>
                <w:color w:val="FFFFFF"/>
                <w:sz w:val="14"/>
              </w:rPr>
              <w:t>Prespecified criterion</w:t>
            </w:r>
          </w:p>
        </w:tc>
        <w:tc>
          <w:tcPr>
            <w:tcW w:w="4392" w:type="dxa"/>
            <w:shd w:val="clear" w:color="auto" w:fill="355C7D"/>
            <w:tcMar>
              <w:top w:w="60" w:type="dxa"/>
              <w:left w:w="55" w:type="dxa"/>
              <w:bottom w:w="60" w:type="dxa"/>
              <w:right w:w="55" w:type="dxa"/>
            </w:tcMar>
            <w:vAlign w:val="center"/>
          </w:tcPr>
          <w:p w14:paraId="0A3F1C6B">
            <w:pPr>
              <w:spacing w:before="0" w:after="0" w:line="240" w:lineRule="auto"/>
              <w:jc w:val="center"/>
            </w:pPr>
            <w:r>
              <w:rPr>
                <w:rFonts w:ascii="Arial" w:hAnsi="Arial" w:eastAsia="Arial"/>
                <w:b/>
                <w:i w:val="0"/>
                <w:color w:val="FFFFFF"/>
                <w:sz w:val="14"/>
              </w:rPr>
              <w:t>Interpretation</w:t>
            </w:r>
          </w:p>
        </w:tc>
      </w:tr>
      <w:tr w14:paraId="55B315CB">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FFFFF"/>
            <w:tcMar>
              <w:top w:w="50" w:type="dxa"/>
              <w:left w:w="55" w:type="dxa"/>
              <w:bottom w:w="50" w:type="dxa"/>
              <w:right w:w="55" w:type="dxa"/>
            </w:tcMar>
            <w:vAlign w:val="top"/>
          </w:tcPr>
          <w:p w14:paraId="49F3A94B">
            <w:pPr>
              <w:spacing w:before="0" w:after="0" w:line="240" w:lineRule="auto"/>
              <w:jc w:val="left"/>
            </w:pPr>
            <w:r>
              <w:rPr>
                <w:rFonts w:ascii="Arial" w:hAnsi="Arial" w:eastAsia="Arial"/>
                <w:b w:val="0"/>
                <w:i w:val="0"/>
                <w:sz w:val="14"/>
              </w:rPr>
              <w:t>Coefficient interaction on the common raw CES-D scale</w:t>
            </w:r>
          </w:p>
        </w:tc>
        <w:tc>
          <w:tcPr>
            <w:tcW w:w="3168" w:type="dxa"/>
            <w:shd w:val="clear" w:color="auto" w:fill="FFFFFF"/>
            <w:tcMar>
              <w:top w:w="50" w:type="dxa"/>
              <w:left w:w="55" w:type="dxa"/>
              <w:bottom w:w="50" w:type="dxa"/>
              <w:right w:w="55" w:type="dxa"/>
            </w:tcMar>
            <w:vAlign w:val="top"/>
          </w:tcPr>
          <w:p w14:paraId="389ECF1C">
            <w:pPr>
              <w:spacing w:before="0" w:after="0" w:line="240" w:lineRule="auto"/>
              <w:jc w:val="left"/>
            </w:pPr>
            <w:r>
              <w:rPr>
                <w:rFonts w:ascii="Arial" w:hAnsi="Arial" w:eastAsia="Arial"/>
                <w:b w:val="0"/>
                <w:i w:val="0"/>
                <w:sz w:val="14"/>
              </w:rPr>
              <w:t>Prior burden: ELSA minus HRS log-HR coefficient</w:t>
            </w:r>
          </w:p>
        </w:tc>
        <w:tc>
          <w:tcPr>
            <w:tcW w:w="2520" w:type="dxa"/>
            <w:shd w:val="clear" w:color="auto" w:fill="FFFFFF"/>
            <w:tcMar>
              <w:top w:w="50" w:type="dxa"/>
              <w:left w:w="55" w:type="dxa"/>
              <w:bottom w:w="50" w:type="dxa"/>
              <w:right w:w="55" w:type="dxa"/>
            </w:tcMar>
            <w:vAlign w:val="top"/>
          </w:tcPr>
          <w:p w14:paraId="66856A04">
            <w:pPr>
              <w:spacing w:before="0" w:after="0" w:line="240" w:lineRule="auto"/>
              <w:jc w:val="center"/>
            </w:pPr>
            <w:r>
              <w:rPr>
                <w:rFonts w:ascii="Arial" w:hAnsi="Arial" w:eastAsia="Arial"/>
                <w:b w:val="0"/>
                <w:i w:val="0"/>
                <w:sz w:val="14"/>
              </w:rPr>
              <w:t>β difference −0.115 (−0.211 to −0.019); P=0.019</w:t>
            </w:r>
          </w:p>
        </w:tc>
        <w:tc>
          <w:tcPr>
            <w:tcW w:w="3024" w:type="dxa"/>
            <w:shd w:val="clear" w:color="auto" w:fill="FFFFFF"/>
            <w:tcMar>
              <w:top w:w="50" w:type="dxa"/>
              <w:left w:w="55" w:type="dxa"/>
              <w:bottom w:w="50" w:type="dxa"/>
              <w:right w:w="55" w:type="dxa"/>
            </w:tcMar>
            <w:vAlign w:val="top"/>
          </w:tcPr>
          <w:p w14:paraId="4459FEBD">
            <w:pPr>
              <w:spacing w:before="0" w:after="0" w:line="240" w:lineRule="auto"/>
              <w:jc w:val="left"/>
            </w:pPr>
            <w:r>
              <w:rPr>
                <w:rFonts w:ascii="Arial" w:hAnsi="Arial" w:eastAsia="Arial"/>
                <w:b w:val="0"/>
                <w:i w:val="0"/>
                <w:sz w:val="14"/>
              </w:rPr>
              <w:t>Two-sided interaction test on log-HR coefficients</w:t>
            </w:r>
          </w:p>
        </w:tc>
        <w:tc>
          <w:tcPr>
            <w:tcW w:w="4392" w:type="dxa"/>
            <w:shd w:val="clear" w:color="auto" w:fill="FFFFFF"/>
            <w:tcMar>
              <w:top w:w="50" w:type="dxa"/>
              <w:left w:w="55" w:type="dxa"/>
              <w:bottom w:w="50" w:type="dxa"/>
              <w:right w:w="55" w:type="dxa"/>
            </w:tcMar>
            <w:vAlign w:val="top"/>
          </w:tcPr>
          <w:p w14:paraId="5B8E9A04">
            <w:pPr>
              <w:spacing w:before="0" w:after="0" w:line="240" w:lineRule="auto"/>
              <w:jc w:val="left"/>
            </w:pPr>
            <w:r>
              <w:rPr>
                <w:rFonts w:ascii="Arial" w:hAnsi="Arial" w:eastAsia="Arial"/>
                <w:b w:val="0"/>
                <w:i w:val="0"/>
                <w:sz w:val="14"/>
              </w:rPr>
              <w:t>Prior-burden coefficients differed significantly between HRS and ELSA.</w:t>
            </w:r>
          </w:p>
        </w:tc>
      </w:tr>
      <w:tr w14:paraId="6E05C0A8">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6F8FA"/>
            <w:tcMar>
              <w:top w:w="50" w:type="dxa"/>
              <w:left w:w="55" w:type="dxa"/>
              <w:bottom w:w="50" w:type="dxa"/>
              <w:right w:w="55" w:type="dxa"/>
            </w:tcMar>
            <w:vAlign w:val="top"/>
          </w:tcPr>
          <w:p w14:paraId="4B6646B4">
            <w:pPr>
              <w:spacing w:before="0" w:after="0" w:line="240" w:lineRule="auto"/>
              <w:jc w:val="left"/>
            </w:pPr>
            <w:r>
              <w:rPr>
                <w:rFonts w:ascii="Arial" w:hAnsi="Arial" w:eastAsia="Arial"/>
                <w:b w:val="0"/>
                <w:i w:val="0"/>
                <w:sz w:val="14"/>
              </w:rPr>
              <w:t>Coefficient interaction on the common raw CES-D scale</w:t>
            </w:r>
          </w:p>
        </w:tc>
        <w:tc>
          <w:tcPr>
            <w:tcW w:w="3168" w:type="dxa"/>
            <w:shd w:val="clear" w:color="auto" w:fill="F6F8FA"/>
            <w:tcMar>
              <w:top w:w="50" w:type="dxa"/>
              <w:left w:w="55" w:type="dxa"/>
              <w:bottom w:w="50" w:type="dxa"/>
              <w:right w:w="55" w:type="dxa"/>
            </w:tcMar>
            <w:vAlign w:val="top"/>
          </w:tcPr>
          <w:p w14:paraId="10172EA9">
            <w:pPr>
              <w:spacing w:before="0" w:after="0" w:line="240" w:lineRule="auto"/>
              <w:jc w:val="left"/>
            </w:pPr>
            <w:r>
              <w:rPr>
                <w:rFonts w:ascii="Arial" w:hAnsi="Arial" w:eastAsia="Arial"/>
                <w:b w:val="0"/>
                <w:i w:val="0"/>
                <w:sz w:val="14"/>
              </w:rPr>
              <w:t>Current deviation: ELSA minus HRS log-HR coefficient</w:t>
            </w:r>
          </w:p>
        </w:tc>
        <w:tc>
          <w:tcPr>
            <w:tcW w:w="2520" w:type="dxa"/>
            <w:shd w:val="clear" w:color="auto" w:fill="F6F8FA"/>
            <w:tcMar>
              <w:top w:w="50" w:type="dxa"/>
              <w:left w:w="55" w:type="dxa"/>
              <w:bottom w:w="50" w:type="dxa"/>
              <w:right w:w="55" w:type="dxa"/>
            </w:tcMar>
            <w:vAlign w:val="top"/>
          </w:tcPr>
          <w:p w14:paraId="6E2BC9A6">
            <w:pPr>
              <w:spacing w:before="0" w:after="0" w:line="240" w:lineRule="auto"/>
              <w:jc w:val="center"/>
            </w:pPr>
            <w:r>
              <w:rPr>
                <w:rFonts w:ascii="Arial" w:hAnsi="Arial" w:eastAsia="Arial"/>
                <w:b w:val="0"/>
                <w:i w:val="0"/>
                <w:sz w:val="14"/>
              </w:rPr>
              <w:t>β difference −0.116 (−0.204 to −0.028); P=0.010</w:t>
            </w:r>
          </w:p>
        </w:tc>
        <w:tc>
          <w:tcPr>
            <w:tcW w:w="3024" w:type="dxa"/>
            <w:shd w:val="clear" w:color="auto" w:fill="F6F8FA"/>
            <w:tcMar>
              <w:top w:w="50" w:type="dxa"/>
              <w:left w:w="55" w:type="dxa"/>
              <w:bottom w:w="50" w:type="dxa"/>
              <w:right w:w="55" w:type="dxa"/>
            </w:tcMar>
            <w:vAlign w:val="top"/>
          </w:tcPr>
          <w:p w14:paraId="36DAB43D">
            <w:pPr>
              <w:spacing w:before="0" w:after="0" w:line="240" w:lineRule="auto"/>
              <w:jc w:val="left"/>
            </w:pPr>
            <w:r>
              <w:rPr>
                <w:rFonts w:ascii="Arial" w:hAnsi="Arial" w:eastAsia="Arial"/>
                <w:b w:val="0"/>
                <w:i w:val="0"/>
                <w:sz w:val="14"/>
              </w:rPr>
              <w:t>Two-sided interaction test on log-HR coefficients</w:t>
            </w:r>
          </w:p>
        </w:tc>
        <w:tc>
          <w:tcPr>
            <w:tcW w:w="4392" w:type="dxa"/>
            <w:shd w:val="clear" w:color="auto" w:fill="F6F8FA"/>
            <w:tcMar>
              <w:top w:w="50" w:type="dxa"/>
              <w:left w:w="55" w:type="dxa"/>
              <w:bottom w:w="50" w:type="dxa"/>
              <w:right w:w="55" w:type="dxa"/>
            </w:tcMar>
            <w:vAlign w:val="top"/>
          </w:tcPr>
          <w:p w14:paraId="5552060C">
            <w:pPr>
              <w:spacing w:before="0" w:after="0" w:line="240" w:lineRule="auto"/>
              <w:jc w:val="left"/>
            </w:pPr>
            <w:r>
              <w:rPr>
                <w:rFonts w:ascii="Arial" w:hAnsi="Arial" w:eastAsia="Arial"/>
                <w:b w:val="0"/>
                <w:i w:val="0"/>
                <w:sz w:val="14"/>
              </w:rPr>
              <w:t>Current-deviation coefficients differed significantly between HRS and ELSA.</w:t>
            </w:r>
          </w:p>
        </w:tc>
      </w:tr>
    </w:tbl>
    <w:p w14:paraId="43D4996D">
      <w:pPr>
        <w:spacing w:before="0" w:after="40"/>
      </w:pPr>
    </w:p>
    <w:p w14:paraId="60AB7443">
      <w:pPr>
        <w:pStyle w:val="165"/>
        <w:keepNext/>
      </w:pPr>
      <w:r>
        <w:rPr>
          <w:rFonts w:ascii="Arial" w:hAnsi="Arial" w:eastAsia="Arial"/>
          <w:b/>
          <w:i w:val="0"/>
          <w:color w:val="355C7D"/>
          <w:sz w:val="17"/>
        </w:rPr>
        <w:t>Panel B. Original, reweighted, and observed effects</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3136"/>
        <w:gridCol w:w="3136"/>
        <w:gridCol w:w="3136"/>
        <w:gridCol w:w="3136"/>
        <w:gridCol w:w="3136"/>
      </w:tblGrid>
      <w:tr w14:paraId="179A3A7F">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2448" w:type="dxa"/>
            <w:shd w:val="clear" w:color="auto" w:fill="355C7D"/>
            <w:tcMar>
              <w:top w:w="60" w:type="dxa"/>
              <w:left w:w="55" w:type="dxa"/>
              <w:bottom w:w="60" w:type="dxa"/>
              <w:right w:w="55" w:type="dxa"/>
            </w:tcMar>
            <w:vAlign w:val="center"/>
          </w:tcPr>
          <w:p w14:paraId="6A97CF14">
            <w:pPr>
              <w:spacing w:before="0" w:after="0" w:line="240" w:lineRule="auto"/>
              <w:jc w:val="center"/>
            </w:pPr>
            <w:r>
              <w:rPr>
                <w:rFonts w:ascii="Arial" w:hAnsi="Arial" w:eastAsia="Arial"/>
                <w:b/>
                <w:i w:val="0"/>
                <w:color w:val="FFFFFF"/>
                <w:sz w:val="14"/>
              </w:rPr>
              <w:t>Domain</w:t>
            </w:r>
          </w:p>
        </w:tc>
        <w:tc>
          <w:tcPr>
            <w:tcW w:w="3168" w:type="dxa"/>
            <w:shd w:val="clear" w:color="auto" w:fill="355C7D"/>
            <w:tcMar>
              <w:top w:w="60" w:type="dxa"/>
              <w:left w:w="55" w:type="dxa"/>
              <w:bottom w:w="60" w:type="dxa"/>
              <w:right w:w="55" w:type="dxa"/>
            </w:tcMar>
            <w:vAlign w:val="center"/>
          </w:tcPr>
          <w:p w14:paraId="66A46CB7">
            <w:pPr>
              <w:spacing w:before="0" w:after="0" w:line="240" w:lineRule="auto"/>
              <w:jc w:val="center"/>
            </w:pPr>
            <w:r>
              <w:rPr>
                <w:rFonts w:ascii="Arial" w:hAnsi="Arial" w:eastAsia="Arial"/>
                <w:b/>
                <w:i w:val="0"/>
                <w:color w:val="FFFFFF"/>
                <w:sz w:val="14"/>
              </w:rPr>
              <w:t>Comparison or diagnostic</w:t>
            </w:r>
          </w:p>
        </w:tc>
        <w:tc>
          <w:tcPr>
            <w:tcW w:w="2520" w:type="dxa"/>
            <w:shd w:val="clear" w:color="auto" w:fill="355C7D"/>
            <w:tcMar>
              <w:top w:w="60" w:type="dxa"/>
              <w:left w:w="55" w:type="dxa"/>
              <w:bottom w:w="60" w:type="dxa"/>
              <w:right w:w="55" w:type="dxa"/>
            </w:tcMar>
            <w:vAlign w:val="center"/>
          </w:tcPr>
          <w:p w14:paraId="148651EB">
            <w:pPr>
              <w:spacing w:before="0" w:after="0" w:line="240" w:lineRule="auto"/>
              <w:jc w:val="center"/>
            </w:pPr>
            <w:r>
              <w:rPr>
                <w:rFonts w:ascii="Arial" w:hAnsi="Arial" w:eastAsia="Arial"/>
                <w:b/>
                <w:i w:val="0"/>
                <w:color w:val="FFFFFF"/>
                <w:sz w:val="14"/>
              </w:rPr>
              <w:t>Result</w:t>
            </w:r>
          </w:p>
        </w:tc>
        <w:tc>
          <w:tcPr>
            <w:tcW w:w="3024" w:type="dxa"/>
            <w:shd w:val="clear" w:color="auto" w:fill="355C7D"/>
            <w:tcMar>
              <w:top w:w="60" w:type="dxa"/>
              <w:left w:w="55" w:type="dxa"/>
              <w:bottom w:w="60" w:type="dxa"/>
              <w:right w:w="55" w:type="dxa"/>
            </w:tcMar>
            <w:vAlign w:val="center"/>
          </w:tcPr>
          <w:p w14:paraId="490DD8DC">
            <w:pPr>
              <w:spacing w:before="0" w:after="0" w:line="240" w:lineRule="auto"/>
              <w:jc w:val="center"/>
            </w:pPr>
            <w:r>
              <w:rPr>
                <w:rFonts w:ascii="Arial" w:hAnsi="Arial" w:eastAsia="Arial"/>
                <w:b/>
                <w:i w:val="0"/>
                <w:color w:val="FFFFFF"/>
                <w:sz w:val="14"/>
              </w:rPr>
              <w:t>Prespecified criterion</w:t>
            </w:r>
          </w:p>
        </w:tc>
        <w:tc>
          <w:tcPr>
            <w:tcW w:w="4392" w:type="dxa"/>
            <w:shd w:val="clear" w:color="auto" w:fill="355C7D"/>
            <w:tcMar>
              <w:top w:w="60" w:type="dxa"/>
              <w:left w:w="55" w:type="dxa"/>
              <w:bottom w:w="60" w:type="dxa"/>
              <w:right w:w="55" w:type="dxa"/>
            </w:tcMar>
            <w:vAlign w:val="center"/>
          </w:tcPr>
          <w:p w14:paraId="06B3183A">
            <w:pPr>
              <w:spacing w:before="0" w:after="0" w:line="240" w:lineRule="auto"/>
              <w:jc w:val="center"/>
            </w:pPr>
            <w:r>
              <w:rPr>
                <w:rFonts w:ascii="Arial" w:hAnsi="Arial" w:eastAsia="Arial"/>
                <w:b/>
                <w:i w:val="0"/>
                <w:color w:val="FFFFFF"/>
                <w:sz w:val="14"/>
              </w:rPr>
              <w:t>Interpretation</w:t>
            </w:r>
          </w:p>
        </w:tc>
      </w:tr>
      <w:tr w14:paraId="3FEE76FE">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FFFFF"/>
            <w:tcMar>
              <w:top w:w="50" w:type="dxa"/>
              <w:left w:w="55" w:type="dxa"/>
              <w:bottom w:w="50" w:type="dxa"/>
              <w:right w:w="55" w:type="dxa"/>
            </w:tcMar>
            <w:vAlign w:val="top"/>
          </w:tcPr>
          <w:p w14:paraId="4177515C">
            <w:pPr>
              <w:spacing w:before="0" w:after="0" w:line="240" w:lineRule="auto"/>
              <w:jc w:val="left"/>
            </w:pPr>
            <w:r>
              <w:rPr>
                <w:rFonts w:ascii="Arial" w:hAnsi="Arial" w:eastAsia="Arial"/>
                <w:b w:val="0"/>
                <w:i w:val="0"/>
                <w:sz w:val="14"/>
              </w:rPr>
              <w:t>Effect estimate per 1 raw CES-D point</w:t>
            </w:r>
          </w:p>
        </w:tc>
        <w:tc>
          <w:tcPr>
            <w:tcW w:w="3168" w:type="dxa"/>
            <w:shd w:val="clear" w:color="auto" w:fill="FFFFFF"/>
            <w:tcMar>
              <w:top w:w="50" w:type="dxa"/>
              <w:left w:w="55" w:type="dxa"/>
              <w:bottom w:w="50" w:type="dxa"/>
              <w:right w:w="55" w:type="dxa"/>
            </w:tcMar>
            <w:vAlign w:val="top"/>
          </w:tcPr>
          <w:p w14:paraId="7C00F9D2">
            <w:pPr>
              <w:spacing w:before="0" w:after="0" w:line="240" w:lineRule="auto"/>
              <w:jc w:val="left"/>
            </w:pPr>
            <w:r>
              <w:rPr>
                <w:rFonts w:ascii="Arial" w:hAnsi="Arial" w:eastAsia="Arial"/>
                <w:b w:val="0"/>
                <w:i w:val="0"/>
                <w:sz w:val="14"/>
              </w:rPr>
              <w:t>Original HRS — prior burden</w:t>
            </w:r>
          </w:p>
        </w:tc>
        <w:tc>
          <w:tcPr>
            <w:tcW w:w="2520" w:type="dxa"/>
            <w:shd w:val="clear" w:color="auto" w:fill="FFFFFF"/>
            <w:tcMar>
              <w:top w:w="50" w:type="dxa"/>
              <w:left w:w="55" w:type="dxa"/>
              <w:bottom w:w="50" w:type="dxa"/>
              <w:right w:w="55" w:type="dxa"/>
            </w:tcMar>
            <w:vAlign w:val="top"/>
          </w:tcPr>
          <w:p w14:paraId="07DD5D35">
            <w:pPr>
              <w:spacing w:before="0" w:after="0" w:line="240" w:lineRule="auto"/>
              <w:jc w:val="center"/>
            </w:pPr>
            <w:r>
              <w:rPr>
                <w:rFonts w:ascii="Arial" w:hAnsi="Arial" w:eastAsia="Arial"/>
                <w:b w:val="0"/>
                <w:i w:val="0"/>
                <w:sz w:val="14"/>
              </w:rPr>
              <w:t>1.132 (1.085–1.182); P&lt;0.001</w:t>
            </w:r>
          </w:p>
        </w:tc>
        <w:tc>
          <w:tcPr>
            <w:tcW w:w="3024" w:type="dxa"/>
            <w:shd w:val="clear" w:color="auto" w:fill="FFFFFF"/>
            <w:tcMar>
              <w:top w:w="50" w:type="dxa"/>
              <w:left w:w="55" w:type="dxa"/>
              <w:bottom w:w="50" w:type="dxa"/>
              <w:right w:w="55" w:type="dxa"/>
            </w:tcMar>
            <w:vAlign w:val="top"/>
          </w:tcPr>
          <w:p w14:paraId="7171DC3E">
            <w:pPr>
              <w:spacing w:before="0" w:after="0" w:line="240" w:lineRule="auto"/>
              <w:jc w:val="left"/>
            </w:pPr>
            <w:r>
              <w:rPr>
                <w:rFonts w:ascii="Arial" w:hAnsi="Arial" w:eastAsia="Arial"/>
                <w:b w:val="0"/>
                <w:i w:val="0"/>
                <w:sz w:val="14"/>
              </w:rPr>
              <w:t>Cluster-robust model CI and P</w:t>
            </w:r>
          </w:p>
        </w:tc>
        <w:tc>
          <w:tcPr>
            <w:tcW w:w="4392" w:type="dxa"/>
            <w:shd w:val="clear" w:color="auto" w:fill="FFFFFF"/>
            <w:tcMar>
              <w:top w:w="50" w:type="dxa"/>
              <w:left w:w="55" w:type="dxa"/>
              <w:bottom w:w="50" w:type="dxa"/>
              <w:right w:w="55" w:type="dxa"/>
            </w:tcMar>
            <w:vAlign w:val="top"/>
          </w:tcPr>
          <w:p w14:paraId="08FDBAE1">
            <w:pPr>
              <w:spacing w:before="0" w:after="0" w:line="240" w:lineRule="auto"/>
              <w:jc w:val="left"/>
            </w:pPr>
            <w:r>
              <w:rPr>
                <w:rFonts w:ascii="Arial" w:hAnsi="Arial" w:eastAsia="Arial"/>
                <w:b w:val="0"/>
                <w:i w:val="0"/>
                <w:sz w:val="14"/>
              </w:rPr>
              <w:t>Original unweighted HRS effect</w:t>
            </w:r>
          </w:p>
        </w:tc>
      </w:tr>
      <w:tr w14:paraId="3E4846B6">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6F8FA"/>
            <w:tcMar>
              <w:top w:w="50" w:type="dxa"/>
              <w:left w:w="55" w:type="dxa"/>
              <w:bottom w:w="50" w:type="dxa"/>
              <w:right w:w="55" w:type="dxa"/>
            </w:tcMar>
            <w:vAlign w:val="top"/>
          </w:tcPr>
          <w:p w14:paraId="41CE2FE2">
            <w:pPr>
              <w:spacing w:before="0" w:after="0" w:line="240" w:lineRule="auto"/>
              <w:jc w:val="left"/>
            </w:pPr>
            <w:r>
              <w:rPr>
                <w:rFonts w:ascii="Arial" w:hAnsi="Arial" w:eastAsia="Arial"/>
                <w:b w:val="0"/>
                <w:i w:val="0"/>
                <w:sz w:val="14"/>
              </w:rPr>
              <w:t>Effect estimate per 1 raw CES-D point</w:t>
            </w:r>
          </w:p>
        </w:tc>
        <w:tc>
          <w:tcPr>
            <w:tcW w:w="3168" w:type="dxa"/>
            <w:shd w:val="clear" w:color="auto" w:fill="F6F8FA"/>
            <w:tcMar>
              <w:top w:w="50" w:type="dxa"/>
              <w:left w:w="55" w:type="dxa"/>
              <w:bottom w:w="50" w:type="dxa"/>
              <w:right w:w="55" w:type="dxa"/>
            </w:tcMar>
            <w:vAlign w:val="top"/>
          </w:tcPr>
          <w:p w14:paraId="260C79E1">
            <w:pPr>
              <w:spacing w:before="0" w:after="0" w:line="240" w:lineRule="auto"/>
              <w:jc w:val="left"/>
            </w:pPr>
            <w:r>
              <w:rPr>
                <w:rFonts w:ascii="Arial" w:hAnsi="Arial" w:eastAsia="Arial"/>
                <w:b w:val="0"/>
                <w:i w:val="0"/>
                <w:sz w:val="14"/>
              </w:rPr>
              <w:t>Original HRS — current deviation</w:t>
            </w:r>
          </w:p>
        </w:tc>
        <w:tc>
          <w:tcPr>
            <w:tcW w:w="2520" w:type="dxa"/>
            <w:shd w:val="clear" w:color="auto" w:fill="F6F8FA"/>
            <w:tcMar>
              <w:top w:w="50" w:type="dxa"/>
              <w:left w:w="55" w:type="dxa"/>
              <w:bottom w:w="50" w:type="dxa"/>
              <w:right w:w="55" w:type="dxa"/>
            </w:tcMar>
            <w:vAlign w:val="top"/>
          </w:tcPr>
          <w:p w14:paraId="32041550">
            <w:pPr>
              <w:spacing w:before="0" w:after="0" w:line="240" w:lineRule="auto"/>
              <w:jc w:val="center"/>
            </w:pPr>
            <w:r>
              <w:rPr>
                <w:rFonts w:ascii="Arial" w:hAnsi="Arial" w:eastAsia="Arial"/>
                <w:b w:val="0"/>
                <w:i w:val="0"/>
                <w:sz w:val="14"/>
              </w:rPr>
              <w:t>1.060 (1.014–1.107); P=0.009</w:t>
            </w:r>
          </w:p>
        </w:tc>
        <w:tc>
          <w:tcPr>
            <w:tcW w:w="3024" w:type="dxa"/>
            <w:shd w:val="clear" w:color="auto" w:fill="F6F8FA"/>
            <w:tcMar>
              <w:top w:w="50" w:type="dxa"/>
              <w:left w:w="55" w:type="dxa"/>
              <w:bottom w:w="50" w:type="dxa"/>
              <w:right w:w="55" w:type="dxa"/>
            </w:tcMar>
            <w:vAlign w:val="top"/>
          </w:tcPr>
          <w:p w14:paraId="6E6D19C0">
            <w:pPr>
              <w:spacing w:before="0" w:after="0" w:line="240" w:lineRule="auto"/>
              <w:jc w:val="left"/>
            </w:pPr>
            <w:r>
              <w:rPr>
                <w:rFonts w:ascii="Arial" w:hAnsi="Arial" w:eastAsia="Arial"/>
                <w:b w:val="0"/>
                <w:i w:val="0"/>
                <w:sz w:val="14"/>
              </w:rPr>
              <w:t>Cluster-robust model CI and P</w:t>
            </w:r>
          </w:p>
        </w:tc>
        <w:tc>
          <w:tcPr>
            <w:tcW w:w="4392" w:type="dxa"/>
            <w:shd w:val="clear" w:color="auto" w:fill="F6F8FA"/>
            <w:tcMar>
              <w:top w:w="50" w:type="dxa"/>
              <w:left w:w="55" w:type="dxa"/>
              <w:bottom w:w="50" w:type="dxa"/>
              <w:right w:w="55" w:type="dxa"/>
            </w:tcMar>
            <w:vAlign w:val="top"/>
          </w:tcPr>
          <w:p w14:paraId="7C4C5267">
            <w:pPr>
              <w:spacing w:before="0" w:after="0" w:line="240" w:lineRule="auto"/>
              <w:jc w:val="left"/>
            </w:pPr>
            <w:r>
              <w:rPr>
                <w:rFonts w:ascii="Arial" w:hAnsi="Arial" w:eastAsia="Arial"/>
                <w:b w:val="0"/>
                <w:i w:val="0"/>
                <w:sz w:val="14"/>
              </w:rPr>
              <w:t>Original unweighted HRS effect</w:t>
            </w:r>
          </w:p>
        </w:tc>
      </w:tr>
      <w:tr w14:paraId="573FDD32">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FFFFF"/>
            <w:tcMar>
              <w:top w:w="50" w:type="dxa"/>
              <w:left w:w="55" w:type="dxa"/>
              <w:bottom w:w="50" w:type="dxa"/>
              <w:right w:w="55" w:type="dxa"/>
            </w:tcMar>
            <w:vAlign w:val="top"/>
          </w:tcPr>
          <w:p w14:paraId="397B5835">
            <w:pPr>
              <w:spacing w:before="0" w:after="0" w:line="240" w:lineRule="auto"/>
              <w:jc w:val="left"/>
            </w:pPr>
            <w:r>
              <w:rPr>
                <w:rFonts w:ascii="Arial" w:hAnsi="Arial" w:eastAsia="Arial"/>
                <w:b w:val="0"/>
                <w:i w:val="0"/>
                <w:sz w:val="14"/>
              </w:rPr>
              <w:t>Effect estimate per 1 raw CES-D point</w:t>
            </w:r>
          </w:p>
        </w:tc>
        <w:tc>
          <w:tcPr>
            <w:tcW w:w="3168" w:type="dxa"/>
            <w:shd w:val="clear" w:color="auto" w:fill="FFFFFF"/>
            <w:tcMar>
              <w:top w:w="50" w:type="dxa"/>
              <w:left w:w="55" w:type="dxa"/>
              <w:bottom w:w="50" w:type="dxa"/>
              <w:right w:w="55" w:type="dxa"/>
            </w:tcMar>
            <w:vAlign w:val="top"/>
          </w:tcPr>
          <w:p w14:paraId="012976BA">
            <w:pPr>
              <w:spacing w:before="0" w:after="0" w:line="240" w:lineRule="auto"/>
              <w:jc w:val="left"/>
            </w:pPr>
            <w:r>
              <w:rPr>
                <w:rFonts w:ascii="Arial" w:hAnsi="Arial" w:eastAsia="Arial"/>
                <w:b w:val="0"/>
                <w:i w:val="0"/>
                <w:sz w:val="14"/>
              </w:rPr>
              <w:t>HRS reweighted to ELSA — prior burden</w:t>
            </w:r>
          </w:p>
        </w:tc>
        <w:tc>
          <w:tcPr>
            <w:tcW w:w="2520" w:type="dxa"/>
            <w:shd w:val="clear" w:color="auto" w:fill="FFFFFF"/>
            <w:tcMar>
              <w:top w:w="50" w:type="dxa"/>
              <w:left w:w="55" w:type="dxa"/>
              <w:bottom w:w="50" w:type="dxa"/>
              <w:right w:w="55" w:type="dxa"/>
            </w:tcMar>
            <w:vAlign w:val="top"/>
          </w:tcPr>
          <w:p w14:paraId="30B4214E">
            <w:pPr>
              <w:spacing w:before="0" w:after="0" w:line="240" w:lineRule="auto"/>
              <w:jc w:val="center"/>
            </w:pPr>
            <w:r>
              <w:rPr>
                <w:rFonts w:ascii="Arial" w:hAnsi="Arial" w:eastAsia="Arial"/>
                <w:b w:val="0"/>
                <w:i w:val="0"/>
                <w:sz w:val="14"/>
              </w:rPr>
              <w:t>1.133 (1.060–1.202); bootstrap P=0.004; cluster-robust P&lt;0.001</w:t>
            </w:r>
          </w:p>
        </w:tc>
        <w:tc>
          <w:tcPr>
            <w:tcW w:w="3024" w:type="dxa"/>
            <w:shd w:val="clear" w:color="auto" w:fill="FFFFFF"/>
            <w:tcMar>
              <w:top w:w="50" w:type="dxa"/>
              <w:left w:w="55" w:type="dxa"/>
              <w:bottom w:w="50" w:type="dxa"/>
              <w:right w:w="55" w:type="dxa"/>
            </w:tcMar>
            <w:vAlign w:val="top"/>
          </w:tcPr>
          <w:p w14:paraId="0AC6012C">
            <w:pPr>
              <w:spacing w:before="0" w:after="0" w:line="240" w:lineRule="auto"/>
              <w:jc w:val="left"/>
            </w:pPr>
            <w:r>
              <w:rPr>
                <w:rFonts w:ascii="Arial" w:hAnsi="Arial" w:eastAsia="Arial"/>
                <w:b w:val="0"/>
                <w:i w:val="0"/>
                <w:sz w:val="14"/>
              </w:rPr>
              <w:t>Participant-bootstrap CI preferred for reweighted effects; robust P retained for transparency</w:t>
            </w:r>
          </w:p>
        </w:tc>
        <w:tc>
          <w:tcPr>
            <w:tcW w:w="4392" w:type="dxa"/>
            <w:shd w:val="clear" w:color="auto" w:fill="FFFFFF"/>
            <w:tcMar>
              <w:top w:w="50" w:type="dxa"/>
              <w:left w:w="55" w:type="dxa"/>
              <w:bottom w:w="50" w:type="dxa"/>
              <w:right w:w="55" w:type="dxa"/>
            </w:tcMar>
            <w:vAlign w:val="top"/>
          </w:tcPr>
          <w:p w14:paraId="30535ABF">
            <w:pPr>
              <w:spacing w:before="0" w:after="0" w:line="240" w:lineRule="auto"/>
              <w:jc w:val="left"/>
            </w:pPr>
            <w:r>
              <w:rPr>
                <w:rFonts w:ascii="Arial" w:hAnsi="Arial" w:eastAsia="Arial"/>
                <w:b w:val="0"/>
                <w:i w:val="0"/>
                <w:sz w:val="14"/>
              </w:rPr>
              <w:t>Reweighted HRS effect under the measured ELSA baseline covariate distribution</w:t>
            </w:r>
          </w:p>
        </w:tc>
      </w:tr>
      <w:tr w14:paraId="56D36A9C">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6F8FA"/>
            <w:tcMar>
              <w:top w:w="50" w:type="dxa"/>
              <w:left w:w="55" w:type="dxa"/>
              <w:bottom w:w="50" w:type="dxa"/>
              <w:right w:w="55" w:type="dxa"/>
            </w:tcMar>
            <w:vAlign w:val="top"/>
          </w:tcPr>
          <w:p w14:paraId="2F9861BD">
            <w:pPr>
              <w:spacing w:before="0" w:after="0" w:line="240" w:lineRule="auto"/>
              <w:jc w:val="left"/>
            </w:pPr>
            <w:r>
              <w:rPr>
                <w:rFonts w:ascii="Arial" w:hAnsi="Arial" w:eastAsia="Arial"/>
                <w:b w:val="0"/>
                <w:i w:val="0"/>
                <w:sz w:val="14"/>
              </w:rPr>
              <w:t>Effect estimate per 1 raw CES-D point</w:t>
            </w:r>
          </w:p>
        </w:tc>
        <w:tc>
          <w:tcPr>
            <w:tcW w:w="3168" w:type="dxa"/>
            <w:shd w:val="clear" w:color="auto" w:fill="F6F8FA"/>
            <w:tcMar>
              <w:top w:w="50" w:type="dxa"/>
              <w:left w:w="55" w:type="dxa"/>
              <w:bottom w:w="50" w:type="dxa"/>
              <w:right w:w="55" w:type="dxa"/>
            </w:tcMar>
            <w:vAlign w:val="top"/>
          </w:tcPr>
          <w:p w14:paraId="23B71455">
            <w:pPr>
              <w:spacing w:before="0" w:after="0" w:line="240" w:lineRule="auto"/>
              <w:jc w:val="left"/>
            </w:pPr>
            <w:r>
              <w:rPr>
                <w:rFonts w:ascii="Arial" w:hAnsi="Arial" w:eastAsia="Arial"/>
                <w:b w:val="0"/>
                <w:i w:val="0"/>
                <w:sz w:val="14"/>
              </w:rPr>
              <w:t>HRS reweighted to ELSA — current deviation</w:t>
            </w:r>
          </w:p>
        </w:tc>
        <w:tc>
          <w:tcPr>
            <w:tcW w:w="2520" w:type="dxa"/>
            <w:shd w:val="clear" w:color="auto" w:fill="F6F8FA"/>
            <w:tcMar>
              <w:top w:w="50" w:type="dxa"/>
              <w:left w:w="55" w:type="dxa"/>
              <w:bottom w:w="50" w:type="dxa"/>
              <w:right w:w="55" w:type="dxa"/>
            </w:tcMar>
            <w:vAlign w:val="top"/>
          </w:tcPr>
          <w:p w14:paraId="0AB535E1">
            <w:pPr>
              <w:spacing w:before="0" w:after="0" w:line="240" w:lineRule="auto"/>
              <w:jc w:val="center"/>
            </w:pPr>
            <w:r>
              <w:rPr>
                <w:rFonts w:ascii="Arial" w:hAnsi="Arial" w:eastAsia="Arial"/>
                <w:b w:val="0"/>
                <w:i w:val="0"/>
                <w:sz w:val="14"/>
              </w:rPr>
              <w:t>1.066 (1.004–1.139); bootstrap P=0.040; cluster-robust P=0.060</w:t>
            </w:r>
          </w:p>
        </w:tc>
        <w:tc>
          <w:tcPr>
            <w:tcW w:w="3024" w:type="dxa"/>
            <w:shd w:val="clear" w:color="auto" w:fill="F6F8FA"/>
            <w:tcMar>
              <w:top w:w="50" w:type="dxa"/>
              <w:left w:w="55" w:type="dxa"/>
              <w:bottom w:w="50" w:type="dxa"/>
              <w:right w:w="55" w:type="dxa"/>
            </w:tcMar>
            <w:vAlign w:val="top"/>
          </w:tcPr>
          <w:p w14:paraId="70BE7418">
            <w:pPr>
              <w:spacing w:before="0" w:after="0" w:line="240" w:lineRule="auto"/>
              <w:jc w:val="left"/>
            </w:pPr>
            <w:r>
              <w:rPr>
                <w:rFonts w:ascii="Arial" w:hAnsi="Arial" w:eastAsia="Arial"/>
                <w:b w:val="0"/>
                <w:i w:val="0"/>
                <w:sz w:val="14"/>
              </w:rPr>
              <w:t>Participant-bootstrap CI preferred for reweighted effects; robust P retained for transparency</w:t>
            </w:r>
          </w:p>
        </w:tc>
        <w:tc>
          <w:tcPr>
            <w:tcW w:w="4392" w:type="dxa"/>
            <w:shd w:val="clear" w:color="auto" w:fill="F6F8FA"/>
            <w:tcMar>
              <w:top w:w="50" w:type="dxa"/>
              <w:left w:w="55" w:type="dxa"/>
              <w:bottom w:w="50" w:type="dxa"/>
              <w:right w:w="55" w:type="dxa"/>
            </w:tcMar>
            <w:vAlign w:val="top"/>
          </w:tcPr>
          <w:p w14:paraId="3B77003D">
            <w:pPr>
              <w:spacing w:before="0" w:after="0" w:line="240" w:lineRule="auto"/>
              <w:jc w:val="left"/>
            </w:pPr>
            <w:r>
              <w:rPr>
                <w:rFonts w:ascii="Arial" w:hAnsi="Arial" w:eastAsia="Arial"/>
                <w:b w:val="0"/>
                <w:i w:val="0"/>
                <w:sz w:val="14"/>
              </w:rPr>
              <w:t>Reweighted HRS effect under the measured ELSA baseline covariate distribution</w:t>
            </w:r>
          </w:p>
        </w:tc>
      </w:tr>
      <w:tr w14:paraId="50635FE2">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FFFFF"/>
            <w:tcMar>
              <w:top w:w="50" w:type="dxa"/>
              <w:left w:w="55" w:type="dxa"/>
              <w:bottom w:w="50" w:type="dxa"/>
              <w:right w:w="55" w:type="dxa"/>
            </w:tcMar>
            <w:vAlign w:val="top"/>
          </w:tcPr>
          <w:p w14:paraId="380CAEFE">
            <w:pPr>
              <w:spacing w:before="0" w:after="0" w:line="240" w:lineRule="auto"/>
              <w:jc w:val="left"/>
            </w:pPr>
            <w:r>
              <w:rPr>
                <w:rFonts w:ascii="Arial" w:hAnsi="Arial" w:eastAsia="Arial"/>
                <w:b w:val="0"/>
                <w:i w:val="0"/>
                <w:sz w:val="14"/>
              </w:rPr>
              <w:t>Effect estimate per 1 raw CES-D point</w:t>
            </w:r>
          </w:p>
        </w:tc>
        <w:tc>
          <w:tcPr>
            <w:tcW w:w="3168" w:type="dxa"/>
            <w:shd w:val="clear" w:color="auto" w:fill="FFFFFF"/>
            <w:tcMar>
              <w:top w:w="50" w:type="dxa"/>
              <w:left w:w="55" w:type="dxa"/>
              <w:bottom w:w="50" w:type="dxa"/>
              <w:right w:w="55" w:type="dxa"/>
            </w:tcMar>
            <w:vAlign w:val="top"/>
          </w:tcPr>
          <w:p w14:paraId="04757602">
            <w:pPr>
              <w:spacing w:before="0" w:after="0" w:line="240" w:lineRule="auto"/>
              <w:jc w:val="left"/>
            </w:pPr>
            <w:r>
              <w:rPr>
                <w:rFonts w:ascii="Arial" w:hAnsi="Arial" w:eastAsia="Arial"/>
                <w:b w:val="0"/>
                <w:i w:val="0"/>
                <w:sz w:val="14"/>
              </w:rPr>
              <w:t>Observed ELSA — prior burden</w:t>
            </w:r>
          </w:p>
        </w:tc>
        <w:tc>
          <w:tcPr>
            <w:tcW w:w="2520" w:type="dxa"/>
            <w:shd w:val="clear" w:color="auto" w:fill="FFFFFF"/>
            <w:tcMar>
              <w:top w:w="50" w:type="dxa"/>
              <w:left w:w="55" w:type="dxa"/>
              <w:bottom w:w="50" w:type="dxa"/>
              <w:right w:w="55" w:type="dxa"/>
            </w:tcMar>
            <w:vAlign w:val="top"/>
          </w:tcPr>
          <w:p w14:paraId="63079DC9">
            <w:pPr>
              <w:spacing w:before="0" w:after="0" w:line="240" w:lineRule="auto"/>
              <w:jc w:val="center"/>
            </w:pPr>
            <w:r>
              <w:rPr>
                <w:rFonts w:ascii="Arial" w:hAnsi="Arial" w:eastAsia="Arial"/>
                <w:b w:val="0"/>
                <w:i w:val="0"/>
                <w:sz w:val="14"/>
              </w:rPr>
              <w:t>1.009 (0.926–1.100); P=0.833</w:t>
            </w:r>
          </w:p>
        </w:tc>
        <w:tc>
          <w:tcPr>
            <w:tcW w:w="3024" w:type="dxa"/>
            <w:shd w:val="clear" w:color="auto" w:fill="FFFFFF"/>
            <w:tcMar>
              <w:top w:w="50" w:type="dxa"/>
              <w:left w:w="55" w:type="dxa"/>
              <w:bottom w:w="50" w:type="dxa"/>
              <w:right w:w="55" w:type="dxa"/>
            </w:tcMar>
            <w:vAlign w:val="top"/>
          </w:tcPr>
          <w:p w14:paraId="111B6B03">
            <w:pPr>
              <w:spacing w:before="0" w:after="0" w:line="240" w:lineRule="auto"/>
              <w:jc w:val="left"/>
            </w:pPr>
            <w:r>
              <w:rPr>
                <w:rFonts w:ascii="Arial" w:hAnsi="Arial" w:eastAsia="Arial"/>
                <w:b w:val="0"/>
                <w:i w:val="0"/>
                <w:sz w:val="14"/>
              </w:rPr>
              <w:t>Cluster-robust model CI and P</w:t>
            </w:r>
          </w:p>
        </w:tc>
        <w:tc>
          <w:tcPr>
            <w:tcW w:w="4392" w:type="dxa"/>
            <w:shd w:val="clear" w:color="auto" w:fill="FFFFFF"/>
            <w:tcMar>
              <w:top w:w="50" w:type="dxa"/>
              <w:left w:w="55" w:type="dxa"/>
              <w:bottom w:w="50" w:type="dxa"/>
              <w:right w:w="55" w:type="dxa"/>
            </w:tcMar>
            <w:vAlign w:val="top"/>
          </w:tcPr>
          <w:p w14:paraId="0AA7B2C8">
            <w:pPr>
              <w:spacing w:before="0" w:after="0" w:line="240" w:lineRule="auto"/>
              <w:jc w:val="left"/>
            </w:pPr>
            <w:r>
              <w:rPr>
                <w:rFonts w:ascii="Arial" w:hAnsi="Arial" w:eastAsia="Arial"/>
                <w:b w:val="0"/>
                <w:i w:val="0"/>
                <w:sz w:val="14"/>
              </w:rPr>
              <w:t>Observed ELSA effect</w:t>
            </w:r>
          </w:p>
        </w:tc>
      </w:tr>
      <w:tr w14:paraId="58F1A1A8">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6F8FA"/>
            <w:tcMar>
              <w:top w:w="50" w:type="dxa"/>
              <w:left w:w="55" w:type="dxa"/>
              <w:bottom w:w="50" w:type="dxa"/>
              <w:right w:w="55" w:type="dxa"/>
            </w:tcMar>
            <w:vAlign w:val="top"/>
          </w:tcPr>
          <w:p w14:paraId="2E98A688">
            <w:pPr>
              <w:spacing w:before="0" w:after="0" w:line="240" w:lineRule="auto"/>
              <w:jc w:val="left"/>
            </w:pPr>
            <w:r>
              <w:rPr>
                <w:rFonts w:ascii="Arial" w:hAnsi="Arial" w:eastAsia="Arial"/>
                <w:b w:val="0"/>
                <w:i w:val="0"/>
                <w:sz w:val="14"/>
              </w:rPr>
              <w:t>Effect estimate per 1 raw CES-D point</w:t>
            </w:r>
          </w:p>
        </w:tc>
        <w:tc>
          <w:tcPr>
            <w:tcW w:w="3168" w:type="dxa"/>
            <w:shd w:val="clear" w:color="auto" w:fill="F6F8FA"/>
            <w:tcMar>
              <w:top w:w="50" w:type="dxa"/>
              <w:left w:w="55" w:type="dxa"/>
              <w:bottom w:w="50" w:type="dxa"/>
              <w:right w:w="55" w:type="dxa"/>
            </w:tcMar>
            <w:vAlign w:val="top"/>
          </w:tcPr>
          <w:p w14:paraId="3BCAEDC8">
            <w:pPr>
              <w:spacing w:before="0" w:after="0" w:line="240" w:lineRule="auto"/>
              <w:jc w:val="left"/>
            </w:pPr>
            <w:r>
              <w:rPr>
                <w:rFonts w:ascii="Arial" w:hAnsi="Arial" w:eastAsia="Arial"/>
                <w:b w:val="0"/>
                <w:i w:val="0"/>
                <w:sz w:val="14"/>
              </w:rPr>
              <w:t>Observed ELSA — current deviation</w:t>
            </w:r>
          </w:p>
        </w:tc>
        <w:tc>
          <w:tcPr>
            <w:tcW w:w="2520" w:type="dxa"/>
            <w:shd w:val="clear" w:color="auto" w:fill="F6F8FA"/>
            <w:tcMar>
              <w:top w:w="50" w:type="dxa"/>
              <w:left w:w="55" w:type="dxa"/>
              <w:bottom w:w="50" w:type="dxa"/>
              <w:right w:w="55" w:type="dxa"/>
            </w:tcMar>
            <w:vAlign w:val="top"/>
          </w:tcPr>
          <w:p w14:paraId="452DAA9F">
            <w:pPr>
              <w:spacing w:before="0" w:after="0" w:line="240" w:lineRule="auto"/>
              <w:jc w:val="center"/>
            </w:pPr>
            <w:r>
              <w:rPr>
                <w:rFonts w:ascii="Arial" w:hAnsi="Arial" w:eastAsia="Arial"/>
                <w:b w:val="0"/>
                <w:i w:val="0"/>
                <w:sz w:val="14"/>
              </w:rPr>
              <w:t>0.944 (0.875–1.018); P=0.137</w:t>
            </w:r>
          </w:p>
        </w:tc>
        <w:tc>
          <w:tcPr>
            <w:tcW w:w="3024" w:type="dxa"/>
            <w:shd w:val="clear" w:color="auto" w:fill="F6F8FA"/>
            <w:tcMar>
              <w:top w:w="50" w:type="dxa"/>
              <w:left w:w="55" w:type="dxa"/>
              <w:bottom w:w="50" w:type="dxa"/>
              <w:right w:w="55" w:type="dxa"/>
            </w:tcMar>
            <w:vAlign w:val="top"/>
          </w:tcPr>
          <w:p w14:paraId="5B750863">
            <w:pPr>
              <w:spacing w:before="0" w:after="0" w:line="240" w:lineRule="auto"/>
              <w:jc w:val="left"/>
            </w:pPr>
            <w:r>
              <w:rPr>
                <w:rFonts w:ascii="Arial" w:hAnsi="Arial" w:eastAsia="Arial"/>
                <w:b w:val="0"/>
                <w:i w:val="0"/>
                <w:sz w:val="14"/>
              </w:rPr>
              <w:t>Cluster-robust model CI and P</w:t>
            </w:r>
          </w:p>
        </w:tc>
        <w:tc>
          <w:tcPr>
            <w:tcW w:w="4392" w:type="dxa"/>
            <w:shd w:val="clear" w:color="auto" w:fill="F6F8FA"/>
            <w:tcMar>
              <w:top w:w="50" w:type="dxa"/>
              <w:left w:w="55" w:type="dxa"/>
              <w:bottom w:w="50" w:type="dxa"/>
              <w:right w:w="55" w:type="dxa"/>
            </w:tcMar>
            <w:vAlign w:val="top"/>
          </w:tcPr>
          <w:p w14:paraId="4A270E8F">
            <w:pPr>
              <w:spacing w:before="0" w:after="0" w:line="240" w:lineRule="auto"/>
              <w:jc w:val="left"/>
            </w:pPr>
            <w:r>
              <w:rPr>
                <w:rFonts w:ascii="Arial" w:hAnsi="Arial" w:eastAsia="Arial"/>
                <w:b w:val="0"/>
                <w:i w:val="0"/>
                <w:sz w:val="14"/>
              </w:rPr>
              <w:t>Observed ELSA effect</w:t>
            </w:r>
          </w:p>
        </w:tc>
      </w:tr>
    </w:tbl>
    <w:p w14:paraId="1F6723C0">
      <w:pPr>
        <w:spacing w:before="0" w:after="40"/>
      </w:pPr>
    </w:p>
    <w:p w14:paraId="6466CDCB">
      <w:pPr>
        <w:pStyle w:val="165"/>
        <w:keepNext/>
      </w:pPr>
      <w:r>
        <w:rPr>
          <w:rFonts w:ascii="Arial" w:hAnsi="Arial" w:eastAsia="Arial"/>
          <w:b/>
          <w:i w:val="0"/>
          <w:color w:val="355C7D"/>
          <w:sz w:val="17"/>
        </w:rPr>
        <w:t>Panel C. Weighting diagnostics</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3136"/>
        <w:gridCol w:w="3136"/>
        <w:gridCol w:w="3136"/>
        <w:gridCol w:w="3136"/>
        <w:gridCol w:w="3136"/>
      </w:tblGrid>
      <w:tr w14:paraId="7EFF3B40">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2448" w:type="dxa"/>
            <w:shd w:val="clear" w:color="auto" w:fill="355C7D"/>
            <w:tcMar>
              <w:top w:w="60" w:type="dxa"/>
              <w:left w:w="55" w:type="dxa"/>
              <w:bottom w:w="60" w:type="dxa"/>
              <w:right w:w="55" w:type="dxa"/>
            </w:tcMar>
            <w:vAlign w:val="center"/>
          </w:tcPr>
          <w:p w14:paraId="63119BA2">
            <w:pPr>
              <w:spacing w:before="0" w:after="0" w:line="240" w:lineRule="auto"/>
              <w:jc w:val="center"/>
            </w:pPr>
            <w:r>
              <w:rPr>
                <w:rFonts w:ascii="Arial" w:hAnsi="Arial" w:eastAsia="Arial"/>
                <w:b/>
                <w:i w:val="0"/>
                <w:color w:val="FFFFFF"/>
                <w:sz w:val="14"/>
              </w:rPr>
              <w:t>Domain</w:t>
            </w:r>
          </w:p>
        </w:tc>
        <w:tc>
          <w:tcPr>
            <w:tcW w:w="3168" w:type="dxa"/>
            <w:shd w:val="clear" w:color="auto" w:fill="355C7D"/>
            <w:tcMar>
              <w:top w:w="60" w:type="dxa"/>
              <w:left w:w="55" w:type="dxa"/>
              <w:bottom w:w="60" w:type="dxa"/>
              <w:right w:w="55" w:type="dxa"/>
            </w:tcMar>
            <w:vAlign w:val="center"/>
          </w:tcPr>
          <w:p w14:paraId="0C763FF8">
            <w:pPr>
              <w:spacing w:before="0" w:after="0" w:line="240" w:lineRule="auto"/>
              <w:jc w:val="center"/>
            </w:pPr>
            <w:r>
              <w:rPr>
                <w:rFonts w:ascii="Arial" w:hAnsi="Arial" w:eastAsia="Arial"/>
                <w:b/>
                <w:i w:val="0"/>
                <w:color w:val="FFFFFF"/>
                <w:sz w:val="14"/>
              </w:rPr>
              <w:t>Comparison or diagnostic</w:t>
            </w:r>
          </w:p>
        </w:tc>
        <w:tc>
          <w:tcPr>
            <w:tcW w:w="2520" w:type="dxa"/>
            <w:shd w:val="clear" w:color="auto" w:fill="355C7D"/>
            <w:tcMar>
              <w:top w:w="60" w:type="dxa"/>
              <w:left w:w="55" w:type="dxa"/>
              <w:bottom w:w="60" w:type="dxa"/>
              <w:right w:w="55" w:type="dxa"/>
            </w:tcMar>
            <w:vAlign w:val="center"/>
          </w:tcPr>
          <w:p w14:paraId="660A2FF5">
            <w:pPr>
              <w:spacing w:before="0" w:after="0" w:line="240" w:lineRule="auto"/>
              <w:jc w:val="center"/>
            </w:pPr>
            <w:r>
              <w:rPr>
                <w:rFonts w:ascii="Arial" w:hAnsi="Arial" w:eastAsia="Arial"/>
                <w:b/>
                <w:i w:val="0"/>
                <w:color w:val="FFFFFF"/>
                <w:sz w:val="14"/>
              </w:rPr>
              <w:t>Result</w:t>
            </w:r>
          </w:p>
        </w:tc>
        <w:tc>
          <w:tcPr>
            <w:tcW w:w="3024" w:type="dxa"/>
            <w:shd w:val="clear" w:color="auto" w:fill="355C7D"/>
            <w:tcMar>
              <w:top w:w="60" w:type="dxa"/>
              <w:left w:w="55" w:type="dxa"/>
              <w:bottom w:w="60" w:type="dxa"/>
              <w:right w:w="55" w:type="dxa"/>
            </w:tcMar>
            <w:vAlign w:val="center"/>
          </w:tcPr>
          <w:p w14:paraId="2DB67F8A">
            <w:pPr>
              <w:spacing w:before="0" w:after="0" w:line="240" w:lineRule="auto"/>
              <w:jc w:val="center"/>
            </w:pPr>
            <w:r>
              <w:rPr>
                <w:rFonts w:ascii="Arial" w:hAnsi="Arial" w:eastAsia="Arial"/>
                <w:b/>
                <w:i w:val="0"/>
                <w:color w:val="FFFFFF"/>
                <w:sz w:val="14"/>
              </w:rPr>
              <w:t>Prespecified criterion</w:t>
            </w:r>
          </w:p>
        </w:tc>
        <w:tc>
          <w:tcPr>
            <w:tcW w:w="4392" w:type="dxa"/>
            <w:shd w:val="clear" w:color="auto" w:fill="355C7D"/>
            <w:tcMar>
              <w:top w:w="60" w:type="dxa"/>
              <w:left w:w="55" w:type="dxa"/>
              <w:bottom w:w="60" w:type="dxa"/>
              <w:right w:w="55" w:type="dxa"/>
            </w:tcMar>
            <w:vAlign w:val="center"/>
          </w:tcPr>
          <w:p w14:paraId="032C6548">
            <w:pPr>
              <w:spacing w:before="0" w:after="0" w:line="240" w:lineRule="auto"/>
              <w:jc w:val="center"/>
            </w:pPr>
            <w:r>
              <w:rPr>
                <w:rFonts w:ascii="Arial" w:hAnsi="Arial" w:eastAsia="Arial"/>
                <w:b/>
                <w:i w:val="0"/>
                <w:color w:val="FFFFFF"/>
                <w:sz w:val="14"/>
              </w:rPr>
              <w:t>Interpretation</w:t>
            </w:r>
          </w:p>
        </w:tc>
      </w:tr>
      <w:tr w14:paraId="5F223062">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FFFFF"/>
            <w:tcMar>
              <w:top w:w="50" w:type="dxa"/>
              <w:left w:w="55" w:type="dxa"/>
              <w:bottom w:w="50" w:type="dxa"/>
              <w:right w:w="55" w:type="dxa"/>
            </w:tcMar>
            <w:vAlign w:val="top"/>
          </w:tcPr>
          <w:p w14:paraId="326A1571">
            <w:pPr>
              <w:spacing w:before="0" w:after="0" w:line="240" w:lineRule="auto"/>
              <w:jc w:val="left"/>
            </w:pPr>
            <w:r>
              <w:rPr>
                <w:rFonts w:ascii="Arial" w:hAnsi="Arial" w:eastAsia="Arial"/>
                <w:b w:val="0"/>
                <w:i w:val="0"/>
                <w:sz w:val="14"/>
              </w:rPr>
              <w:t>Reweighting diagnostics</w:t>
            </w:r>
          </w:p>
        </w:tc>
        <w:tc>
          <w:tcPr>
            <w:tcW w:w="3168" w:type="dxa"/>
            <w:shd w:val="clear" w:color="auto" w:fill="FFFFFF"/>
            <w:tcMar>
              <w:top w:w="50" w:type="dxa"/>
              <w:left w:w="55" w:type="dxa"/>
              <w:bottom w:w="50" w:type="dxa"/>
              <w:right w:w="55" w:type="dxa"/>
            </w:tcMar>
            <w:vAlign w:val="top"/>
          </w:tcPr>
          <w:p w14:paraId="1DF8428F">
            <w:pPr>
              <w:spacing w:before="0" w:after="0" w:line="240" w:lineRule="auto"/>
              <w:jc w:val="left"/>
            </w:pPr>
            <w:r>
              <w:rPr>
                <w:rFonts w:ascii="Arial" w:hAnsi="Arial" w:eastAsia="Arial"/>
                <w:b w:val="0"/>
                <w:i w:val="0"/>
                <w:sz w:val="14"/>
              </w:rPr>
              <w:t>Weight truncation</w:t>
            </w:r>
          </w:p>
        </w:tc>
        <w:tc>
          <w:tcPr>
            <w:tcW w:w="2520" w:type="dxa"/>
            <w:shd w:val="clear" w:color="auto" w:fill="FFFFFF"/>
            <w:tcMar>
              <w:top w:w="50" w:type="dxa"/>
              <w:left w:w="55" w:type="dxa"/>
              <w:bottom w:w="50" w:type="dxa"/>
              <w:right w:w="55" w:type="dxa"/>
            </w:tcMar>
            <w:vAlign w:val="top"/>
          </w:tcPr>
          <w:p w14:paraId="5738A014">
            <w:pPr>
              <w:spacing w:before="0" w:after="0" w:line="240" w:lineRule="auto"/>
              <w:jc w:val="center"/>
            </w:pPr>
            <w:r>
              <w:rPr>
                <w:rFonts w:ascii="Arial" w:hAnsi="Arial" w:eastAsia="Arial"/>
                <w:b w:val="0"/>
                <w:i w:val="0"/>
                <w:sz w:val="14"/>
              </w:rPr>
              <w:t>1.0% and 99.0% quantiles</w:t>
            </w:r>
          </w:p>
        </w:tc>
        <w:tc>
          <w:tcPr>
            <w:tcW w:w="3024" w:type="dxa"/>
            <w:shd w:val="clear" w:color="auto" w:fill="FFFFFF"/>
            <w:tcMar>
              <w:top w:w="50" w:type="dxa"/>
              <w:left w:w="55" w:type="dxa"/>
              <w:bottom w:w="50" w:type="dxa"/>
              <w:right w:w="55" w:type="dxa"/>
            </w:tcMar>
            <w:vAlign w:val="top"/>
          </w:tcPr>
          <w:p w14:paraId="0F18D80F">
            <w:pPr>
              <w:spacing w:before="0" w:after="0" w:line="240" w:lineRule="auto"/>
              <w:jc w:val="left"/>
            </w:pPr>
            <w:r>
              <w:rPr>
                <w:rFonts w:ascii="Arial" w:hAnsi="Arial" w:eastAsia="Arial"/>
                <w:b w:val="0"/>
                <w:i w:val="0"/>
                <w:sz w:val="14"/>
              </w:rPr>
              <w:t>Fixed 1st/99th percentile truncation</w:t>
            </w:r>
          </w:p>
        </w:tc>
        <w:tc>
          <w:tcPr>
            <w:tcW w:w="4392" w:type="dxa"/>
            <w:shd w:val="clear" w:color="auto" w:fill="FFFFFF"/>
            <w:tcMar>
              <w:top w:w="50" w:type="dxa"/>
              <w:left w:w="55" w:type="dxa"/>
              <w:bottom w:w="50" w:type="dxa"/>
              <w:right w:w="55" w:type="dxa"/>
            </w:tcMar>
            <w:vAlign w:val="top"/>
          </w:tcPr>
          <w:p w14:paraId="28538FDC">
            <w:pPr>
              <w:spacing w:before="0" w:after="0" w:line="240" w:lineRule="auto"/>
              <w:jc w:val="left"/>
            </w:pPr>
            <w:r>
              <w:rPr>
                <w:rFonts w:ascii="Arial" w:hAnsi="Arial" w:eastAsia="Arial"/>
                <w:b w:val="0"/>
                <w:i w:val="0"/>
                <w:sz w:val="14"/>
              </w:rPr>
              <w:t>No alternative truncation threshold was searched.</w:t>
            </w:r>
          </w:p>
        </w:tc>
      </w:tr>
      <w:tr w14:paraId="1956C457">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6F8FA"/>
            <w:tcMar>
              <w:top w:w="50" w:type="dxa"/>
              <w:left w:w="55" w:type="dxa"/>
              <w:bottom w:w="50" w:type="dxa"/>
              <w:right w:w="55" w:type="dxa"/>
            </w:tcMar>
            <w:vAlign w:val="top"/>
          </w:tcPr>
          <w:p w14:paraId="3C9F1413">
            <w:pPr>
              <w:spacing w:before="0" w:after="0" w:line="240" w:lineRule="auto"/>
              <w:jc w:val="left"/>
            </w:pPr>
            <w:r>
              <w:rPr>
                <w:rFonts w:ascii="Arial" w:hAnsi="Arial" w:eastAsia="Arial"/>
                <w:b w:val="0"/>
                <w:i w:val="0"/>
                <w:sz w:val="14"/>
              </w:rPr>
              <w:t>Reweighting diagnostics</w:t>
            </w:r>
          </w:p>
        </w:tc>
        <w:tc>
          <w:tcPr>
            <w:tcW w:w="3168" w:type="dxa"/>
            <w:shd w:val="clear" w:color="auto" w:fill="F6F8FA"/>
            <w:tcMar>
              <w:top w:w="50" w:type="dxa"/>
              <w:left w:w="55" w:type="dxa"/>
              <w:bottom w:w="50" w:type="dxa"/>
              <w:right w:w="55" w:type="dxa"/>
            </w:tcMar>
            <w:vAlign w:val="top"/>
          </w:tcPr>
          <w:p w14:paraId="5D73CC85">
            <w:pPr>
              <w:spacing w:before="0" w:after="0" w:line="240" w:lineRule="auto"/>
              <w:jc w:val="left"/>
            </w:pPr>
            <w:r>
              <w:rPr>
                <w:rFonts w:ascii="Arial" w:hAnsi="Arial" w:eastAsia="Arial"/>
                <w:b w:val="0"/>
                <w:i w:val="0"/>
                <w:sz w:val="14"/>
              </w:rPr>
              <w:t>Effective sample size</w:t>
            </w:r>
          </w:p>
        </w:tc>
        <w:tc>
          <w:tcPr>
            <w:tcW w:w="2520" w:type="dxa"/>
            <w:shd w:val="clear" w:color="auto" w:fill="F6F8FA"/>
            <w:tcMar>
              <w:top w:w="50" w:type="dxa"/>
              <w:left w:w="55" w:type="dxa"/>
              <w:bottom w:w="50" w:type="dxa"/>
              <w:right w:w="55" w:type="dxa"/>
            </w:tcMar>
            <w:vAlign w:val="top"/>
          </w:tcPr>
          <w:p w14:paraId="79F92882">
            <w:pPr>
              <w:spacing w:before="0" w:after="0" w:line="240" w:lineRule="auto"/>
              <w:jc w:val="center"/>
            </w:pPr>
            <w:r>
              <w:rPr>
                <w:rFonts w:ascii="Arial" w:hAnsi="Arial" w:eastAsia="Arial"/>
                <w:b w:val="0"/>
                <w:i w:val="0"/>
                <w:sz w:val="14"/>
              </w:rPr>
              <w:t>3,912</w:t>
            </w:r>
          </w:p>
        </w:tc>
        <w:tc>
          <w:tcPr>
            <w:tcW w:w="3024" w:type="dxa"/>
            <w:shd w:val="clear" w:color="auto" w:fill="F6F8FA"/>
            <w:tcMar>
              <w:top w:w="50" w:type="dxa"/>
              <w:left w:w="55" w:type="dxa"/>
              <w:bottom w:w="50" w:type="dxa"/>
              <w:right w:w="55" w:type="dxa"/>
            </w:tcMar>
            <w:vAlign w:val="top"/>
          </w:tcPr>
          <w:p w14:paraId="19E654BF">
            <w:pPr>
              <w:spacing w:before="0" w:after="0" w:line="240" w:lineRule="auto"/>
              <w:jc w:val="left"/>
            </w:pPr>
            <w:r>
              <w:rPr>
                <w:rFonts w:ascii="Arial" w:hAnsi="Arial" w:eastAsia="Arial"/>
                <w:b w:val="0"/>
                <w:i w:val="0"/>
                <w:sz w:val="14"/>
              </w:rPr>
              <w:t>At least 50% of source participants</w:t>
            </w:r>
          </w:p>
        </w:tc>
        <w:tc>
          <w:tcPr>
            <w:tcW w:w="4392" w:type="dxa"/>
            <w:shd w:val="clear" w:color="auto" w:fill="F6F8FA"/>
            <w:tcMar>
              <w:top w:w="50" w:type="dxa"/>
              <w:left w:w="55" w:type="dxa"/>
              <w:bottom w:w="50" w:type="dxa"/>
              <w:right w:w="55" w:type="dxa"/>
            </w:tcMar>
            <w:vAlign w:val="top"/>
          </w:tcPr>
          <w:p w14:paraId="1E4449D8">
            <w:pPr>
              <w:spacing w:before="0" w:after="0" w:line="240" w:lineRule="auto"/>
              <w:jc w:val="left"/>
            </w:pPr>
            <w:r>
              <w:rPr>
                <w:rFonts w:ascii="Arial" w:hAnsi="Arial" w:eastAsia="Arial"/>
                <w:b w:val="0"/>
                <w:i w:val="0"/>
                <w:sz w:val="14"/>
              </w:rPr>
              <w:t>Efficiency after reweighting.</w:t>
            </w:r>
          </w:p>
        </w:tc>
      </w:tr>
      <w:tr w14:paraId="7798CF7E">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FFFFF"/>
            <w:tcMar>
              <w:top w:w="50" w:type="dxa"/>
              <w:left w:w="55" w:type="dxa"/>
              <w:bottom w:w="50" w:type="dxa"/>
              <w:right w:w="55" w:type="dxa"/>
            </w:tcMar>
            <w:vAlign w:val="top"/>
          </w:tcPr>
          <w:p w14:paraId="6AADDCBC">
            <w:pPr>
              <w:spacing w:before="0" w:after="0" w:line="240" w:lineRule="auto"/>
              <w:jc w:val="left"/>
            </w:pPr>
            <w:r>
              <w:rPr>
                <w:rFonts w:ascii="Arial" w:hAnsi="Arial" w:eastAsia="Arial"/>
                <w:b w:val="0"/>
                <w:i w:val="0"/>
                <w:sz w:val="14"/>
              </w:rPr>
              <w:t>Reweighting diagnostics</w:t>
            </w:r>
          </w:p>
        </w:tc>
        <w:tc>
          <w:tcPr>
            <w:tcW w:w="3168" w:type="dxa"/>
            <w:shd w:val="clear" w:color="auto" w:fill="FFFFFF"/>
            <w:tcMar>
              <w:top w:w="50" w:type="dxa"/>
              <w:left w:w="55" w:type="dxa"/>
              <w:bottom w:w="50" w:type="dxa"/>
              <w:right w:w="55" w:type="dxa"/>
            </w:tcMar>
            <w:vAlign w:val="top"/>
          </w:tcPr>
          <w:p w14:paraId="449DD743">
            <w:pPr>
              <w:spacing w:before="0" w:after="0" w:line="240" w:lineRule="auto"/>
              <w:jc w:val="left"/>
            </w:pPr>
            <w:r>
              <w:rPr>
                <w:rFonts w:ascii="Arial" w:hAnsi="Arial" w:eastAsia="Arial"/>
                <w:b w:val="0"/>
                <w:i w:val="0"/>
                <w:sz w:val="14"/>
              </w:rPr>
              <w:t>Effective sample size ratio</w:t>
            </w:r>
          </w:p>
        </w:tc>
        <w:tc>
          <w:tcPr>
            <w:tcW w:w="2520" w:type="dxa"/>
            <w:shd w:val="clear" w:color="auto" w:fill="FFFFFF"/>
            <w:tcMar>
              <w:top w:w="50" w:type="dxa"/>
              <w:left w:w="55" w:type="dxa"/>
              <w:bottom w:w="50" w:type="dxa"/>
              <w:right w:w="55" w:type="dxa"/>
            </w:tcMar>
            <w:vAlign w:val="top"/>
          </w:tcPr>
          <w:p w14:paraId="6E1F3EDE">
            <w:pPr>
              <w:spacing w:before="0" w:after="0" w:line="240" w:lineRule="auto"/>
              <w:jc w:val="center"/>
            </w:pPr>
            <w:r>
              <w:rPr>
                <w:rFonts w:ascii="Arial" w:hAnsi="Arial" w:eastAsia="Arial"/>
                <w:b w:val="0"/>
                <w:i w:val="0"/>
                <w:sz w:val="14"/>
              </w:rPr>
              <w:t>55.1%</w:t>
            </w:r>
          </w:p>
        </w:tc>
        <w:tc>
          <w:tcPr>
            <w:tcW w:w="3024" w:type="dxa"/>
            <w:shd w:val="clear" w:color="auto" w:fill="FFFFFF"/>
            <w:tcMar>
              <w:top w:w="50" w:type="dxa"/>
              <w:left w:w="55" w:type="dxa"/>
              <w:bottom w:w="50" w:type="dxa"/>
              <w:right w:w="55" w:type="dxa"/>
            </w:tcMar>
            <w:vAlign w:val="top"/>
          </w:tcPr>
          <w:p w14:paraId="24FCAD10">
            <w:pPr>
              <w:spacing w:before="0" w:after="0" w:line="240" w:lineRule="auto"/>
              <w:jc w:val="left"/>
            </w:pPr>
            <w:r>
              <w:rPr>
                <w:rFonts w:ascii="Arial" w:hAnsi="Arial" w:eastAsia="Arial"/>
                <w:b w:val="0"/>
                <w:i w:val="0"/>
                <w:sz w:val="14"/>
              </w:rPr>
              <w:t>At least 50%</w:t>
            </w:r>
          </w:p>
        </w:tc>
        <w:tc>
          <w:tcPr>
            <w:tcW w:w="4392" w:type="dxa"/>
            <w:shd w:val="clear" w:color="auto" w:fill="FFFFFF"/>
            <w:tcMar>
              <w:top w:w="50" w:type="dxa"/>
              <w:left w:w="55" w:type="dxa"/>
              <w:bottom w:w="50" w:type="dxa"/>
              <w:right w:w="55" w:type="dxa"/>
            </w:tcMar>
            <w:vAlign w:val="top"/>
          </w:tcPr>
          <w:p w14:paraId="5D5C85B5">
            <w:pPr>
              <w:spacing w:before="0" w:after="0" w:line="240" w:lineRule="auto"/>
              <w:jc w:val="left"/>
            </w:pPr>
            <w:r>
              <w:rPr>
                <w:rFonts w:ascii="Arial" w:hAnsi="Arial" w:eastAsia="Arial"/>
                <w:b w:val="0"/>
                <w:i w:val="0"/>
                <w:sz w:val="14"/>
              </w:rPr>
              <w:t>The prespecified ESS gate was assessed.</w:t>
            </w:r>
          </w:p>
        </w:tc>
      </w:tr>
      <w:tr w14:paraId="44A49558">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6F8FA"/>
            <w:tcMar>
              <w:top w:w="50" w:type="dxa"/>
              <w:left w:w="55" w:type="dxa"/>
              <w:bottom w:w="50" w:type="dxa"/>
              <w:right w:w="55" w:type="dxa"/>
            </w:tcMar>
            <w:vAlign w:val="top"/>
          </w:tcPr>
          <w:p w14:paraId="1FFE0633">
            <w:pPr>
              <w:spacing w:before="0" w:after="0" w:line="240" w:lineRule="auto"/>
              <w:jc w:val="left"/>
            </w:pPr>
            <w:r>
              <w:rPr>
                <w:rFonts w:ascii="Arial" w:hAnsi="Arial" w:eastAsia="Arial"/>
                <w:b w:val="0"/>
                <w:i w:val="0"/>
                <w:sz w:val="14"/>
              </w:rPr>
              <w:t>Reweighting diagnostics</w:t>
            </w:r>
          </w:p>
        </w:tc>
        <w:tc>
          <w:tcPr>
            <w:tcW w:w="3168" w:type="dxa"/>
            <w:shd w:val="clear" w:color="auto" w:fill="F6F8FA"/>
            <w:tcMar>
              <w:top w:w="50" w:type="dxa"/>
              <w:left w:w="55" w:type="dxa"/>
              <w:bottom w:w="50" w:type="dxa"/>
              <w:right w:w="55" w:type="dxa"/>
            </w:tcMar>
            <w:vAlign w:val="top"/>
          </w:tcPr>
          <w:p w14:paraId="3498260F">
            <w:pPr>
              <w:spacing w:before="0" w:after="0" w:line="240" w:lineRule="auto"/>
              <w:jc w:val="left"/>
            </w:pPr>
            <w:r>
              <w:rPr>
                <w:rFonts w:ascii="Arial" w:hAnsi="Arial" w:eastAsia="Arial"/>
                <w:b w:val="0"/>
                <w:i w:val="0"/>
                <w:sz w:val="14"/>
              </w:rPr>
              <w:t>Target support coverage</w:t>
            </w:r>
          </w:p>
        </w:tc>
        <w:tc>
          <w:tcPr>
            <w:tcW w:w="2520" w:type="dxa"/>
            <w:shd w:val="clear" w:color="auto" w:fill="F6F8FA"/>
            <w:tcMar>
              <w:top w:w="50" w:type="dxa"/>
              <w:left w:w="55" w:type="dxa"/>
              <w:bottom w:w="50" w:type="dxa"/>
              <w:right w:w="55" w:type="dxa"/>
            </w:tcMar>
            <w:vAlign w:val="top"/>
          </w:tcPr>
          <w:p w14:paraId="28DF6648">
            <w:pPr>
              <w:spacing w:before="0" w:after="0" w:line="240" w:lineRule="auto"/>
              <w:jc w:val="center"/>
            </w:pPr>
            <w:r>
              <w:rPr>
                <w:rFonts w:ascii="Arial" w:hAnsi="Arial" w:eastAsia="Arial"/>
                <w:b w:val="0"/>
                <w:i w:val="0"/>
                <w:sz w:val="14"/>
              </w:rPr>
              <w:t>97.1%</w:t>
            </w:r>
          </w:p>
        </w:tc>
        <w:tc>
          <w:tcPr>
            <w:tcW w:w="3024" w:type="dxa"/>
            <w:shd w:val="clear" w:color="auto" w:fill="F6F8FA"/>
            <w:tcMar>
              <w:top w:w="50" w:type="dxa"/>
              <w:left w:w="55" w:type="dxa"/>
              <w:bottom w:w="50" w:type="dxa"/>
              <w:right w:w="55" w:type="dxa"/>
            </w:tcMar>
            <w:vAlign w:val="top"/>
          </w:tcPr>
          <w:p w14:paraId="50184F79">
            <w:pPr>
              <w:spacing w:before="0" w:after="0" w:line="240" w:lineRule="auto"/>
              <w:jc w:val="left"/>
            </w:pPr>
            <w:r>
              <w:rPr>
                <w:rFonts w:ascii="Arial" w:hAnsi="Arial" w:eastAsia="Arial"/>
                <w:b w:val="0"/>
                <w:i w:val="0"/>
                <w:sz w:val="14"/>
              </w:rPr>
              <w:t>At least 90%</w:t>
            </w:r>
          </w:p>
        </w:tc>
        <w:tc>
          <w:tcPr>
            <w:tcW w:w="4392" w:type="dxa"/>
            <w:shd w:val="clear" w:color="auto" w:fill="F6F8FA"/>
            <w:tcMar>
              <w:top w:w="50" w:type="dxa"/>
              <w:left w:w="55" w:type="dxa"/>
              <w:bottom w:w="50" w:type="dxa"/>
              <w:right w:w="55" w:type="dxa"/>
            </w:tcMar>
            <w:vAlign w:val="top"/>
          </w:tcPr>
          <w:p w14:paraId="04AE8D67">
            <w:pPr>
              <w:spacing w:before="0" w:after="0" w:line="240" w:lineRule="auto"/>
              <w:jc w:val="left"/>
            </w:pPr>
            <w:r>
              <w:rPr>
                <w:rFonts w:ascii="Arial" w:hAnsi="Arial" w:eastAsia="Arial"/>
                <w:b w:val="0"/>
                <w:i w:val="0"/>
                <w:sz w:val="14"/>
              </w:rPr>
              <w:t>The prespecified target-support gate was assessed.</w:t>
            </w:r>
          </w:p>
        </w:tc>
      </w:tr>
      <w:tr w14:paraId="082B8D6A">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FFFFF"/>
            <w:tcMar>
              <w:top w:w="50" w:type="dxa"/>
              <w:left w:w="55" w:type="dxa"/>
              <w:bottom w:w="50" w:type="dxa"/>
              <w:right w:w="55" w:type="dxa"/>
            </w:tcMar>
            <w:vAlign w:val="top"/>
          </w:tcPr>
          <w:p w14:paraId="32EB7C87">
            <w:pPr>
              <w:spacing w:before="0" w:after="0" w:line="240" w:lineRule="auto"/>
              <w:jc w:val="left"/>
            </w:pPr>
            <w:r>
              <w:rPr>
                <w:rFonts w:ascii="Arial" w:hAnsi="Arial" w:eastAsia="Arial"/>
                <w:b w:val="0"/>
                <w:i w:val="0"/>
                <w:sz w:val="14"/>
              </w:rPr>
              <w:t>Reweighting diagnostics</w:t>
            </w:r>
          </w:p>
        </w:tc>
        <w:tc>
          <w:tcPr>
            <w:tcW w:w="3168" w:type="dxa"/>
            <w:shd w:val="clear" w:color="auto" w:fill="FFFFFF"/>
            <w:tcMar>
              <w:top w:w="50" w:type="dxa"/>
              <w:left w:w="55" w:type="dxa"/>
              <w:bottom w:w="50" w:type="dxa"/>
              <w:right w:w="55" w:type="dxa"/>
            </w:tcMar>
            <w:vAlign w:val="top"/>
          </w:tcPr>
          <w:p w14:paraId="7A2D8042">
            <w:pPr>
              <w:spacing w:before="0" w:after="0" w:line="240" w:lineRule="auto"/>
              <w:jc w:val="left"/>
            </w:pPr>
            <w:r>
              <w:rPr>
                <w:rFonts w:ascii="Arial" w:hAnsi="Arial" w:eastAsia="Arial"/>
                <w:b w:val="0"/>
                <w:i w:val="0"/>
                <w:sz w:val="14"/>
              </w:rPr>
              <w:t>Source support coverage</w:t>
            </w:r>
          </w:p>
        </w:tc>
        <w:tc>
          <w:tcPr>
            <w:tcW w:w="2520" w:type="dxa"/>
            <w:shd w:val="clear" w:color="auto" w:fill="FFFFFF"/>
            <w:tcMar>
              <w:top w:w="50" w:type="dxa"/>
              <w:left w:w="55" w:type="dxa"/>
              <w:bottom w:w="50" w:type="dxa"/>
              <w:right w:w="55" w:type="dxa"/>
            </w:tcMar>
            <w:vAlign w:val="top"/>
          </w:tcPr>
          <w:p w14:paraId="53DF53E2">
            <w:pPr>
              <w:spacing w:before="0" w:after="0" w:line="240" w:lineRule="auto"/>
              <w:jc w:val="center"/>
            </w:pPr>
            <w:r>
              <w:rPr>
                <w:rFonts w:ascii="Arial" w:hAnsi="Arial" w:eastAsia="Arial"/>
                <w:b w:val="0"/>
                <w:i w:val="0"/>
                <w:sz w:val="14"/>
              </w:rPr>
              <w:t>91.9%</w:t>
            </w:r>
          </w:p>
        </w:tc>
        <w:tc>
          <w:tcPr>
            <w:tcW w:w="3024" w:type="dxa"/>
            <w:shd w:val="clear" w:color="auto" w:fill="FFFFFF"/>
            <w:tcMar>
              <w:top w:w="50" w:type="dxa"/>
              <w:left w:w="55" w:type="dxa"/>
              <w:bottom w:w="50" w:type="dxa"/>
              <w:right w:w="55" w:type="dxa"/>
            </w:tcMar>
            <w:vAlign w:val="top"/>
          </w:tcPr>
          <w:p w14:paraId="3A40B3D3">
            <w:pPr>
              <w:spacing w:before="0" w:after="0" w:line="240" w:lineRule="auto"/>
              <w:jc w:val="left"/>
            </w:pPr>
            <w:r>
              <w:rPr>
                <w:rFonts w:ascii="Arial" w:hAnsi="Arial" w:eastAsia="Arial"/>
                <w:b w:val="0"/>
                <w:i w:val="0"/>
                <w:sz w:val="14"/>
              </w:rPr>
              <w:t>Descriptive</w:t>
            </w:r>
          </w:p>
        </w:tc>
        <w:tc>
          <w:tcPr>
            <w:tcW w:w="4392" w:type="dxa"/>
            <w:shd w:val="clear" w:color="auto" w:fill="FFFFFF"/>
            <w:tcMar>
              <w:top w:w="50" w:type="dxa"/>
              <w:left w:w="55" w:type="dxa"/>
              <w:bottom w:w="50" w:type="dxa"/>
              <w:right w:w="55" w:type="dxa"/>
            </w:tcMar>
            <w:vAlign w:val="top"/>
          </w:tcPr>
          <w:p w14:paraId="437E3C33">
            <w:pPr>
              <w:spacing w:before="0" w:after="0" w:line="240" w:lineRule="auto"/>
              <w:jc w:val="left"/>
            </w:pPr>
            <w:r>
              <w:rPr>
                <w:rFonts w:ascii="Arial" w:hAnsi="Arial" w:eastAsia="Arial"/>
                <w:b w:val="0"/>
                <w:i w:val="0"/>
                <w:sz w:val="14"/>
              </w:rPr>
              <w:t>Proportion of HRS source participants inside common central propensity support.</w:t>
            </w:r>
          </w:p>
        </w:tc>
      </w:tr>
      <w:tr w14:paraId="7487C9E2">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6F8FA"/>
            <w:tcMar>
              <w:top w:w="50" w:type="dxa"/>
              <w:left w:w="55" w:type="dxa"/>
              <w:bottom w:w="50" w:type="dxa"/>
              <w:right w:w="55" w:type="dxa"/>
            </w:tcMar>
            <w:vAlign w:val="top"/>
          </w:tcPr>
          <w:p w14:paraId="1D83FE7F">
            <w:pPr>
              <w:spacing w:before="0" w:after="0" w:line="240" w:lineRule="auto"/>
              <w:jc w:val="left"/>
            </w:pPr>
            <w:r>
              <w:rPr>
                <w:rFonts w:ascii="Arial" w:hAnsi="Arial" w:eastAsia="Arial"/>
                <w:b w:val="0"/>
                <w:i w:val="0"/>
                <w:sz w:val="14"/>
              </w:rPr>
              <w:t>Reweighting diagnostics</w:t>
            </w:r>
          </w:p>
        </w:tc>
        <w:tc>
          <w:tcPr>
            <w:tcW w:w="3168" w:type="dxa"/>
            <w:shd w:val="clear" w:color="auto" w:fill="F6F8FA"/>
            <w:tcMar>
              <w:top w:w="50" w:type="dxa"/>
              <w:left w:w="55" w:type="dxa"/>
              <w:bottom w:w="50" w:type="dxa"/>
              <w:right w:w="55" w:type="dxa"/>
            </w:tcMar>
            <w:vAlign w:val="top"/>
          </w:tcPr>
          <w:p w14:paraId="7DD6F329">
            <w:pPr>
              <w:spacing w:before="0" w:after="0" w:line="240" w:lineRule="auto"/>
              <w:jc w:val="left"/>
            </w:pPr>
            <w:r>
              <w:rPr>
                <w:rFonts w:ascii="Arial" w:hAnsi="Arial" w:eastAsia="Arial"/>
                <w:b w:val="0"/>
                <w:i w:val="0"/>
                <w:sz w:val="14"/>
              </w:rPr>
              <w:t>Maximum absolute SMD before weighting</w:t>
            </w:r>
          </w:p>
        </w:tc>
        <w:tc>
          <w:tcPr>
            <w:tcW w:w="2520" w:type="dxa"/>
            <w:shd w:val="clear" w:color="auto" w:fill="F6F8FA"/>
            <w:tcMar>
              <w:top w:w="50" w:type="dxa"/>
              <w:left w:w="55" w:type="dxa"/>
              <w:bottom w:w="50" w:type="dxa"/>
              <w:right w:w="55" w:type="dxa"/>
            </w:tcMar>
            <w:vAlign w:val="top"/>
          </w:tcPr>
          <w:p w14:paraId="17EE2795">
            <w:pPr>
              <w:spacing w:before="0" w:after="0" w:line="240" w:lineRule="auto"/>
              <w:jc w:val="center"/>
            </w:pPr>
            <w:r>
              <w:rPr>
                <w:rFonts w:ascii="Arial" w:hAnsi="Arial" w:eastAsia="Arial"/>
                <w:b w:val="0"/>
                <w:i w:val="0"/>
                <w:sz w:val="14"/>
              </w:rPr>
              <w:t>0.481</w:t>
            </w:r>
          </w:p>
        </w:tc>
        <w:tc>
          <w:tcPr>
            <w:tcW w:w="3024" w:type="dxa"/>
            <w:shd w:val="clear" w:color="auto" w:fill="F6F8FA"/>
            <w:tcMar>
              <w:top w:w="50" w:type="dxa"/>
              <w:left w:w="55" w:type="dxa"/>
              <w:bottom w:w="50" w:type="dxa"/>
              <w:right w:w="55" w:type="dxa"/>
            </w:tcMar>
            <w:vAlign w:val="top"/>
          </w:tcPr>
          <w:p w14:paraId="7ECAA9A7">
            <w:pPr>
              <w:spacing w:before="0" w:after="0" w:line="240" w:lineRule="auto"/>
              <w:jc w:val="left"/>
            </w:pPr>
            <w:r>
              <w:rPr>
                <w:rFonts w:ascii="Arial" w:hAnsi="Arial" w:eastAsia="Arial"/>
                <w:b w:val="0"/>
                <w:i w:val="0"/>
                <w:sz w:val="14"/>
              </w:rPr>
              <w:t>Descriptive</w:t>
            </w:r>
          </w:p>
        </w:tc>
        <w:tc>
          <w:tcPr>
            <w:tcW w:w="4392" w:type="dxa"/>
            <w:shd w:val="clear" w:color="auto" w:fill="F6F8FA"/>
            <w:tcMar>
              <w:top w:w="50" w:type="dxa"/>
              <w:left w:w="55" w:type="dxa"/>
              <w:bottom w:w="50" w:type="dxa"/>
              <w:right w:w="55" w:type="dxa"/>
            </w:tcMar>
            <w:vAlign w:val="top"/>
          </w:tcPr>
          <w:p w14:paraId="60D64BCE">
            <w:pPr>
              <w:spacing w:before="0" w:after="0" w:line="240" w:lineRule="auto"/>
              <w:jc w:val="left"/>
            </w:pPr>
            <w:r>
              <w:rPr>
                <w:rFonts w:ascii="Arial" w:hAnsi="Arial" w:eastAsia="Arial"/>
                <w:b w:val="0"/>
                <w:i w:val="0"/>
                <w:sz w:val="14"/>
              </w:rPr>
              <w:t>Initial measured covariate imbalance.</w:t>
            </w:r>
          </w:p>
        </w:tc>
      </w:tr>
      <w:tr w14:paraId="24200F47">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FFFFF"/>
            <w:tcMar>
              <w:top w:w="50" w:type="dxa"/>
              <w:left w:w="55" w:type="dxa"/>
              <w:bottom w:w="50" w:type="dxa"/>
              <w:right w:w="55" w:type="dxa"/>
            </w:tcMar>
            <w:vAlign w:val="top"/>
          </w:tcPr>
          <w:p w14:paraId="2ABF18D3">
            <w:pPr>
              <w:spacing w:before="0" w:after="0" w:line="240" w:lineRule="auto"/>
              <w:jc w:val="left"/>
            </w:pPr>
            <w:r>
              <w:rPr>
                <w:rFonts w:ascii="Arial" w:hAnsi="Arial" w:eastAsia="Arial"/>
                <w:b w:val="0"/>
                <w:i w:val="0"/>
                <w:sz w:val="14"/>
              </w:rPr>
              <w:t>Reweighting diagnostics</w:t>
            </w:r>
          </w:p>
        </w:tc>
        <w:tc>
          <w:tcPr>
            <w:tcW w:w="3168" w:type="dxa"/>
            <w:shd w:val="clear" w:color="auto" w:fill="FFFFFF"/>
            <w:tcMar>
              <w:top w:w="50" w:type="dxa"/>
              <w:left w:w="55" w:type="dxa"/>
              <w:bottom w:w="50" w:type="dxa"/>
              <w:right w:w="55" w:type="dxa"/>
            </w:tcMar>
            <w:vAlign w:val="top"/>
          </w:tcPr>
          <w:p w14:paraId="043081DD">
            <w:pPr>
              <w:spacing w:before="0" w:after="0" w:line="240" w:lineRule="auto"/>
              <w:jc w:val="left"/>
            </w:pPr>
            <w:r>
              <w:rPr>
                <w:rFonts w:ascii="Arial" w:hAnsi="Arial" w:eastAsia="Arial"/>
                <w:b w:val="0"/>
                <w:i w:val="0"/>
                <w:sz w:val="14"/>
              </w:rPr>
              <w:t>Maximum absolute SMD after weighting</w:t>
            </w:r>
          </w:p>
        </w:tc>
        <w:tc>
          <w:tcPr>
            <w:tcW w:w="2520" w:type="dxa"/>
            <w:shd w:val="clear" w:color="auto" w:fill="FFFFFF"/>
            <w:tcMar>
              <w:top w:w="50" w:type="dxa"/>
              <w:left w:w="55" w:type="dxa"/>
              <w:bottom w:w="50" w:type="dxa"/>
              <w:right w:w="55" w:type="dxa"/>
            </w:tcMar>
            <w:vAlign w:val="top"/>
          </w:tcPr>
          <w:p w14:paraId="51B0D738">
            <w:pPr>
              <w:spacing w:before="0" w:after="0" w:line="240" w:lineRule="auto"/>
              <w:jc w:val="center"/>
            </w:pPr>
            <w:r>
              <w:rPr>
                <w:rFonts w:ascii="Arial" w:hAnsi="Arial" w:eastAsia="Arial"/>
                <w:b w:val="0"/>
                <w:i w:val="0"/>
                <w:sz w:val="14"/>
              </w:rPr>
              <w:t>0.024</w:t>
            </w:r>
          </w:p>
        </w:tc>
        <w:tc>
          <w:tcPr>
            <w:tcW w:w="3024" w:type="dxa"/>
            <w:shd w:val="clear" w:color="auto" w:fill="FFFFFF"/>
            <w:tcMar>
              <w:top w:w="50" w:type="dxa"/>
              <w:left w:w="55" w:type="dxa"/>
              <w:bottom w:w="50" w:type="dxa"/>
              <w:right w:w="55" w:type="dxa"/>
            </w:tcMar>
            <w:vAlign w:val="top"/>
          </w:tcPr>
          <w:p w14:paraId="4301D6B8">
            <w:pPr>
              <w:spacing w:before="0" w:after="0" w:line="240" w:lineRule="auto"/>
              <w:jc w:val="left"/>
            </w:pPr>
            <w:r>
              <w:rPr>
                <w:rFonts w:ascii="Arial" w:hAnsi="Arial" w:eastAsia="Arial"/>
                <w:b w:val="0"/>
                <w:i w:val="0"/>
                <w:sz w:val="14"/>
              </w:rPr>
              <w:t>≤0.10</w:t>
            </w:r>
          </w:p>
        </w:tc>
        <w:tc>
          <w:tcPr>
            <w:tcW w:w="4392" w:type="dxa"/>
            <w:shd w:val="clear" w:color="auto" w:fill="FFFFFF"/>
            <w:tcMar>
              <w:top w:w="50" w:type="dxa"/>
              <w:left w:w="55" w:type="dxa"/>
              <w:bottom w:w="50" w:type="dxa"/>
              <w:right w:w="55" w:type="dxa"/>
            </w:tcMar>
            <w:vAlign w:val="top"/>
          </w:tcPr>
          <w:p w14:paraId="417359D6">
            <w:pPr>
              <w:spacing w:before="0" w:after="0" w:line="240" w:lineRule="auto"/>
              <w:jc w:val="left"/>
            </w:pPr>
            <w:r>
              <w:rPr>
                <w:rFonts w:ascii="Arial" w:hAnsi="Arial" w:eastAsia="Arial"/>
                <w:b w:val="0"/>
                <w:i w:val="0"/>
                <w:sz w:val="14"/>
              </w:rPr>
              <w:t>Measured covariates were balanced after weighting.</w:t>
            </w:r>
          </w:p>
        </w:tc>
      </w:tr>
      <w:tr w14:paraId="1E82BDFE">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6F8FA"/>
            <w:tcMar>
              <w:top w:w="50" w:type="dxa"/>
              <w:left w:w="55" w:type="dxa"/>
              <w:bottom w:w="50" w:type="dxa"/>
              <w:right w:w="55" w:type="dxa"/>
            </w:tcMar>
            <w:vAlign w:val="top"/>
          </w:tcPr>
          <w:p w14:paraId="38BDBD7F">
            <w:pPr>
              <w:spacing w:before="0" w:after="0" w:line="240" w:lineRule="auto"/>
              <w:jc w:val="left"/>
            </w:pPr>
            <w:r>
              <w:rPr>
                <w:rFonts w:ascii="Arial" w:hAnsi="Arial" w:eastAsia="Arial"/>
                <w:b w:val="0"/>
                <w:i w:val="0"/>
                <w:sz w:val="14"/>
              </w:rPr>
              <w:t>Reweighting diagnostics</w:t>
            </w:r>
          </w:p>
        </w:tc>
        <w:tc>
          <w:tcPr>
            <w:tcW w:w="3168" w:type="dxa"/>
            <w:shd w:val="clear" w:color="auto" w:fill="F6F8FA"/>
            <w:tcMar>
              <w:top w:w="50" w:type="dxa"/>
              <w:left w:w="55" w:type="dxa"/>
              <w:bottom w:w="50" w:type="dxa"/>
              <w:right w:w="55" w:type="dxa"/>
            </w:tcMar>
            <w:vAlign w:val="top"/>
          </w:tcPr>
          <w:p w14:paraId="268EDAC3">
            <w:pPr>
              <w:spacing w:before="0" w:after="0" w:line="240" w:lineRule="auto"/>
              <w:jc w:val="left"/>
            </w:pPr>
            <w:r>
              <w:rPr>
                <w:rFonts w:ascii="Arial" w:hAnsi="Arial" w:eastAsia="Arial"/>
                <w:b w:val="0"/>
                <w:i w:val="0"/>
                <w:sz w:val="14"/>
              </w:rPr>
              <w:t>Bootstrap completion</w:t>
            </w:r>
          </w:p>
        </w:tc>
        <w:tc>
          <w:tcPr>
            <w:tcW w:w="2520" w:type="dxa"/>
            <w:shd w:val="clear" w:color="auto" w:fill="F6F8FA"/>
            <w:tcMar>
              <w:top w:w="50" w:type="dxa"/>
              <w:left w:w="55" w:type="dxa"/>
              <w:bottom w:w="50" w:type="dxa"/>
              <w:right w:w="55" w:type="dxa"/>
            </w:tcMar>
            <w:vAlign w:val="top"/>
          </w:tcPr>
          <w:p w14:paraId="20B3F4AC">
            <w:pPr>
              <w:spacing w:before="0" w:after="0" w:line="240" w:lineRule="auto"/>
              <w:jc w:val="center"/>
            </w:pPr>
            <w:r>
              <w:rPr>
                <w:rFonts w:ascii="Arial" w:hAnsi="Arial" w:eastAsia="Arial"/>
                <w:b w:val="0"/>
                <w:i w:val="0"/>
                <w:sz w:val="14"/>
              </w:rPr>
              <w:t>500/500</w:t>
            </w:r>
          </w:p>
        </w:tc>
        <w:tc>
          <w:tcPr>
            <w:tcW w:w="3024" w:type="dxa"/>
            <w:shd w:val="clear" w:color="auto" w:fill="F6F8FA"/>
            <w:tcMar>
              <w:top w:w="50" w:type="dxa"/>
              <w:left w:w="55" w:type="dxa"/>
              <w:bottom w:w="50" w:type="dxa"/>
              <w:right w:w="55" w:type="dxa"/>
            </w:tcMar>
            <w:vAlign w:val="top"/>
          </w:tcPr>
          <w:p w14:paraId="4EE16B9A">
            <w:pPr>
              <w:spacing w:before="0" w:after="0" w:line="240" w:lineRule="auto"/>
              <w:jc w:val="left"/>
            </w:pPr>
            <w:r>
              <w:rPr>
                <w:rFonts w:ascii="Arial" w:hAnsi="Arial" w:eastAsia="Arial"/>
                <w:b w:val="0"/>
                <w:i w:val="0"/>
                <w:sz w:val="14"/>
              </w:rPr>
              <w:t>At least 450 successful replications</w:t>
            </w:r>
          </w:p>
        </w:tc>
        <w:tc>
          <w:tcPr>
            <w:tcW w:w="4392" w:type="dxa"/>
            <w:shd w:val="clear" w:color="auto" w:fill="F6F8FA"/>
            <w:tcMar>
              <w:top w:w="50" w:type="dxa"/>
              <w:left w:w="55" w:type="dxa"/>
              <w:bottom w:w="50" w:type="dxa"/>
              <w:right w:w="55" w:type="dxa"/>
            </w:tcMar>
            <w:vAlign w:val="top"/>
          </w:tcPr>
          <w:p w14:paraId="77052889">
            <w:pPr>
              <w:spacing w:before="0" w:after="0" w:line="240" w:lineRule="auto"/>
              <w:jc w:val="left"/>
            </w:pPr>
            <w:r>
              <w:rPr>
                <w:rFonts w:ascii="Arial" w:hAnsi="Arial" w:eastAsia="Arial"/>
                <w:b w:val="0"/>
                <w:i w:val="0"/>
                <w:sz w:val="14"/>
              </w:rPr>
              <w:t>Participant-level bootstrap refitted both the membership and weighted outcome models.</w:t>
            </w:r>
          </w:p>
        </w:tc>
      </w:tr>
    </w:tbl>
    <w:p w14:paraId="2C1054C5">
      <w:pPr>
        <w:spacing w:before="0" w:after="40"/>
      </w:pPr>
    </w:p>
    <w:p w14:paraId="180DB0CC">
      <w:pPr>
        <w:pStyle w:val="165"/>
        <w:keepNext/>
      </w:pPr>
      <w:r>
        <w:rPr>
          <w:rFonts w:ascii="Arial" w:hAnsi="Arial" w:eastAsia="Arial"/>
          <w:b/>
          <w:i w:val="0"/>
          <w:color w:val="355C7D"/>
          <w:sz w:val="17"/>
        </w:rPr>
        <w:t>Panel D. Interpretation boundaries</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3136"/>
        <w:gridCol w:w="3136"/>
        <w:gridCol w:w="3136"/>
        <w:gridCol w:w="3136"/>
        <w:gridCol w:w="3136"/>
      </w:tblGrid>
      <w:tr w14:paraId="4FC5B5C0">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2448" w:type="dxa"/>
            <w:shd w:val="clear" w:color="auto" w:fill="355C7D"/>
            <w:tcMar>
              <w:top w:w="60" w:type="dxa"/>
              <w:left w:w="55" w:type="dxa"/>
              <w:bottom w:w="60" w:type="dxa"/>
              <w:right w:w="55" w:type="dxa"/>
            </w:tcMar>
            <w:vAlign w:val="center"/>
          </w:tcPr>
          <w:p w14:paraId="710543CB">
            <w:pPr>
              <w:spacing w:before="0" w:after="0" w:line="240" w:lineRule="auto"/>
              <w:jc w:val="center"/>
            </w:pPr>
            <w:r>
              <w:rPr>
                <w:rFonts w:ascii="Arial" w:hAnsi="Arial" w:eastAsia="Arial"/>
                <w:b/>
                <w:i w:val="0"/>
                <w:color w:val="FFFFFF"/>
                <w:sz w:val="14"/>
              </w:rPr>
              <w:t>Domain</w:t>
            </w:r>
          </w:p>
        </w:tc>
        <w:tc>
          <w:tcPr>
            <w:tcW w:w="3168" w:type="dxa"/>
            <w:shd w:val="clear" w:color="auto" w:fill="355C7D"/>
            <w:tcMar>
              <w:top w:w="60" w:type="dxa"/>
              <w:left w:w="55" w:type="dxa"/>
              <w:bottom w:w="60" w:type="dxa"/>
              <w:right w:w="55" w:type="dxa"/>
            </w:tcMar>
            <w:vAlign w:val="center"/>
          </w:tcPr>
          <w:p w14:paraId="60C5A311">
            <w:pPr>
              <w:spacing w:before="0" w:after="0" w:line="240" w:lineRule="auto"/>
              <w:jc w:val="center"/>
            </w:pPr>
            <w:r>
              <w:rPr>
                <w:rFonts w:ascii="Arial" w:hAnsi="Arial" w:eastAsia="Arial"/>
                <w:b/>
                <w:i w:val="0"/>
                <w:color w:val="FFFFFF"/>
                <w:sz w:val="14"/>
              </w:rPr>
              <w:t>Comparison or diagnostic</w:t>
            </w:r>
          </w:p>
        </w:tc>
        <w:tc>
          <w:tcPr>
            <w:tcW w:w="2520" w:type="dxa"/>
            <w:shd w:val="clear" w:color="auto" w:fill="355C7D"/>
            <w:tcMar>
              <w:top w:w="60" w:type="dxa"/>
              <w:left w:w="55" w:type="dxa"/>
              <w:bottom w:w="60" w:type="dxa"/>
              <w:right w:w="55" w:type="dxa"/>
            </w:tcMar>
            <w:vAlign w:val="center"/>
          </w:tcPr>
          <w:p w14:paraId="6482ADE0">
            <w:pPr>
              <w:spacing w:before="0" w:after="0" w:line="240" w:lineRule="auto"/>
              <w:jc w:val="center"/>
            </w:pPr>
            <w:r>
              <w:rPr>
                <w:rFonts w:ascii="Arial" w:hAnsi="Arial" w:eastAsia="Arial"/>
                <w:b/>
                <w:i w:val="0"/>
                <w:color w:val="FFFFFF"/>
                <w:sz w:val="14"/>
              </w:rPr>
              <w:t>Result</w:t>
            </w:r>
          </w:p>
        </w:tc>
        <w:tc>
          <w:tcPr>
            <w:tcW w:w="3024" w:type="dxa"/>
            <w:shd w:val="clear" w:color="auto" w:fill="355C7D"/>
            <w:tcMar>
              <w:top w:w="60" w:type="dxa"/>
              <w:left w:w="55" w:type="dxa"/>
              <w:bottom w:w="60" w:type="dxa"/>
              <w:right w:w="55" w:type="dxa"/>
            </w:tcMar>
            <w:vAlign w:val="center"/>
          </w:tcPr>
          <w:p w14:paraId="14AF1F0B">
            <w:pPr>
              <w:spacing w:before="0" w:after="0" w:line="240" w:lineRule="auto"/>
              <w:jc w:val="center"/>
            </w:pPr>
            <w:r>
              <w:rPr>
                <w:rFonts w:ascii="Arial" w:hAnsi="Arial" w:eastAsia="Arial"/>
                <w:b/>
                <w:i w:val="0"/>
                <w:color w:val="FFFFFF"/>
                <w:sz w:val="14"/>
              </w:rPr>
              <w:t>Prespecified criterion</w:t>
            </w:r>
          </w:p>
        </w:tc>
        <w:tc>
          <w:tcPr>
            <w:tcW w:w="4392" w:type="dxa"/>
            <w:shd w:val="clear" w:color="auto" w:fill="355C7D"/>
            <w:tcMar>
              <w:top w:w="60" w:type="dxa"/>
              <w:left w:w="55" w:type="dxa"/>
              <w:bottom w:w="60" w:type="dxa"/>
              <w:right w:w="55" w:type="dxa"/>
            </w:tcMar>
            <w:vAlign w:val="center"/>
          </w:tcPr>
          <w:p w14:paraId="7BC0F22D">
            <w:pPr>
              <w:spacing w:before="0" w:after="0" w:line="240" w:lineRule="auto"/>
              <w:jc w:val="center"/>
            </w:pPr>
            <w:r>
              <w:rPr>
                <w:rFonts w:ascii="Arial" w:hAnsi="Arial" w:eastAsia="Arial"/>
                <w:b/>
                <w:i w:val="0"/>
                <w:color w:val="FFFFFF"/>
                <w:sz w:val="14"/>
              </w:rPr>
              <w:t>Interpretation</w:t>
            </w:r>
          </w:p>
        </w:tc>
      </w:tr>
      <w:tr w14:paraId="3D84C6CB">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FFFFF"/>
            <w:tcMar>
              <w:top w:w="50" w:type="dxa"/>
              <w:left w:w="55" w:type="dxa"/>
              <w:bottom w:w="50" w:type="dxa"/>
              <w:right w:w="55" w:type="dxa"/>
            </w:tcMar>
            <w:vAlign w:val="top"/>
          </w:tcPr>
          <w:p w14:paraId="0903C1A8">
            <w:pPr>
              <w:spacing w:before="0" w:after="0" w:line="240" w:lineRule="auto"/>
              <w:jc w:val="left"/>
            </w:pPr>
            <w:r>
              <w:rPr>
                <w:rFonts w:ascii="Arial" w:hAnsi="Arial" w:eastAsia="Arial"/>
                <w:b w:val="0"/>
                <w:i w:val="0"/>
                <w:sz w:val="14"/>
              </w:rPr>
              <w:t>Claim boundary</w:t>
            </w:r>
          </w:p>
        </w:tc>
        <w:tc>
          <w:tcPr>
            <w:tcW w:w="3168" w:type="dxa"/>
            <w:shd w:val="clear" w:color="auto" w:fill="FFFFFF"/>
            <w:tcMar>
              <w:top w:w="50" w:type="dxa"/>
              <w:left w:w="55" w:type="dxa"/>
              <w:bottom w:w="50" w:type="dxa"/>
              <w:right w:w="55" w:type="dxa"/>
            </w:tcMar>
            <w:vAlign w:val="top"/>
          </w:tcPr>
          <w:p w14:paraId="47D0E3F8">
            <w:pPr>
              <w:spacing w:before="0" w:after="0" w:line="240" w:lineRule="auto"/>
              <w:jc w:val="left"/>
            </w:pPr>
            <w:r>
              <w:rPr>
                <w:rFonts w:ascii="Arial" w:hAnsi="Arial" w:eastAsia="Arial"/>
                <w:b w:val="0"/>
                <w:i w:val="0"/>
                <w:sz w:val="14"/>
              </w:rPr>
              <w:t>Measured composition</w:t>
            </w:r>
          </w:p>
        </w:tc>
        <w:tc>
          <w:tcPr>
            <w:tcW w:w="2520" w:type="dxa"/>
            <w:shd w:val="clear" w:color="auto" w:fill="FFFFFF"/>
            <w:tcMar>
              <w:top w:w="50" w:type="dxa"/>
              <w:left w:w="55" w:type="dxa"/>
              <w:bottom w:w="50" w:type="dxa"/>
              <w:right w:w="55" w:type="dxa"/>
            </w:tcMar>
            <w:vAlign w:val="top"/>
          </w:tcPr>
          <w:p w14:paraId="2454B4F5">
            <w:pPr>
              <w:spacing w:before="0" w:after="0" w:line="240" w:lineRule="auto"/>
              <w:jc w:val="center"/>
            </w:pPr>
            <w:r>
              <w:rPr>
                <w:rFonts w:ascii="Arial" w:hAnsi="Arial" w:eastAsia="Arial"/>
                <w:b w:val="0"/>
                <w:i w:val="0"/>
                <w:sz w:val="14"/>
              </w:rPr>
              <w:t>Measured baseline composition did not materially explain the HRS–ELSA coefficient gap.</w:t>
            </w:r>
          </w:p>
        </w:tc>
        <w:tc>
          <w:tcPr>
            <w:tcW w:w="3024" w:type="dxa"/>
            <w:shd w:val="clear" w:color="auto" w:fill="FFFFFF"/>
            <w:tcMar>
              <w:top w:w="50" w:type="dxa"/>
              <w:left w:w="55" w:type="dxa"/>
              <w:bottom w:w="50" w:type="dxa"/>
              <w:right w:w="55" w:type="dxa"/>
            </w:tcMar>
            <w:vAlign w:val="top"/>
          </w:tcPr>
          <w:p w14:paraId="42D8B23C">
            <w:pPr>
              <w:spacing w:before="0" w:after="0" w:line="240" w:lineRule="auto"/>
              <w:jc w:val="left"/>
            </w:pPr>
            <w:r>
              <w:rPr>
                <w:rFonts w:ascii="Arial" w:hAnsi="Arial" w:eastAsia="Arial"/>
                <w:b w:val="0"/>
                <w:i w:val="0"/>
                <w:sz w:val="14"/>
              </w:rPr>
              <w:t>Interpretation boundary</w:t>
            </w:r>
          </w:p>
        </w:tc>
        <w:tc>
          <w:tcPr>
            <w:tcW w:w="4392" w:type="dxa"/>
            <w:shd w:val="clear" w:color="auto" w:fill="FFFFFF"/>
            <w:tcMar>
              <w:top w:w="50" w:type="dxa"/>
              <w:left w:w="55" w:type="dxa"/>
              <w:bottom w:w="50" w:type="dxa"/>
              <w:right w:w="55" w:type="dxa"/>
            </w:tcMar>
            <w:vAlign w:val="top"/>
          </w:tcPr>
          <w:p w14:paraId="7E748577">
            <w:pPr>
              <w:spacing w:before="0" w:after="0" w:line="240" w:lineRule="auto"/>
              <w:jc w:val="left"/>
            </w:pPr>
            <w:r>
              <w:rPr>
                <w:rFonts w:ascii="Arial" w:hAnsi="Arial" w:eastAsia="Arial"/>
                <w:b w:val="0"/>
                <w:i w:val="0"/>
                <w:sz w:val="14"/>
              </w:rPr>
              <w:t>Reweighting HRS to the measured baseline composition of the ELSA analytic population did not materially reduce the HRS–ELSA coefficient gaps. The available demographic, educational, BMI, and adversity differences were insufficient to explain the non-replication.</w:t>
            </w:r>
          </w:p>
        </w:tc>
      </w:tr>
      <w:tr w14:paraId="01BB3057">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6F8FA"/>
            <w:tcMar>
              <w:top w:w="50" w:type="dxa"/>
              <w:left w:w="55" w:type="dxa"/>
              <w:bottom w:w="50" w:type="dxa"/>
              <w:right w:w="55" w:type="dxa"/>
            </w:tcMar>
            <w:vAlign w:val="top"/>
          </w:tcPr>
          <w:p w14:paraId="38FE9A81">
            <w:pPr>
              <w:spacing w:before="0" w:after="0" w:line="240" w:lineRule="auto"/>
              <w:jc w:val="left"/>
            </w:pPr>
            <w:r>
              <w:rPr>
                <w:rFonts w:ascii="Arial" w:hAnsi="Arial" w:eastAsia="Arial"/>
                <w:b w:val="0"/>
                <w:i w:val="0"/>
                <w:sz w:val="14"/>
              </w:rPr>
              <w:t>Claim boundary</w:t>
            </w:r>
          </w:p>
        </w:tc>
        <w:tc>
          <w:tcPr>
            <w:tcW w:w="3168" w:type="dxa"/>
            <w:shd w:val="clear" w:color="auto" w:fill="F6F8FA"/>
            <w:tcMar>
              <w:top w:w="50" w:type="dxa"/>
              <w:left w:w="55" w:type="dxa"/>
              <w:bottom w:w="50" w:type="dxa"/>
              <w:right w:w="55" w:type="dxa"/>
            </w:tcMar>
            <w:vAlign w:val="top"/>
          </w:tcPr>
          <w:p w14:paraId="5B622DD6">
            <w:pPr>
              <w:spacing w:before="0" w:after="0" w:line="240" w:lineRule="auto"/>
              <w:jc w:val="left"/>
            </w:pPr>
            <w:r>
              <w:rPr>
                <w:rFonts w:ascii="Arial" w:hAnsi="Arial" w:eastAsia="Arial"/>
                <w:b w:val="0"/>
                <w:i w:val="0"/>
                <w:sz w:val="14"/>
              </w:rPr>
              <w:t>Causal interpretation</w:t>
            </w:r>
          </w:p>
        </w:tc>
        <w:tc>
          <w:tcPr>
            <w:tcW w:w="2520" w:type="dxa"/>
            <w:shd w:val="clear" w:color="auto" w:fill="F6F8FA"/>
            <w:tcMar>
              <w:top w:w="50" w:type="dxa"/>
              <w:left w:w="55" w:type="dxa"/>
              <w:bottom w:w="50" w:type="dxa"/>
              <w:right w:w="55" w:type="dxa"/>
            </w:tcMar>
            <w:vAlign w:val="top"/>
          </w:tcPr>
          <w:p w14:paraId="0D76AB93">
            <w:pPr>
              <w:spacing w:before="0" w:after="0" w:line="240" w:lineRule="auto"/>
              <w:jc w:val="center"/>
            </w:pPr>
            <w:r>
              <w:rPr>
                <w:rFonts w:ascii="Arial" w:hAnsi="Arial" w:eastAsia="Arial"/>
                <w:b w:val="0"/>
                <w:i w:val="0"/>
                <w:sz w:val="14"/>
              </w:rPr>
              <w:t>Not a causal transportability analysis</w:t>
            </w:r>
          </w:p>
        </w:tc>
        <w:tc>
          <w:tcPr>
            <w:tcW w:w="3024" w:type="dxa"/>
            <w:shd w:val="clear" w:color="auto" w:fill="F6F8FA"/>
            <w:tcMar>
              <w:top w:w="50" w:type="dxa"/>
              <w:left w:w="55" w:type="dxa"/>
              <w:bottom w:w="50" w:type="dxa"/>
              <w:right w:w="55" w:type="dxa"/>
            </w:tcMar>
            <w:vAlign w:val="top"/>
          </w:tcPr>
          <w:p w14:paraId="2EE61469">
            <w:pPr>
              <w:spacing w:before="0" w:after="0" w:line="240" w:lineRule="auto"/>
              <w:jc w:val="left"/>
            </w:pPr>
            <w:r>
              <w:rPr>
                <w:rFonts w:ascii="Arial" w:hAnsi="Arial" w:eastAsia="Arial"/>
                <w:b w:val="0"/>
                <w:i w:val="0"/>
                <w:sz w:val="14"/>
              </w:rPr>
              <w:t>Interpretation boundary</w:t>
            </w:r>
          </w:p>
        </w:tc>
        <w:tc>
          <w:tcPr>
            <w:tcW w:w="4392" w:type="dxa"/>
            <w:shd w:val="clear" w:color="auto" w:fill="F6F8FA"/>
            <w:tcMar>
              <w:top w:w="50" w:type="dxa"/>
              <w:left w:w="55" w:type="dxa"/>
              <w:bottom w:w="50" w:type="dxa"/>
              <w:right w:w="55" w:type="dxa"/>
            </w:tcMar>
            <w:vAlign w:val="top"/>
          </w:tcPr>
          <w:p w14:paraId="399DA056">
            <w:pPr>
              <w:spacing w:before="0" w:after="0" w:line="240" w:lineRule="auto"/>
              <w:jc w:val="left"/>
            </w:pPr>
            <w:r>
              <w:rPr>
                <w:rFonts w:ascii="Arial" w:hAnsi="Arial" w:eastAsia="Arial"/>
                <w:b w:val="0"/>
                <w:i w:val="0"/>
                <w:sz w:val="14"/>
              </w:rPr>
              <w:t>Weights address measured baseline composition only.</w:t>
            </w:r>
          </w:p>
        </w:tc>
      </w:tr>
      <w:tr w14:paraId="2FA63AE5">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FFFFF"/>
            <w:tcMar>
              <w:top w:w="50" w:type="dxa"/>
              <w:left w:w="55" w:type="dxa"/>
              <w:bottom w:w="50" w:type="dxa"/>
              <w:right w:w="55" w:type="dxa"/>
            </w:tcMar>
            <w:vAlign w:val="top"/>
          </w:tcPr>
          <w:p w14:paraId="45432EA4">
            <w:pPr>
              <w:spacing w:before="0" w:after="0" w:line="240" w:lineRule="auto"/>
              <w:jc w:val="left"/>
            </w:pPr>
            <w:r>
              <w:rPr>
                <w:rFonts w:ascii="Arial" w:hAnsi="Arial" w:eastAsia="Arial"/>
                <w:b w:val="0"/>
                <w:i w:val="0"/>
                <w:sz w:val="14"/>
              </w:rPr>
              <w:t>Claim boundary</w:t>
            </w:r>
          </w:p>
        </w:tc>
        <w:tc>
          <w:tcPr>
            <w:tcW w:w="3168" w:type="dxa"/>
            <w:shd w:val="clear" w:color="auto" w:fill="FFFFFF"/>
            <w:tcMar>
              <w:top w:w="50" w:type="dxa"/>
              <w:left w:w="55" w:type="dxa"/>
              <w:bottom w:w="50" w:type="dxa"/>
              <w:right w:w="55" w:type="dxa"/>
            </w:tcMar>
            <w:vAlign w:val="top"/>
          </w:tcPr>
          <w:p w14:paraId="1339CBA4">
            <w:pPr>
              <w:spacing w:before="0" w:after="0" w:line="240" w:lineRule="auto"/>
              <w:jc w:val="left"/>
            </w:pPr>
            <w:r>
              <w:rPr>
                <w:rFonts w:ascii="Arial" w:hAnsi="Arial" w:eastAsia="Arial"/>
                <w:b w:val="0"/>
                <w:i w:val="0"/>
                <w:sz w:val="14"/>
              </w:rPr>
              <w:t>Residual differences</w:t>
            </w:r>
          </w:p>
        </w:tc>
        <w:tc>
          <w:tcPr>
            <w:tcW w:w="2520" w:type="dxa"/>
            <w:shd w:val="clear" w:color="auto" w:fill="FFFFFF"/>
            <w:tcMar>
              <w:top w:w="50" w:type="dxa"/>
              <w:left w:w="55" w:type="dxa"/>
              <w:bottom w:w="50" w:type="dxa"/>
              <w:right w:w="55" w:type="dxa"/>
            </w:tcMar>
            <w:vAlign w:val="top"/>
          </w:tcPr>
          <w:p w14:paraId="5951CD94">
            <w:pPr>
              <w:spacing w:before="0" w:after="0" w:line="240" w:lineRule="auto"/>
              <w:jc w:val="center"/>
            </w:pPr>
            <w:r>
              <w:rPr>
                <w:rFonts w:ascii="Arial" w:hAnsi="Arial" w:eastAsia="Arial"/>
                <w:b w:val="0"/>
                <w:i w:val="0"/>
                <w:sz w:val="14"/>
              </w:rPr>
              <w:t>Measurement, contextual, and unmeasured differences may remain</w:t>
            </w:r>
          </w:p>
        </w:tc>
        <w:tc>
          <w:tcPr>
            <w:tcW w:w="3024" w:type="dxa"/>
            <w:shd w:val="clear" w:color="auto" w:fill="FFFFFF"/>
            <w:tcMar>
              <w:top w:w="50" w:type="dxa"/>
              <w:left w:w="55" w:type="dxa"/>
              <w:bottom w:w="50" w:type="dxa"/>
              <w:right w:w="55" w:type="dxa"/>
            </w:tcMar>
            <w:vAlign w:val="top"/>
          </w:tcPr>
          <w:p w14:paraId="7296EA1A">
            <w:pPr>
              <w:spacing w:before="0" w:after="0" w:line="240" w:lineRule="auto"/>
              <w:jc w:val="left"/>
            </w:pPr>
            <w:r>
              <w:rPr>
                <w:rFonts w:ascii="Arial" w:hAnsi="Arial" w:eastAsia="Arial"/>
                <w:b w:val="0"/>
                <w:i w:val="0"/>
                <w:sz w:val="14"/>
              </w:rPr>
              <w:t>Interpretation boundary</w:t>
            </w:r>
          </w:p>
        </w:tc>
        <w:tc>
          <w:tcPr>
            <w:tcW w:w="4392" w:type="dxa"/>
            <w:shd w:val="clear" w:color="auto" w:fill="FFFFFF"/>
            <w:tcMar>
              <w:top w:w="50" w:type="dxa"/>
              <w:left w:w="55" w:type="dxa"/>
              <w:bottom w:w="50" w:type="dxa"/>
              <w:right w:w="55" w:type="dxa"/>
            </w:tcMar>
            <w:vAlign w:val="top"/>
          </w:tcPr>
          <w:p w14:paraId="17EE437F">
            <w:pPr>
              <w:spacing w:before="0" w:after="0" w:line="240" w:lineRule="auto"/>
              <w:jc w:val="left"/>
            </w:pPr>
            <w:r>
              <w:rPr>
                <w:rFonts w:ascii="Arial" w:hAnsi="Arial" w:eastAsia="Arial"/>
                <w:b w:val="0"/>
                <w:i w:val="0"/>
                <w:sz w:val="14"/>
              </w:rPr>
              <w:t>Failure of measured composition to explain the gap does not identify a single alternative cause.</w:t>
            </w:r>
          </w:p>
        </w:tc>
      </w:tr>
      <w:tr w14:paraId="34ED7EC0">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2448" w:type="dxa"/>
            <w:shd w:val="clear" w:color="auto" w:fill="F6F8FA"/>
            <w:tcMar>
              <w:top w:w="50" w:type="dxa"/>
              <w:left w:w="55" w:type="dxa"/>
              <w:bottom w:w="50" w:type="dxa"/>
              <w:right w:w="55" w:type="dxa"/>
            </w:tcMar>
            <w:vAlign w:val="top"/>
          </w:tcPr>
          <w:p w14:paraId="2B54154B">
            <w:pPr>
              <w:spacing w:before="0" w:after="0" w:line="240" w:lineRule="auto"/>
              <w:jc w:val="left"/>
            </w:pPr>
            <w:r>
              <w:rPr>
                <w:rFonts w:ascii="Arial" w:hAnsi="Arial" w:eastAsia="Arial"/>
                <w:b w:val="0"/>
                <w:i w:val="0"/>
                <w:sz w:val="14"/>
              </w:rPr>
              <w:t>Claim boundary</w:t>
            </w:r>
          </w:p>
        </w:tc>
        <w:tc>
          <w:tcPr>
            <w:tcW w:w="3168" w:type="dxa"/>
            <w:shd w:val="clear" w:color="auto" w:fill="F6F8FA"/>
            <w:tcMar>
              <w:top w:w="50" w:type="dxa"/>
              <w:left w:w="55" w:type="dxa"/>
              <w:bottom w:w="50" w:type="dxa"/>
              <w:right w:w="55" w:type="dxa"/>
            </w:tcMar>
            <w:vAlign w:val="top"/>
          </w:tcPr>
          <w:p w14:paraId="795E5D75">
            <w:pPr>
              <w:spacing w:before="0" w:after="0" w:line="240" w:lineRule="auto"/>
              <w:jc w:val="left"/>
            </w:pPr>
            <w:r>
              <w:rPr>
                <w:rFonts w:ascii="Arial" w:hAnsi="Arial" w:eastAsia="Arial"/>
                <w:b w:val="0"/>
                <w:i w:val="0"/>
                <w:sz w:val="14"/>
              </w:rPr>
              <w:t>Negative ELSA result</w:t>
            </w:r>
          </w:p>
        </w:tc>
        <w:tc>
          <w:tcPr>
            <w:tcW w:w="2520" w:type="dxa"/>
            <w:shd w:val="clear" w:color="auto" w:fill="F6F8FA"/>
            <w:tcMar>
              <w:top w:w="50" w:type="dxa"/>
              <w:left w:w="55" w:type="dxa"/>
              <w:bottom w:w="50" w:type="dxa"/>
              <w:right w:w="55" w:type="dxa"/>
            </w:tcMar>
            <w:vAlign w:val="top"/>
          </w:tcPr>
          <w:p w14:paraId="54E142F8">
            <w:pPr>
              <w:spacing w:before="0" w:after="0" w:line="240" w:lineRule="auto"/>
              <w:jc w:val="center"/>
            </w:pPr>
            <w:r>
              <w:rPr>
                <w:rFonts w:ascii="Arial" w:hAnsi="Arial" w:eastAsia="Arial"/>
                <w:b w:val="0"/>
                <w:i w:val="0"/>
                <w:sz w:val="14"/>
              </w:rPr>
              <w:t>The core dynamic process was not replicated in ELSA.</w:t>
            </w:r>
          </w:p>
        </w:tc>
        <w:tc>
          <w:tcPr>
            <w:tcW w:w="3024" w:type="dxa"/>
            <w:shd w:val="clear" w:color="auto" w:fill="F6F8FA"/>
            <w:tcMar>
              <w:top w:w="50" w:type="dxa"/>
              <w:left w:w="55" w:type="dxa"/>
              <w:bottom w:w="50" w:type="dxa"/>
              <w:right w:w="55" w:type="dxa"/>
            </w:tcMar>
            <w:vAlign w:val="top"/>
          </w:tcPr>
          <w:p w14:paraId="241F67E9">
            <w:pPr>
              <w:spacing w:before="0" w:after="0" w:line="240" w:lineRule="auto"/>
              <w:jc w:val="left"/>
            </w:pPr>
            <w:r>
              <w:rPr>
                <w:rFonts w:ascii="Arial" w:hAnsi="Arial" w:eastAsia="Arial"/>
                <w:b w:val="0"/>
                <w:i w:val="0"/>
                <w:sz w:val="14"/>
              </w:rPr>
              <w:t>Interpretation boundary</w:t>
            </w:r>
          </w:p>
        </w:tc>
        <w:tc>
          <w:tcPr>
            <w:tcW w:w="4392" w:type="dxa"/>
            <w:shd w:val="clear" w:color="auto" w:fill="F6F8FA"/>
            <w:tcMar>
              <w:top w:w="50" w:type="dxa"/>
              <w:left w:w="55" w:type="dxa"/>
              <w:bottom w:w="50" w:type="dxa"/>
              <w:right w:w="55" w:type="dxa"/>
            </w:tcMar>
            <w:vAlign w:val="top"/>
          </w:tcPr>
          <w:p w14:paraId="75D34021">
            <w:pPr>
              <w:spacing w:before="0" w:after="0" w:line="240" w:lineRule="auto"/>
              <w:jc w:val="left"/>
            </w:pPr>
            <w:r>
              <w:rPr>
                <w:rFonts w:ascii="Arial" w:hAnsi="Arial" w:eastAsia="Arial"/>
                <w:b w:val="0"/>
                <w:i w:val="0"/>
                <w:sz w:val="14"/>
              </w:rPr>
              <w:t>ELSA non-replication is retained and is not rescued by alternative definitions or algorithms.</w:t>
            </w:r>
          </w:p>
        </w:tc>
      </w:tr>
    </w:tbl>
    <w:p w14:paraId="03FE4454">
      <w:pPr>
        <w:spacing w:before="0" w:after="40"/>
      </w:pPr>
    </w:p>
    <w:p w14:paraId="401F6022">
      <w:pPr>
        <w:pStyle w:val="166"/>
        <w:keepLines/>
      </w:pPr>
      <w:r>
        <w:rPr>
          <w:rFonts w:ascii="Arial" w:hAnsi="Arial" w:eastAsia="Arial"/>
          <w:b/>
          <w:i w:val="0"/>
          <w:sz w:val="14"/>
        </w:rPr>
        <w:t>Note. Formal HRS–ELSA heterogeneity was evaluated on the common raw CES-D scale. Weights address measured baseline composition only and do not establish causal transportability. Participant-bootstrap confidence intervals are preferred for reweighted effects; cluster-robust P values are retained for transparency.</w:t>
      </w:r>
    </w:p>
    <w:p w14:paraId="54FF8CCB">
      <w:r>
        <w:br w:type="page"/>
      </w:r>
    </w:p>
    <w:p w14:paraId="58855178">
      <w:pPr>
        <w:pStyle w:val="164"/>
      </w:pPr>
      <w:r>
        <w:rPr>
          <w:rFonts w:ascii="Arial" w:hAnsi="Arial" w:eastAsia="Arial"/>
          <w:b/>
          <w:i w:val="0"/>
          <w:sz w:val="21"/>
        </w:rPr>
        <w:t>Table S5. Supporting life-course adversity, psychological-burden formation, and biomarker analyses</w:t>
      </w:r>
    </w:p>
    <w:p w14:paraId="1BB0A1C1">
      <w:pPr>
        <w:pStyle w:val="165"/>
        <w:keepNext/>
      </w:pPr>
      <w:r>
        <w:rPr>
          <w:rFonts w:ascii="Arial" w:hAnsi="Arial" w:eastAsia="Arial"/>
          <w:b/>
          <w:i w:val="0"/>
          <w:color w:val="355C7D"/>
          <w:sz w:val="17"/>
        </w:rPr>
        <w:t>Panel A. Life-course adversity and psychological-burden formation</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2614"/>
        <w:gridCol w:w="2614"/>
        <w:gridCol w:w="2614"/>
        <w:gridCol w:w="2614"/>
        <w:gridCol w:w="2614"/>
        <w:gridCol w:w="2614"/>
      </w:tblGrid>
      <w:tr w14:paraId="0215B576">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3456" w:type="dxa"/>
            <w:shd w:val="clear" w:color="auto" w:fill="355C7D"/>
            <w:tcMar>
              <w:top w:w="60" w:type="dxa"/>
              <w:left w:w="55" w:type="dxa"/>
              <w:bottom w:w="60" w:type="dxa"/>
              <w:right w:w="55" w:type="dxa"/>
            </w:tcMar>
            <w:vAlign w:val="center"/>
          </w:tcPr>
          <w:p w14:paraId="756DB9FC">
            <w:pPr>
              <w:spacing w:before="0" w:after="0" w:line="240" w:lineRule="auto"/>
              <w:jc w:val="center"/>
            </w:pPr>
            <w:r>
              <w:rPr>
                <w:rFonts w:ascii="Arial" w:hAnsi="Arial" w:eastAsia="Arial"/>
                <w:b/>
                <w:i w:val="0"/>
                <w:color w:val="FFFFFF"/>
                <w:sz w:val="14"/>
              </w:rPr>
              <w:t>Association</w:t>
            </w:r>
          </w:p>
        </w:tc>
        <w:tc>
          <w:tcPr>
            <w:tcW w:w="1944" w:type="dxa"/>
            <w:shd w:val="clear" w:color="auto" w:fill="355C7D"/>
            <w:tcMar>
              <w:top w:w="60" w:type="dxa"/>
              <w:left w:w="55" w:type="dxa"/>
              <w:bottom w:w="60" w:type="dxa"/>
              <w:right w:w="55" w:type="dxa"/>
            </w:tcMar>
            <w:vAlign w:val="center"/>
          </w:tcPr>
          <w:p w14:paraId="78B4A38C">
            <w:pPr>
              <w:spacing w:before="0" w:after="0" w:line="240" w:lineRule="auto"/>
              <w:jc w:val="center"/>
            </w:pPr>
            <w:r>
              <w:rPr>
                <w:rFonts w:ascii="Arial" w:hAnsi="Arial" w:eastAsia="Arial"/>
                <w:b/>
                <w:i w:val="0"/>
                <w:color w:val="FFFFFF"/>
                <w:sz w:val="14"/>
              </w:rPr>
              <w:t>Effect measure</w:t>
            </w:r>
          </w:p>
        </w:tc>
        <w:tc>
          <w:tcPr>
            <w:tcW w:w="1944" w:type="dxa"/>
            <w:shd w:val="clear" w:color="auto" w:fill="355C7D"/>
            <w:tcMar>
              <w:top w:w="60" w:type="dxa"/>
              <w:left w:w="55" w:type="dxa"/>
              <w:bottom w:w="60" w:type="dxa"/>
              <w:right w:w="55" w:type="dxa"/>
            </w:tcMar>
            <w:vAlign w:val="center"/>
          </w:tcPr>
          <w:p w14:paraId="1DFFCCB1">
            <w:pPr>
              <w:spacing w:before="0" w:after="0" w:line="240" w:lineRule="auto"/>
              <w:jc w:val="center"/>
            </w:pPr>
            <w:r>
              <w:rPr>
                <w:rFonts w:ascii="Arial" w:hAnsi="Arial" w:eastAsia="Arial"/>
                <w:b/>
                <w:i w:val="0"/>
                <w:color w:val="FFFFFF"/>
                <w:sz w:val="14"/>
              </w:rPr>
              <w:t>Estimate (95% CI)</w:t>
            </w:r>
          </w:p>
        </w:tc>
        <w:tc>
          <w:tcPr>
            <w:tcW w:w="936" w:type="dxa"/>
            <w:shd w:val="clear" w:color="auto" w:fill="355C7D"/>
            <w:tcMar>
              <w:top w:w="60" w:type="dxa"/>
              <w:left w:w="55" w:type="dxa"/>
              <w:bottom w:w="60" w:type="dxa"/>
              <w:right w:w="55" w:type="dxa"/>
            </w:tcMar>
            <w:vAlign w:val="center"/>
          </w:tcPr>
          <w:p w14:paraId="266A0749">
            <w:pPr>
              <w:spacing w:before="0" w:after="0" w:line="240" w:lineRule="auto"/>
              <w:jc w:val="center"/>
            </w:pPr>
            <w:r>
              <w:rPr>
                <w:rFonts w:ascii="Arial" w:hAnsi="Arial" w:eastAsia="Arial"/>
                <w:b/>
                <w:i w:val="0"/>
                <w:color w:val="FFFFFF"/>
                <w:sz w:val="14"/>
              </w:rPr>
              <w:t>P value</w:t>
            </w:r>
          </w:p>
        </w:tc>
        <w:tc>
          <w:tcPr>
            <w:tcW w:w="3096" w:type="dxa"/>
            <w:shd w:val="clear" w:color="auto" w:fill="355C7D"/>
            <w:tcMar>
              <w:top w:w="60" w:type="dxa"/>
              <w:left w:w="55" w:type="dxa"/>
              <w:bottom w:w="60" w:type="dxa"/>
              <w:right w:w="55" w:type="dxa"/>
            </w:tcMar>
            <w:vAlign w:val="center"/>
          </w:tcPr>
          <w:p w14:paraId="54857220">
            <w:pPr>
              <w:spacing w:before="0" w:after="0" w:line="240" w:lineRule="auto"/>
              <w:jc w:val="center"/>
            </w:pPr>
            <w:r>
              <w:rPr>
                <w:rFonts w:ascii="Arial" w:hAnsi="Arial" w:eastAsia="Arial"/>
                <w:b/>
                <w:i w:val="0"/>
                <w:color w:val="FFFFFF"/>
                <w:sz w:val="14"/>
              </w:rPr>
              <w:t>Sample</w:t>
            </w:r>
          </w:p>
        </w:tc>
        <w:tc>
          <w:tcPr>
            <w:tcW w:w="4176" w:type="dxa"/>
            <w:shd w:val="clear" w:color="auto" w:fill="355C7D"/>
            <w:tcMar>
              <w:top w:w="60" w:type="dxa"/>
              <w:left w:w="55" w:type="dxa"/>
              <w:bottom w:w="60" w:type="dxa"/>
              <w:right w:w="55" w:type="dxa"/>
            </w:tcMar>
            <w:vAlign w:val="center"/>
          </w:tcPr>
          <w:p w14:paraId="55912F6A">
            <w:pPr>
              <w:spacing w:before="0" w:after="0" w:line="240" w:lineRule="auto"/>
              <w:jc w:val="center"/>
            </w:pPr>
            <w:r>
              <w:rPr>
                <w:rFonts w:ascii="Arial" w:hAnsi="Arial" w:eastAsia="Arial"/>
                <w:b/>
                <w:i w:val="0"/>
                <w:color w:val="FFFFFF"/>
                <w:sz w:val="14"/>
              </w:rPr>
              <w:t>Interpretation</w:t>
            </w:r>
          </w:p>
        </w:tc>
      </w:tr>
      <w:tr w14:paraId="6E6FC5BC">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3456" w:type="dxa"/>
            <w:shd w:val="clear" w:color="auto" w:fill="FFFFFF"/>
            <w:tcMar>
              <w:top w:w="50" w:type="dxa"/>
              <w:left w:w="55" w:type="dxa"/>
              <w:bottom w:w="50" w:type="dxa"/>
              <w:right w:w="55" w:type="dxa"/>
            </w:tcMar>
            <w:vAlign w:val="top"/>
          </w:tcPr>
          <w:p w14:paraId="41BA44E4">
            <w:pPr>
              <w:spacing w:before="0" w:after="0" w:line="240" w:lineRule="auto"/>
              <w:jc w:val="left"/>
            </w:pPr>
            <w:r>
              <w:rPr>
                <w:rFonts w:ascii="Arial" w:hAnsi="Arial" w:eastAsia="Arial"/>
                <w:b w:val="0"/>
                <w:i w:val="0"/>
                <w:sz w:val="14"/>
              </w:rPr>
              <w:t>Life-course adversity and incident heart disease in HRS</w:t>
            </w:r>
          </w:p>
        </w:tc>
        <w:tc>
          <w:tcPr>
            <w:tcW w:w="1944" w:type="dxa"/>
            <w:shd w:val="clear" w:color="auto" w:fill="FFFFFF"/>
            <w:tcMar>
              <w:top w:w="50" w:type="dxa"/>
              <w:left w:w="55" w:type="dxa"/>
              <w:bottom w:w="50" w:type="dxa"/>
              <w:right w:w="55" w:type="dxa"/>
            </w:tcMar>
            <w:vAlign w:val="top"/>
          </w:tcPr>
          <w:p w14:paraId="1B97E745">
            <w:pPr>
              <w:spacing w:before="0" w:after="0" w:line="240" w:lineRule="auto"/>
              <w:jc w:val="center"/>
            </w:pPr>
            <w:r>
              <w:rPr>
                <w:rFonts w:ascii="Arial" w:hAnsi="Arial" w:eastAsia="Arial"/>
                <w:b w:val="0"/>
                <w:i w:val="0"/>
                <w:sz w:val="14"/>
              </w:rPr>
              <w:t>HR per 1-SD adversity</w:t>
            </w:r>
          </w:p>
        </w:tc>
        <w:tc>
          <w:tcPr>
            <w:tcW w:w="1944" w:type="dxa"/>
            <w:shd w:val="clear" w:color="auto" w:fill="FFFFFF"/>
            <w:tcMar>
              <w:top w:w="50" w:type="dxa"/>
              <w:left w:w="55" w:type="dxa"/>
              <w:bottom w:w="50" w:type="dxa"/>
              <w:right w:w="55" w:type="dxa"/>
            </w:tcMar>
            <w:vAlign w:val="top"/>
          </w:tcPr>
          <w:p w14:paraId="5E3966DE">
            <w:pPr>
              <w:spacing w:before="0" w:after="0" w:line="240" w:lineRule="auto"/>
              <w:jc w:val="center"/>
            </w:pPr>
            <w:r>
              <w:rPr>
                <w:rFonts w:ascii="Arial" w:hAnsi="Arial" w:eastAsia="Arial"/>
                <w:b w:val="0"/>
                <w:i w:val="0"/>
                <w:sz w:val="14"/>
              </w:rPr>
              <w:t>1.121 (1.053–1.194)</w:t>
            </w:r>
          </w:p>
        </w:tc>
        <w:tc>
          <w:tcPr>
            <w:tcW w:w="936" w:type="dxa"/>
            <w:shd w:val="clear" w:color="auto" w:fill="FFFFFF"/>
            <w:tcMar>
              <w:top w:w="50" w:type="dxa"/>
              <w:left w:w="55" w:type="dxa"/>
              <w:bottom w:w="50" w:type="dxa"/>
              <w:right w:w="55" w:type="dxa"/>
            </w:tcMar>
            <w:vAlign w:val="top"/>
          </w:tcPr>
          <w:p w14:paraId="63A96469">
            <w:pPr>
              <w:spacing w:before="0" w:after="0" w:line="240" w:lineRule="auto"/>
              <w:jc w:val="center"/>
            </w:pPr>
            <w:r>
              <w:rPr>
                <w:rFonts w:ascii="Arial" w:hAnsi="Arial" w:eastAsia="Arial"/>
                <w:b w:val="0"/>
                <w:i w:val="0"/>
                <w:sz w:val="14"/>
              </w:rPr>
              <w:t>&lt;0.001</w:t>
            </w:r>
          </w:p>
        </w:tc>
        <w:tc>
          <w:tcPr>
            <w:tcW w:w="3096" w:type="dxa"/>
            <w:shd w:val="clear" w:color="auto" w:fill="FFFFFF"/>
            <w:tcMar>
              <w:top w:w="50" w:type="dxa"/>
              <w:left w:w="55" w:type="dxa"/>
              <w:bottom w:w="50" w:type="dxa"/>
              <w:right w:w="55" w:type="dxa"/>
            </w:tcMar>
            <w:vAlign w:val="top"/>
          </w:tcPr>
          <w:p w14:paraId="469E6182">
            <w:pPr>
              <w:spacing w:before="0" w:after="0" w:line="240" w:lineRule="auto"/>
              <w:jc w:val="left"/>
            </w:pPr>
            <w:r>
              <w:rPr>
                <w:rFonts w:ascii="Arial" w:hAnsi="Arial" w:eastAsia="Arial"/>
                <w:b w:val="0"/>
                <w:i w:val="0"/>
                <w:sz w:val="14"/>
              </w:rPr>
              <w:t>HRS adversity analysis, N=7,579; events=901</w:t>
            </w:r>
          </w:p>
        </w:tc>
        <w:tc>
          <w:tcPr>
            <w:tcW w:w="4176" w:type="dxa"/>
            <w:shd w:val="clear" w:color="auto" w:fill="FFFFFF"/>
            <w:tcMar>
              <w:top w:w="50" w:type="dxa"/>
              <w:left w:w="55" w:type="dxa"/>
              <w:bottom w:w="50" w:type="dxa"/>
              <w:right w:w="55" w:type="dxa"/>
            </w:tcMar>
            <w:vAlign w:val="top"/>
          </w:tcPr>
          <w:p w14:paraId="00B3FE93">
            <w:pPr>
              <w:spacing w:before="0" w:after="0" w:line="240" w:lineRule="auto"/>
              <w:jc w:val="left"/>
            </w:pPr>
            <w:r>
              <w:rPr>
                <w:rFonts w:ascii="Arial" w:hAnsi="Arial" w:eastAsia="Arial"/>
                <w:b w:val="0"/>
                <w:i w:val="0"/>
                <w:sz w:val="14"/>
              </w:rPr>
              <w:t>Original manuscript foundation; longitudinal association, not a causal effect.</w:t>
            </w:r>
          </w:p>
        </w:tc>
      </w:tr>
      <w:tr w14:paraId="25BC0A46">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3456" w:type="dxa"/>
            <w:shd w:val="clear" w:color="auto" w:fill="F6F8FA"/>
            <w:tcMar>
              <w:top w:w="50" w:type="dxa"/>
              <w:left w:w="55" w:type="dxa"/>
              <w:bottom w:w="50" w:type="dxa"/>
              <w:right w:w="55" w:type="dxa"/>
            </w:tcMar>
            <w:vAlign w:val="top"/>
          </w:tcPr>
          <w:p w14:paraId="050600B6">
            <w:pPr>
              <w:spacing w:before="0" w:after="0" w:line="240" w:lineRule="auto"/>
              <w:jc w:val="left"/>
            </w:pPr>
            <w:r>
              <w:rPr>
                <w:rFonts w:ascii="Arial" w:hAnsi="Arial" w:eastAsia="Arial"/>
                <w:b w:val="0"/>
                <w:i w:val="0"/>
                <w:sz w:val="14"/>
              </w:rPr>
              <w:t>Life-course adversity and incident high burden by 2016</w:t>
            </w:r>
          </w:p>
        </w:tc>
        <w:tc>
          <w:tcPr>
            <w:tcW w:w="1944" w:type="dxa"/>
            <w:shd w:val="clear" w:color="auto" w:fill="F6F8FA"/>
            <w:tcMar>
              <w:top w:w="50" w:type="dxa"/>
              <w:left w:w="55" w:type="dxa"/>
              <w:bottom w:w="50" w:type="dxa"/>
              <w:right w:w="55" w:type="dxa"/>
            </w:tcMar>
            <w:vAlign w:val="top"/>
          </w:tcPr>
          <w:p w14:paraId="0F423AB5">
            <w:pPr>
              <w:spacing w:before="0" w:after="0" w:line="240" w:lineRule="auto"/>
              <w:jc w:val="center"/>
            </w:pPr>
            <w:r>
              <w:rPr>
                <w:rFonts w:ascii="Arial" w:hAnsi="Arial" w:eastAsia="Arial"/>
                <w:b w:val="0"/>
                <w:i w:val="0"/>
                <w:sz w:val="14"/>
              </w:rPr>
              <w:t>OR per 1-SD adversity</w:t>
            </w:r>
          </w:p>
        </w:tc>
        <w:tc>
          <w:tcPr>
            <w:tcW w:w="1944" w:type="dxa"/>
            <w:shd w:val="clear" w:color="auto" w:fill="F6F8FA"/>
            <w:tcMar>
              <w:top w:w="50" w:type="dxa"/>
              <w:left w:w="55" w:type="dxa"/>
              <w:bottom w:w="50" w:type="dxa"/>
              <w:right w:w="55" w:type="dxa"/>
            </w:tcMar>
            <w:vAlign w:val="top"/>
          </w:tcPr>
          <w:p w14:paraId="18E9B25E">
            <w:pPr>
              <w:spacing w:before="0" w:after="0" w:line="240" w:lineRule="auto"/>
              <w:jc w:val="center"/>
            </w:pPr>
            <w:r>
              <w:rPr>
                <w:rFonts w:ascii="Arial" w:hAnsi="Arial" w:eastAsia="Arial"/>
                <w:b w:val="0"/>
                <w:i w:val="0"/>
                <w:sz w:val="14"/>
              </w:rPr>
              <w:t>1.255 (1.144–1.377)</w:t>
            </w:r>
          </w:p>
        </w:tc>
        <w:tc>
          <w:tcPr>
            <w:tcW w:w="936" w:type="dxa"/>
            <w:shd w:val="clear" w:color="auto" w:fill="F6F8FA"/>
            <w:tcMar>
              <w:top w:w="50" w:type="dxa"/>
              <w:left w:w="55" w:type="dxa"/>
              <w:bottom w:w="50" w:type="dxa"/>
              <w:right w:w="55" w:type="dxa"/>
            </w:tcMar>
            <w:vAlign w:val="top"/>
          </w:tcPr>
          <w:p w14:paraId="28FF4E72">
            <w:pPr>
              <w:spacing w:before="0" w:after="0" w:line="240" w:lineRule="auto"/>
              <w:jc w:val="center"/>
            </w:pPr>
            <w:r>
              <w:rPr>
                <w:rFonts w:ascii="Arial" w:hAnsi="Arial" w:eastAsia="Arial"/>
                <w:b w:val="0"/>
                <w:i w:val="0"/>
                <w:sz w:val="14"/>
              </w:rPr>
              <w:t>&lt;0.001</w:t>
            </w:r>
          </w:p>
        </w:tc>
        <w:tc>
          <w:tcPr>
            <w:tcW w:w="3096" w:type="dxa"/>
            <w:shd w:val="clear" w:color="auto" w:fill="F6F8FA"/>
            <w:tcMar>
              <w:top w:w="50" w:type="dxa"/>
              <w:left w:w="55" w:type="dxa"/>
              <w:bottom w:w="50" w:type="dxa"/>
              <w:right w:w="55" w:type="dxa"/>
            </w:tcMar>
            <w:vAlign w:val="top"/>
          </w:tcPr>
          <w:p w14:paraId="0A1A4E41">
            <w:pPr>
              <w:spacing w:before="0" w:after="0" w:line="240" w:lineRule="auto"/>
              <w:jc w:val="left"/>
            </w:pPr>
            <w:r>
              <w:rPr>
                <w:rFonts w:ascii="Arial" w:hAnsi="Arial" w:eastAsia="Arial"/>
                <w:b w:val="0"/>
                <w:i w:val="0"/>
                <w:sz w:val="14"/>
              </w:rPr>
              <w:t>Endpoint-state sample, N=7,292</w:t>
            </w:r>
          </w:p>
        </w:tc>
        <w:tc>
          <w:tcPr>
            <w:tcW w:w="4176" w:type="dxa"/>
            <w:shd w:val="clear" w:color="auto" w:fill="F6F8FA"/>
            <w:tcMar>
              <w:top w:w="50" w:type="dxa"/>
              <w:left w:w="55" w:type="dxa"/>
              <w:bottom w:w="50" w:type="dxa"/>
              <w:right w:w="55" w:type="dxa"/>
            </w:tcMar>
            <w:vAlign w:val="top"/>
          </w:tcPr>
          <w:p w14:paraId="491B8F6A">
            <w:pPr>
              <w:spacing w:before="0" w:after="0" w:line="240" w:lineRule="auto"/>
              <w:jc w:val="left"/>
            </w:pPr>
            <w:r>
              <w:rPr>
                <w:rFonts w:ascii="Arial" w:hAnsi="Arial" w:eastAsia="Arial"/>
                <w:b w:val="0"/>
                <w:i w:val="0"/>
                <w:sz w:val="14"/>
              </w:rPr>
              <w:t>Higher adversity was associated with emergence of high burden by 2016.</w:t>
            </w:r>
          </w:p>
        </w:tc>
      </w:tr>
      <w:tr w14:paraId="1BB3CC79">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3456" w:type="dxa"/>
            <w:shd w:val="clear" w:color="auto" w:fill="FFFFFF"/>
            <w:tcMar>
              <w:top w:w="50" w:type="dxa"/>
              <w:left w:w="55" w:type="dxa"/>
              <w:bottom w:w="50" w:type="dxa"/>
              <w:right w:w="55" w:type="dxa"/>
            </w:tcMar>
            <w:vAlign w:val="top"/>
          </w:tcPr>
          <w:p w14:paraId="271DF993">
            <w:pPr>
              <w:spacing w:before="0" w:after="0" w:line="240" w:lineRule="auto"/>
              <w:jc w:val="left"/>
            </w:pPr>
            <w:r>
              <w:rPr>
                <w:rFonts w:ascii="Arial" w:hAnsi="Arial" w:eastAsia="Arial"/>
                <w:b w:val="0"/>
                <w:i w:val="0"/>
                <w:sz w:val="14"/>
              </w:rPr>
              <w:t>Life-course adversity and remitted high burden by 2016</w:t>
            </w:r>
          </w:p>
        </w:tc>
        <w:tc>
          <w:tcPr>
            <w:tcW w:w="1944" w:type="dxa"/>
            <w:shd w:val="clear" w:color="auto" w:fill="FFFFFF"/>
            <w:tcMar>
              <w:top w:w="50" w:type="dxa"/>
              <w:left w:w="55" w:type="dxa"/>
              <w:bottom w:w="50" w:type="dxa"/>
              <w:right w:w="55" w:type="dxa"/>
            </w:tcMar>
            <w:vAlign w:val="top"/>
          </w:tcPr>
          <w:p w14:paraId="4A0FCD8F">
            <w:pPr>
              <w:spacing w:before="0" w:after="0" w:line="240" w:lineRule="auto"/>
              <w:jc w:val="center"/>
            </w:pPr>
            <w:r>
              <w:rPr>
                <w:rFonts w:ascii="Arial" w:hAnsi="Arial" w:eastAsia="Arial"/>
                <w:b w:val="0"/>
                <w:i w:val="0"/>
                <w:sz w:val="14"/>
              </w:rPr>
              <w:t>OR per 1-SD adversity</w:t>
            </w:r>
          </w:p>
        </w:tc>
        <w:tc>
          <w:tcPr>
            <w:tcW w:w="1944" w:type="dxa"/>
            <w:shd w:val="clear" w:color="auto" w:fill="FFFFFF"/>
            <w:tcMar>
              <w:top w:w="50" w:type="dxa"/>
              <w:left w:w="55" w:type="dxa"/>
              <w:bottom w:w="50" w:type="dxa"/>
              <w:right w:w="55" w:type="dxa"/>
            </w:tcMar>
            <w:vAlign w:val="top"/>
          </w:tcPr>
          <w:p w14:paraId="12E2C74F">
            <w:pPr>
              <w:spacing w:before="0" w:after="0" w:line="240" w:lineRule="auto"/>
              <w:jc w:val="center"/>
            </w:pPr>
            <w:r>
              <w:rPr>
                <w:rFonts w:ascii="Arial" w:hAnsi="Arial" w:eastAsia="Arial"/>
                <w:b w:val="0"/>
                <w:i w:val="0"/>
                <w:sz w:val="14"/>
              </w:rPr>
              <w:t>1.335 (1.223–1.458)</w:t>
            </w:r>
          </w:p>
        </w:tc>
        <w:tc>
          <w:tcPr>
            <w:tcW w:w="936" w:type="dxa"/>
            <w:shd w:val="clear" w:color="auto" w:fill="FFFFFF"/>
            <w:tcMar>
              <w:top w:w="50" w:type="dxa"/>
              <w:left w:w="55" w:type="dxa"/>
              <w:bottom w:w="50" w:type="dxa"/>
              <w:right w:w="55" w:type="dxa"/>
            </w:tcMar>
            <w:vAlign w:val="top"/>
          </w:tcPr>
          <w:p w14:paraId="05804147">
            <w:pPr>
              <w:spacing w:before="0" w:after="0" w:line="240" w:lineRule="auto"/>
              <w:jc w:val="center"/>
            </w:pPr>
            <w:r>
              <w:rPr>
                <w:rFonts w:ascii="Arial" w:hAnsi="Arial" w:eastAsia="Arial"/>
                <w:b w:val="0"/>
                <w:i w:val="0"/>
                <w:sz w:val="14"/>
              </w:rPr>
              <w:t>&lt;0.001</w:t>
            </w:r>
          </w:p>
        </w:tc>
        <w:tc>
          <w:tcPr>
            <w:tcW w:w="3096" w:type="dxa"/>
            <w:shd w:val="clear" w:color="auto" w:fill="FFFFFF"/>
            <w:tcMar>
              <w:top w:w="50" w:type="dxa"/>
              <w:left w:w="55" w:type="dxa"/>
              <w:bottom w:w="50" w:type="dxa"/>
              <w:right w:w="55" w:type="dxa"/>
            </w:tcMar>
            <w:vAlign w:val="top"/>
          </w:tcPr>
          <w:p w14:paraId="21BD7517">
            <w:pPr>
              <w:spacing w:before="0" w:after="0" w:line="240" w:lineRule="auto"/>
              <w:jc w:val="left"/>
            </w:pPr>
            <w:r>
              <w:rPr>
                <w:rFonts w:ascii="Arial" w:hAnsi="Arial" w:eastAsia="Arial"/>
                <w:b w:val="0"/>
                <w:i w:val="0"/>
                <w:sz w:val="14"/>
              </w:rPr>
              <w:t>Endpoint-state sample, N=7,292</w:t>
            </w:r>
          </w:p>
        </w:tc>
        <w:tc>
          <w:tcPr>
            <w:tcW w:w="4176" w:type="dxa"/>
            <w:shd w:val="clear" w:color="auto" w:fill="FFFFFF"/>
            <w:tcMar>
              <w:top w:w="50" w:type="dxa"/>
              <w:left w:w="55" w:type="dxa"/>
              <w:bottom w:w="50" w:type="dxa"/>
              <w:right w:w="55" w:type="dxa"/>
            </w:tcMar>
            <w:vAlign w:val="top"/>
          </w:tcPr>
          <w:p w14:paraId="41801CE2">
            <w:pPr>
              <w:spacing w:before="0" w:after="0" w:line="240" w:lineRule="auto"/>
              <w:jc w:val="left"/>
            </w:pPr>
            <w:r>
              <w:rPr>
                <w:rFonts w:ascii="Arial" w:hAnsi="Arial" w:eastAsia="Arial"/>
                <w:b w:val="0"/>
                <w:i w:val="0"/>
                <w:sz w:val="14"/>
              </w:rPr>
              <w:t>Higher adversity was associated with high psychological burden in 2012 followed by remission by 2016.</w:t>
            </w:r>
          </w:p>
        </w:tc>
      </w:tr>
      <w:tr w14:paraId="63052EA1">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3456" w:type="dxa"/>
            <w:shd w:val="clear" w:color="auto" w:fill="F6F8FA"/>
            <w:tcMar>
              <w:top w:w="50" w:type="dxa"/>
              <w:left w:w="55" w:type="dxa"/>
              <w:bottom w:w="50" w:type="dxa"/>
              <w:right w:w="55" w:type="dxa"/>
            </w:tcMar>
            <w:vAlign w:val="top"/>
          </w:tcPr>
          <w:p w14:paraId="6059F9AC">
            <w:pPr>
              <w:spacing w:before="0" w:after="0" w:line="240" w:lineRule="auto"/>
              <w:jc w:val="left"/>
            </w:pPr>
            <w:r>
              <w:rPr>
                <w:rFonts w:ascii="Arial" w:hAnsi="Arial" w:eastAsia="Arial"/>
                <w:b w:val="0"/>
                <w:i w:val="0"/>
                <w:sz w:val="14"/>
              </w:rPr>
              <w:t>Life-course adversity and persistent high burden</w:t>
            </w:r>
          </w:p>
        </w:tc>
        <w:tc>
          <w:tcPr>
            <w:tcW w:w="1944" w:type="dxa"/>
            <w:shd w:val="clear" w:color="auto" w:fill="F6F8FA"/>
            <w:tcMar>
              <w:top w:w="50" w:type="dxa"/>
              <w:left w:w="55" w:type="dxa"/>
              <w:bottom w:w="50" w:type="dxa"/>
              <w:right w:w="55" w:type="dxa"/>
            </w:tcMar>
            <w:vAlign w:val="top"/>
          </w:tcPr>
          <w:p w14:paraId="78BF40BC">
            <w:pPr>
              <w:spacing w:before="0" w:after="0" w:line="240" w:lineRule="auto"/>
              <w:jc w:val="center"/>
            </w:pPr>
            <w:r>
              <w:rPr>
                <w:rFonts w:ascii="Arial" w:hAnsi="Arial" w:eastAsia="Arial"/>
                <w:b w:val="0"/>
                <w:i w:val="0"/>
                <w:sz w:val="14"/>
              </w:rPr>
              <w:t>OR per 1-SD adversity</w:t>
            </w:r>
          </w:p>
        </w:tc>
        <w:tc>
          <w:tcPr>
            <w:tcW w:w="1944" w:type="dxa"/>
            <w:shd w:val="clear" w:color="auto" w:fill="F6F8FA"/>
            <w:tcMar>
              <w:top w:w="50" w:type="dxa"/>
              <w:left w:w="55" w:type="dxa"/>
              <w:bottom w:w="50" w:type="dxa"/>
              <w:right w:w="55" w:type="dxa"/>
            </w:tcMar>
            <w:vAlign w:val="top"/>
          </w:tcPr>
          <w:p w14:paraId="6CB28846">
            <w:pPr>
              <w:spacing w:before="0" w:after="0" w:line="240" w:lineRule="auto"/>
              <w:jc w:val="center"/>
            </w:pPr>
            <w:r>
              <w:rPr>
                <w:rFonts w:ascii="Arial" w:hAnsi="Arial" w:eastAsia="Arial"/>
                <w:b w:val="0"/>
                <w:i w:val="0"/>
                <w:sz w:val="14"/>
              </w:rPr>
              <w:t>1.497 (1.361–1.645)</w:t>
            </w:r>
          </w:p>
        </w:tc>
        <w:tc>
          <w:tcPr>
            <w:tcW w:w="936" w:type="dxa"/>
            <w:shd w:val="clear" w:color="auto" w:fill="F6F8FA"/>
            <w:tcMar>
              <w:top w:w="50" w:type="dxa"/>
              <w:left w:w="55" w:type="dxa"/>
              <w:bottom w:w="50" w:type="dxa"/>
              <w:right w:w="55" w:type="dxa"/>
            </w:tcMar>
            <w:vAlign w:val="top"/>
          </w:tcPr>
          <w:p w14:paraId="3BF7F730">
            <w:pPr>
              <w:spacing w:before="0" w:after="0" w:line="240" w:lineRule="auto"/>
              <w:jc w:val="center"/>
            </w:pPr>
            <w:r>
              <w:rPr>
                <w:rFonts w:ascii="Arial" w:hAnsi="Arial" w:eastAsia="Arial"/>
                <w:b w:val="0"/>
                <w:i w:val="0"/>
                <w:sz w:val="14"/>
              </w:rPr>
              <w:t>&lt;0.001</w:t>
            </w:r>
          </w:p>
        </w:tc>
        <w:tc>
          <w:tcPr>
            <w:tcW w:w="3096" w:type="dxa"/>
            <w:shd w:val="clear" w:color="auto" w:fill="F6F8FA"/>
            <w:tcMar>
              <w:top w:w="50" w:type="dxa"/>
              <w:left w:w="55" w:type="dxa"/>
              <w:bottom w:w="50" w:type="dxa"/>
              <w:right w:w="55" w:type="dxa"/>
            </w:tcMar>
            <w:vAlign w:val="top"/>
          </w:tcPr>
          <w:p w14:paraId="21E53FFF">
            <w:pPr>
              <w:spacing w:before="0" w:after="0" w:line="240" w:lineRule="auto"/>
              <w:jc w:val="left"/>
            </w:pPr>
            <w:r>
              <w:rPr>
                <w:rFonts w:ascii="Arial" w:hAnsi="Arial" w:eastAsia="Arial"/>
                <w:b w:val="0"/>
                <w:i w:val="0"/>
                <w:sz w:val="14"/>
              </w:rPr>
              <w:t>Endpoint-state sample, N=7,292</w:t>
            </w:r>
          </w:p>
        </w:tc>
        <w:tc>
          <w:tcPr>
            <w:tcW w:w="4176" w:type="dxa"/>
            <w:shd w:val="clear" w:color="auto" w:fill="F6F8FA"/>
            <w:tcMar>
              <w:top w:w="50" w:type="dxa"/>
              <w:left w:w="55" w:type="dxa"/>
              <w:bottom w:w="50" w:type="dxa"/>
              <w:right w:w="55" w:type="dxa"/>
            </w:tcMar>
            <w:vAlign w:val="top"/>
          </w:tcPr>
          <w:p w14:paraId="7742FA37">
            <w:pPr>
              <w:spacing w:before="0" w:after="0" w:line="240" w:lineRule="auto"/>
              <w:jc w:val="left"/>
            </w:pPr>
            <w:r>
              <w:rPr>
                <w:rFonts w:ascii="Arial" w:hAnsi="Arial" w:eastAsia="Arial"/>
                <w:b w:val="0"/>
                <w:i w:val="0"/>
                <w:sz w:val="14"/>
              </w:rPr>
              <w:t>Higher adversity was most strongly associated with persistent high burden.</w:t>
            </w:r>
          </w:p>
        </w:tc>
      </w:tr>
      <w:tr w14:paraId="587FBDCC">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3456" w:type="dxa"/>
            <w:shd w:val="clear" w:color="auto" w:fill="FFFFFF"/>
            <w:tcMar>
              <w:top w:w="50" w:type="dxa"/>
              <w:left w:w="55" w:type="dxa"/>
              <w:bottom w:w="50" w:type="dxa"/>
              <w:right w:w="55" w:type="dxa"/>
            </w:tcMar>
            <w:vAlign w:val="top"/>
          </w:tcPr>
          <w:p w14:paraId="72F5855C">
            <w:pPr>
              <w:spacing w:before="0" w:after="0" w:line="240" w:lineRule="auto"/>
              <w:jc w:val="left"/>
            </w:pPr>
            <w:r>
              <w:rPr>
                <w:rFonts w:ascii="Arial" w:hAnsi="Arial" w:eastAsia="Arial"/>
                <w:b w:val="0"/>
                <w:i w:val="0"/>
                <w:sz w:val="14"/>
              </w:rPr>
              <w:t>Life-course adversity and three-wave mean CES-D burden</w:t>
            </w:r>
          </w:p>
        </w:tc>
        <w:tc>
          <w:tcPr>
            <w:tcW w:w="1944" w:type="dxa"/>
            <w:shd w:val="clear" w:color="auto" w:fill="FFFFFF"/>
            <w:tcMar>
              <w:top w:w="50" w:type="dxa"/>
              <w:left w:w="55" w:type="dxa"/>
              <w:bottom w:w="50" w:type="dxa"/>
              <w:right w:w="55" w:type="dxa"/>
            </w:tcMar>
            <w:vAlign w:val="top"/>
          </w:tcPr>
          <w:p w14:paraId="1F027086">
            <w:pPr>
              <w:spacing w:before="0" w:after="0" w:line="240" w:lineRule="auto"/>
              <w:jc w:val="center"/>
            </w:pPr>
            <w:r>
              <w:rPr>
                <w:rFonts w:ascii="Arial" w:hAnsi="Arial" w:eastAsia="Arial"/>
                <w:b w:val="0"/>
                <w:i w:val="0"/>
                <w:sz w:val="14"/>
              </w:rPr>
              <w:t>Beta per 1-SD adversity</w:t>
            </w:r>
          </w:p>
        </w:tc>
        <w:tc>
          <w:tcPr>
            <w:tcW w:w="1944" w:type="dxa"/>
            <w:shd w:val="clear" w:color="auto" w:fill="FFFFFF"/>
            <w:tcMar>
              <w:top w:w="50" w:type="dxa"/>
              <w:left w:w="55" w:type="dxa"/>
              <w:bottom w:w="50" w:type="dxa"/>
              <w:right w:w="55" w:type="dxa"/>
            </w:tcMar>
            <w:vAlign w:val="top"/>
          </w:tcPr>
          <w:p w14:paraId="05FB1124">
            <w:pPr>
              <w:spacing w:before="0" w:after="0" w:line="240" w:lineRule="auto"/>
              <w:jc w:val="center"/>
            </w:pPr>
            <w:r>
              <w:rPr>
                <w:rFonts w:ascii="Arial" w:hAnsi="Arial" w:eastAsia="Arial"/>
                <w:b w:val="0"/>
                <w:i w:val="0"/>
                <w:sz w:val="14"/>
              </w:rPr>
              <w:t>0.124 (0.105–0.142)</w:t>
            </w:r>
          </w:p>
        </w:tc>
        <w:tc>
          <w:tcPr>
            <w:tcW w:w="936" w:type="dxa"/>
            <w:shd w:val="clear" w:color="auto" w:fill="FFFFFF"/>
            <w:tcMar>
              <w:top w:w="50" w:type="dxa"/>
              <w:left w:w="55" w:type="dxa"/>
              <w:bottom w:w="50" w:type="dxa"/>
              <w:right w:w="55" w:type="dxa"/>
            </w:tcMar>
            <w:vAlign w:val="top"/>
          </w:tcPr>
          <w:p w14:paraId="5BB88EEE">
            <w:pPr>
              <w:spacing w:before="0" w:after="0" w:line="240" w:lineRule="auto"/>
              <w:jc w:val="center"/>
            </w:pPr>
            <w:r>
              <w:rPr>
                <w:rFonts w:ascii="Arial" w:hAnsi="Arial" w:eastAsia="Arial"/>
                <w:b w:val="0"/>
                <w:i w:val="0"/>
                <w:sz w:val="14"/>
              </w:rPr>
              <w:t>&lt;0.001</w:t>
            </w:r>
          </w:p>
        </w:tc>
        <w:tc>
          <w:tcPr>
            <w:tcW w:w="3096" w:type="dxa"/>
            <w:shd w:val="clear" w:color="auto" w:fill="FFFFFF"/>
            <w:tcMar>
              <w:top w:w="50" w:type="dxa"/>
              <w:left w:w="55" w:type="dxa"/>
              <w:bottom w:w="50" w:type="dxa"/>
              <w:right w:w="55" w:type="dxa"/>
            </w:tcMar>
            <w:vAlign w:val="top"/>
          </w:tcPr>
          <w:p w14:paraId="7D25F950">
            <w:pPr>
              <w:spacing w:before="0" w:after="0" w:line="240" w:lineRule="auto"/>
              <w:jc w:val="left"/>
            </w:pPr>
            <w:r>
              <w:rPr>
                <w:rFonts w:ascii="Arial" w:hAnsi="Arial" w:eastAsia="Arial"/>
                <w:b w:val="0"/>
                <w:i w:val="0"/>
                <w:sz w:val="14"/>
              </w:rPr>
              <w:t>Three-wave complete sample, N=7,193</w:t>
            </w:r>
          </w:p>
        </w:tc>
        <w:tc>
          <w:tcPr>
            <w:tcW w:w="4176" w:type="dxa"/>
            <w:shd w:val="clear" w:color="auto" w:fill="FFFFFF"/>
            <w:tcMar>
              <w:top w:w="50" w:type="dxa"/>
              <w:left w:w="55" w:type="dxa"/>
              <w:bottom w:w="50" w:type="dxa"/>
              <w:right w:w="55" w:type="dxa"/>
            </w:tcMar>
            <w:vAlign w:val="top"/>
          </w:tcPr>
          <w:p w14:paraId="0A058EC1">
            <w:pPr>
              <w:spacing w:before="0" w:after="0" w:line="240" w:lineRule="auto"/>
              <w:jc w:val="left"/>
            </w:pPr>
            <w:r>
              <w:rPr>
                <w:rFonts w:ascii="Arial" w:hAnsi="Arial" w:eastAsia="Arial"/>
                <w:b w:val="0"/>
                <w:i w:val="0"/>
                <w:sz w:val="14"/>
              </w:rPr>
              <w:t>Adversity was associated with a higher cumulative psychological level.</w:t>
            </w:r>
          </w:p>
        </w:tc>
      </w:tr>
      <w:tr w14:paraId="35CB4E6B">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3456" w:type="dxa"/>
            <w:shd w:val="clear" w:color="auto" w:fill="F6F8FA"/>
            <w:tcMar>
              <w:top w:w="50" w:type="dxa"/>
              <w:left w:w="55" w:type="dxa"/>
              <w:bottom w:w="50" w:type="dxa"/>
              <w:right w:w="55" w:type="dxa"/>
            </w:tcMar>
            <w:vAlign w:val="top"/>
          </w:tcPr>
          <w:p w14:paraId="776C18AC">
            <w:pPr>
              <w:spacing w:before="0" w:after="0" w:line="240" w:lineRule="auto"/>
              <w:jc w:val="left"/>
            </w:pPr>
            <w:r>
              <w:rPr>
                <w:rFonts w:ascii="Arial" w:hAnsi="Arial" w:eastAsia="Arial"/>
                <w:b w:val="0"/>
                <w:i w:val="0"/>
                <w:sz w:val="14"/>
              </w:rPr>
              <w:t>Life-course adversity and number of high-burden waves (0–3)</w:t>
            </w:r>
          </w:p>
        </w:tc>
        <w:tc>
          <w:tcPr>
            <w:tcW w:w="1944" w:type="dxa"/>
            <w:shd w:val="clear" w:color="auto" w:fill="F6F8FA"/>
            <w:tcMar>
              <w:top w:w="50" w:type="dxa"/>
              <w:left w:w="55" w:type="dxa"/>
              <w:bottom w:w="50" w:type="dxa"/>
              <w:right w:w="55" w:type="dxa"/>
            </w:tcMar>
            <w:vAlign w:val="top"/>
          </w:tcPr>
          <w:p w14:paraId="66F892EB">
            <w:pPr>
              <w:spacing w:before="0" w:after="0" w:line="240" w:lineRule="auto"/>
              <w:jc w:val="center"/>
            </w:pPr>
            <w:r>
              <w:rPr>
                <w:rFonts w:ascii="Arial" w:hAnsi="Arial" w:eastAsia="Arial"/>
                <w:b w:val="0"/>
                <w:i w:val="0"/>
                <w:sz w:val="14"/>
              </w:rPr>
              <w:t>Ordinal OR per 1-SD adversity</w:t>
            </w:r>
          </w:p>
        </w:tc>
        <w:tc>
          <w:tcPr>
            <w:tcW w:w="1944" w:type="dxa"/>
            <w:shd w:val="clear" w:color="auto" w:fill="F6F8FA"/>
            <w:tcMar>
              <w:top w:w="50" w:type="dxa"/>
              <w:left w:w="55" w:type="dxa"/>
              <w:bottom w:w="50" w:type="dxa"/>
              <w:right w:w="55" w:type="dxa"/>
            </w:tcMar>
            <w:vAlign w:val="top"/>
          </w:tcPr>
          <w:p w14:paraId="4D0B8268">
            <w:pPr>
              <w:spacing w:before="0" w:after="0" w:line="240" w:lineRule="auto"/>
              <w:jc w:val="center"/>
            </w:pPr>
            <w:r>
              <w:rPr>
                <w:rFonts w:ascii="Arial" w:hAnsi="Arial" w:eastAsia="Arial"/>
                <w:b w:val="0"/>
                <w:i w:val="0"/>
                <w:sz w:val="14"/>
              </w:rPr>
              <w:t>1.321 (1.251–1.395)</w:t>
            </w:r>
          </w:p>
        </w:tc>
        <w:tc>
          <w:tcPr>
            <w:tcW w:w="936" w:type="dxa"/>
            <w:shd w:val="clear" w:color="auto" w:fill="F6F8FA"/>
            <w:tcMar>
              <w:top w:w="50" w:type="dxa"/>
              <w:left w:w="55" w:type="dxa"/>
              <w:bottom w:w="50" w:type="dxa"/>
              <w:right w:w="55" w:type="dxa"/>
            </w:tcMar>
            <w:vAlign w:val="top"/>
          </w:tcPr>
          <w:p w14:paraId="2B83201B">
            <w:pPr>
              <w:spacing w:before="0" w:after="0" w:line="240" w:lineRule="auto"/>
              <w:jc w:val="center"/>
            </w:pPr>
            <w:r>
              <w:rPr>
                <w:rFonts w:ascii="Arial" w:hAnsi="Arial" w:eastAsia="Arial"/>
                <w:b w:val="0"/>
                <w:i w:val="0"/>
                <w:sz w:val="14"/>
              </w:rPr>
              <w:t>&lt;0.001</w:t>
            </w:r>
          </w:p>
        </w:tc>
        <w:tc>
          <w:tcPr>
            <w:tcW w:w="3096" w:type="dxa"/>
            <w:shd w:val="clear" w:color="auto" w:fill="F6F8FA"/>
            <w:tcMar>
              <w:top w:w="50" w:type="dxa"/>
              <w:left w:w="55" w:type="dxa"/>
              <w:bottom w:w="50" w:type="dxa"/>
              <w:right w:w="55" w:type="dxa"/>
            </w:tcMar>
            <w:vAlign w:val="top"/>
          </w:tcPr>
          <w:p w14:paraId="54BF13CF">
            <w:pPr>
              <w:spacing w:before="0" w:after="0" w:line="240" w:lineRule="auto"/>
              <w:jc w:val="left"/>
            </w:pPr>
            <w:r>
              <w:rPr>
                <w:rFonts w:ascii="Arial" w:hAnsi="Arial" w:eastAsia="Arial"/>
                <w:b w:val="0"/>
                <w:i w:val="0"/>
                <w:sz w:val="14"/>
              </w:rPr>
              <w:t>Three-wave complete sample, N=7,193</w:t>
            </w:r>
          </w:p>
        </w:tc>
        <w:tc>
          <w:tcPr>
            <w:tcW w:w="4176" w:type="dxa"/>
            <w:shd w:val="clear" w:color="auto" w:fill="F6F8FA"/>
            <w:tcMar>
              <w:top w:w="50" w:type="dxa"/>
              <w:left w:w="55" w:type="dxa"/>
              <w:bottom w:w="50" w:type="dxa"/>
              <w:right w:w="55" w:type="dxa"/>
            </w:tcMar>
            <w:vAlign w:val="top"/>
          </w:tcPr>
          <w:p w14:paraId="6DD52220">
            <w:pPr>
              <w:spacing w:before="0" w:after="0" w:line="240" w:lineRule="auto"/>
              <w:jc w:val="left"/>
            </w:pPr>
            <w:r>
              <w:rPr>
                <w:rFonts w:ascii="Arial" w:hAnsi="Arial" w:eastAsia="Arial"/>
                <w:b w:val="0"/>
                <w:i w:val="0"/>
                <w:sz w:val="14"/>
              </w:rPr>
              <w:t>Adversity was associated with exposure to high burden at more waves.</w:t>
            </w:r>
          </w:p>
        </w:tc>
      </w:tr>
      <w:tr w14:paraId="4D498109">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3456" w:type="dxa"/>
            <w:shd w:val="clear" w:color="auto" w:fill="FFFFFF"/>
            <w:tcMar>
              <w:top w:w="50" w:type="dxa"/>
              <w:left w:w="55" w:type="dxa"/>
              <w:bottom w:w="50" w:type="dxa"/>
              <w:right w:w="55" w:type="dxa"/>
            </w:tcMar>
            <w:vAlign w:val="top"/>
          </w:tcPr>
          <w:p w14:paraId="5B56ABA1">
            <w:pPr>
              <w:spacing w:before="0" w:after="0" w:line="240" w:lineRule="auto"/>
              <w:jc w:val="left"/>
            </w:pPr>
            <w:r>
              <w:rPr>
                <w:rFonts w:ascii="Arial" w:hAnsi="Arial" w:eastAsia="Arial"/>
                <w:b w:val="0"/>
                <w:i w:val="0"/>
                <w:sz w:val="14"/>
              </w:rPr>
              <w:t>Life-course adversity and 2012 psychological level</w:t>
            </w:r>
          </w:p>
        </w:tc>
        <w:tc>
          <w:tcPr>
            <w:tcW w:w="1944" w:type="dxa"/>
            <w:shd w:val="clear" w:color="auto" w:fill="FFFFFF"/>
            <w:tcMar>
              <w:top w:w="50" w:type="dxa"/>
              <w:left w:w="55" w:type="dxa"/>
              <w:bottom w:w="50" w:type="dxa"/>
              <w:right w:w="55" w:type="dxa"/>
            </w:tcMar>
            <w:vAlign w:val="top"/>
          </w:tcPr>
          <w:p w14:paraId="08E5F9FB">
            <w:pPr>
              <w:spacing w:before="0" w:after="0" w:line="240" w:lineRule="auto"/>
              <w:jc w:val="center"/>
            </w:pPr>
            <w:r>
              <w:rPr>
                <w:rFonts w:ascii="Arial" w:hAnsi="Arial" w:eastAsia="Arial"/>
                <w:b w:val="0"/>
                <w:i w:val="0"/>
                <w:sz w:val="14"/>
              </w:rPr>
              <w:t>Beta per 1-SD adversity</w:t>
            </w:r>
          </w:p>
        </w:tc>
        <w:tc>
          <w:tcPr>
            <w:tcW w:w="1944" w:type="dxa"/>
            <w:shd w:val="clear" w:color="auto" w:fill="FFFFFF"/>
            <w:tcMar>
              <w:top w:w="50" w:type="dxa"/>
              <w:left w:w="55" w:type="dxa"/>
              <w:bottom w:w="50" w:type="dxa"/>
              <w:right w:w="55" w:type="dxa"/>
            </w:tcMar>
            <w:vAlign w:val="top"/>
          </w:tcPr>
          <w:p w14:paraId="1124DF9F">
            <w:pPr>
              <w:spacing w:before="0" w:after="0" w:line="240" w:lineRule="auto"/>
              <w:jc w:val="center"/>
            </w:pPr>
            <w:r>
              <w:rPr>
                <w:rFonts w:ascii="Arial" w:hAnsi="Arial" w:eastAsia="Arial"/>
                <w:b w:val="0"/>
                <w:i w:val="0"/>
                <w:sz w:val="14"/>
              </w:rPr>
              <w:t>0.130 (0.109–0.152)</w:t>
            </w:r>
          </w:p>
        </w:tc>
        <w:tc>
          <w:tcPr>
            <w:tcW w:w="936" w:type="dxa"/>
            <w:shd w:val="clear" w:color="auto" w:fill="FFFFFF"/>
            <w:tcMar>
              <w:top w:w="50" w:type="dxa"/>
              <w:left w:w="55" w:type="dxa"/>
              <w:bottom w:w="50" w:type="dxa"/>
              <w:right w:w="55" w:type="dxa"/>
            </w:tcMar>
            <w:vAlign w:val="top"/>
          </w:tcPr>
          <w:p w14:paraId="20F89D40">
            <w:pPr>
              <w:spacing w:before="0" w:after="0" w:line="240" w:lineRule="auto"/>
              <w:jc w:val="center"/>
            </w:pPr>
            <w:r>
              <w:rPr>
                <w:rFonts w:ascii="Arial" w:hAnsi="Arial" w:eastAsia="Arial"/>
                <w:b w:val="0"/>
                <w:i w:val="0"/>
                <w:sz w:val="14"/>
              </w:rPr>
              <w:t>&lt;0.001</w:t>
            </w:r>
          </w:p>
        </w:tc>
        <w:tc>
          <w:tcPr>
            <w:tcW w:w="3096" w:type="dxa"/>
            <w:shd w:val="clear" w:color="auto" w:fill="FFFFFF"/>
            <w:tcMar>
              <w:top w:w="50" w:type="dxa"/>
              <w:left w:w="55" w:type="dxa"/>
              <w:bottom w:w="50" w:type="dxa"/>
              <w:right w:w="55" w:type="dxa"/>
            </w:tcMar>
            <w:vAlign w:val="top"/>
          </w:tcPr>
          <w:p w14:paraId="0ACDE858">
            <w:pPr>
              <w:spacing w:before="0" w:after="0" w:line="240" w:lineRule="auto"/>
              <w:jc w:val="left"/>
            </w:pPr>
            <w:r>
              <w:rPr>
                <w:rFonts w:ascii="Arial" w:hAnsi="Arial" w:eastAsia="Arial"/>
                <w:b w:val="0"/>
                <w:i w:val="0"/>
                <w:sz w:val="14"/>
              </w:rPr>
              <w:t>Repeated-measures HRS sample</w:t>
            </w:r>
          </w:p>
        </w:tc>
        <w:tc>
          <w:tcPr>
            <w:tcW w:w="4176" w:type="dxa"/>
            <w:shd w:val="clear" w:color="auto" w:fill="FFFFFF"/>
            <w:tcMar>
              <w:top w:w="50" w:type="dxa"/>
              <w:left w:w="55" w:type="dxa"/>
              <w:bottom w:w="50" w:type="dxa"/>
              <w:right w:w="55" w:type="dxa"/>
            </w:tcMar>
            <w:vAlign w:val="top"/>
          </w:tcPr>
          <w:p w14:paraId="71B06841">
            <w:pPr>
              <w:spacing w:before="0" w:after="0" w:line="240" w:lineRule="auto"/>
              <w:jc w:val="left"/>
            </w:pPr>
            <w:r>
              <w:rPr>
                <w:rFonts w:ascii="Arial" w:hAnsi="Arial" w:eastAsia="Arial"/>
                <w:b w:val="0"/>
                <w:i w:val="0"/>
                <w:sz w:val="14"/>
              </w:rPr>
              <w:t>Adversity primarily marked a persistently higher psychological level.</w:t>
            </w:r>
          </w:p>
        </w:tc>
      </w:tr>
      <w:tr w14:paraId="7A3639BD">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3456" w:type="dxa"/>
            <w:shd w:val="clear" w:color="auto" w:fill="F6F8FA"/>
            <w:tcMar>
              <w:top w:w="50" w:type="dxa"/>
              <w:left w:w="55" w:type="dxa"/>
              <w:bottom w:w="50" w:type="dxa"/>
              <w:right w:w="55" w:type="dxa"/>
            </w:tcMar>
            <w:vAlign w:val="top"/>
          </w:tcPr>
          <w:p w14:paraId="5448CCFC">
            <w:pPr>
              <w:spacing w:before="0" w:after="0" w:line="240" w:lineRule="auto"/>
              <w:jc w:val="left"/>
            </w:pPr>
            <w:r>
              <w:rPr>
                <w:rFonts w:ascii="Arial" w:hAnsi="Arial" w:eastAsia="Arial"/>
                <w:b w:val="0"/>
                <w:i w:val="0"/>
                <w:sz w:val="14"/>
              </w:rPr>
              <w:t>Life-course adversity × time (additional change per 2 years)</w:t>
            </w:r>
          </w:p>
        </w:tc>
        <w:tc>
          <w:tcPr>
            <w:tcW w:w="1944" w:type="dxa"/>
            <w:shd w:val="clear" w:color="auto" w:fill="F6F8FA"/>
            <w:tcMar>
              <w:top w:w="50" w:type="dxa"/>
              <w:left w:w="55" w:type="dxa"/>
              <w:bottom w:w="50" w:type="dxa"/>
              <w:right w:w="55" w:type="dxa"/>
            </w:tcMar>
            <w:vAlign w:val="top"/>
          </w:tcPr>
          <w:p w14:paraId="69A79818">
            <w:pPr>
              <w:spacing w:before="0" w:after="0" w:line="240" w:lineRule="auto"/>
              <w:jc w:val="center"/>
            </w:pPr>
            <w:r>
              <w:rPr>
                <w:rFonts w:ascii="Arial" w:hAnsi="Arial" w:eastAsia="Arial"/>
                <w:b w:val="0"/>
                <w:i w:val="0"/>
                <w:sz w:val="14"/>
              </w:rPr>
              <w:t>Interaction beta</w:t>
            </w:r>
          </w:p>
        </w:tc>
        <w:tc>
          <w:tcPr>
            <w:tcW w:w="1944" w:type="dxa"/>
            <w:shd w:val="clear" w:color="auto" w:fill="F6F8FA"/>
            <w:tcMar>
              <w:top w:w="50" w:type="dxa"/>
              <w:left w:w="55" w:type="dxa"/>
              <w:bottom w:w="50" w:type="dxa"/>
              <w:right w:w="55" w:type="dxa"/>
            </w:tcMar>
            <w:vAlign w:val="top"/>
          </w:tcPr>
          <w:p w14:paraId="49069386">
            <w:pPr>
              <w:spacing w:before="0" w:after="0" w:line="240" w:lineRule="auto"/>
              <w:jc w:val="center"/>
            </w:pPr>
            <w:r>
              <w:rPr>
                <w:rFonts w:ascii="Arial" w:hAnsi="Arial" w:eastAsia="Arial"/>
                <w:b w:val="0"/>
                <w:i w:val="0"/>
                <w:sz w:val="14"/>
              </w:rPr>
              <w:t>−0.006 (−0.017–0.005)</w:t>
            </w:r>
          </w:p>
        </w:tc>
        <w:tc>
          <w:tcPr>
            <w:tcW w:w="936" w:type="dxa"/>
            <w:shd w:val="clear" w:color="auto" w:fill="F6F8FA"/>
            <w:tcMar>
              <w:top w:w="50" w:type="dxa"/>
              <w:left w:w="55" w:type="dxa"/>
              <w:bottom w:w="50" w:type="dxa"/>
              <w:right w:w="55" w:type="dxa"/>
            </w:tcMar>
            <w:vAlign w:val="top"/>
          </w:tcPr>
          <w:p w14:paraId="6B629A32">
            <w:pPr>
              <w:spacing w:before="0" w:after="0" w:line="240" w:lineRule="auto"/>
              <w:jc w:val="center"/>
            </w:pPr>
            <w:r>
              <w:rPr>
                <w:rFonts w:ascii="Arial" w:hAnsi="Arial" w:eastAsia="Arial"/>
                <w:b w:val="0"/>
                <w:i w:val="0"/>
                <w:sz w:val="14"/>
              </w:rPr>
              <w:t>0.258</w:t>
            </w:r>
          </w:p>
        </w:tc>
        <w:tc>
          <w:tcPr>
            <w:tcW w:w="3096" w:type="dxa"/>
            <w:shd w:val="clear" w:color="auto" w:fill="F6F8FA"/>
            <w:tcMar>
              <w:top w:w="50" w:type="dxa"/>
              <w:left w:w="55" w:type="dxa"/>
              <w:bottom w:w="50" w:type="dxa"/>
              <w:right w:w="55" w:type="dxa"/>
            </w:tcMar>
            <w:vAlign w:val="top"/>
          </w:tcPr>
          <w:p w14:paraId="288BD4C4">
            <w:pPr>
              <w:spacing w:before="0" w:after="0" w:line="240" w:lineRule="auto"/>
              <w:jc w:val="left"/>
            </w:pPr>
            <w:r>
              <w:rPr>
                <w:rFonts w:ascii="Arial" w:hAnsi="Arial" w:eastAsia="Arial"/>
                <w:b w:val="0"/>
                <w:i w:val="0"/>
                <w:sz w:val="14"/>
              </w:rPr>
              <w:t>Repeated-measures HRS sample</w:t>
            </w:r>
          </w:p>
        </w:tc>
        <w:tc>
          <w:tcPr>
            <w:tcW w:w="4176" w:type="dxa"/>
            <w:shd w:val="clear" w:color="auto" w:fill="F6F8FA"/>
            <w:tcMar>
              <w:top w:w="50" w:type="dxa"/>
              <w:left w:w="55" w:type="dxa"/>
              <w:bottom w:w="50" w:type="dxa"/>
              <w:right w:w="55" w:type="dxa"/>
            </w:tcMar>
            <w:vAlign w:val="top"/>
          </w:tcPr>
          <w:p w14:paraId="7CC5ADB5">
            <w:pPr>
              <w:spacing w:before="0" w:after="0" w:line="240" w:lineRule="auto"/>
              <w:jc w:val="left"/>
            </w:pPr>
            <w:r>
              <w:rPr>
                <w:rFonts w:ascii="Arial" w:hAnsi="Arial" w:eastAsia="Arial"/>
                <w:b w:val="0"/>
                <w:i w:val="0"/>
                <w:sz w:val="14"/>
              </w:rPr>
              <w:t>No evidence that adversity produced faster worsening over 2012–2016.</w:t>
            </w:r>
          </w:p>
        </w:tc>
      </w:tr>
    </w:tbl>
    <w:p w14:paraId="067F2BB1">
      <w:pPr>
        <w:spacing w:before="0" w:after="40"/>
      </w:pPr>
    </w:p>
    <w:p w14:paraId="7163153E">
      <w:pPr>
        <w:pStyle w:val="165"/>
        <w:keepNext/>
      </w:pPr>
      <w:r>
        <w:rPr>
          <w:rFonts w:ascii="Arial" w:hAnsi="Arial" w:eastAsia="Arial"/>
          <w:b/>
          <w:i w:val="0"/>
          <w:color w:val="355C7D"/>
          <w:sz w:val="17"/>
        </w:rPr>
        <w:t>Panel B. Secondary biomarker analyses</w:t>
      </w:r>
    </w:p>
    <w:tbl>
      <w:tblPr>
        <w:tblStyle w:val="32"/>
        <w:tblW w:w="0" w:type="auto"/>
        <w:jc w:val="center"/>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Layout w:type="fixed"/>
        <w:tblCellMar>
          <w:top w:w="0" w:type="dxa"/>
          <w:left w:w="108" w:type="dxa"/>
          <w:bottom w:w="0" w:type="dxa"/>
          <w:right w:w="108" w:type="dxa"/>
        </w:tblCellMar>
      </w:tblPr>
      <w:tblGrid>
        <w:gridCol w:w="2614"/>
        <w:gridCol w:w="2614"/>
        <w:gridCol w:w="2614"/>
        <w:gridCol w:w="2614"/>
        <w:gridCol w:w="2614"/>
        <w:gridCol w:w="2614"/>
      </w:tblGrid>
      <w:tr w14:paraId="270C219B">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tblHeader/>
          <w:jc w:val="center"/>
        </w:trPr>
        <w:tc>
          <w:tcPr>
            <w:tcW w:w="3456" w:type="dxa"/>
            <w:shd w:val="clear" w:color="auto" w:fill="355C7D"/>
            <w:tcMar>
              <w:top w:w="60" w:type="dxa"/>
              <w:left w:w="55" w:type="dxa"/>
              <w:bottom w:w="60" w:type="dxa"/>
              <w:right w:w="55" w:type="dxa"/>
            </w:tcMar>
            <w:vAlign w:val="center"/>
          </w:tcPr>
          <w:p w14:paraId="19426740">
            <w:pPr>
              <w:spacing w:before="0" w:after="0" w:line="240" w:lineRule="auto"/>
              <w:jc w:val="center"/>
            </w:pPr>
            <w:r>
              <w:rPr>
                <w:rFonts w:ascii="Arial" w:hAnsi="Arial" w:eastAsia="Arial"/>
                <w:b/>
                <w:i w:val="0"/>
                <w:color w:val="FFFFFF"/>
                <w:sz w:val="14"/>
              </w:rPr>
              <w:t>Association</w:t>
            </w:r>
          </w:p>
        </w:tc>
        <w:tc>
          <w:tcPr>
            <w:tcW w:w="1944" w:type="dxa"/>
            <w:shd w:val="clear" w:color="auto" w:fill="355C7D"/>
            <w:tcMar>
              <w:top w:w="60" w:type="dxa"/>
              <w:left w:w="55" w:type="dxa"/>
              <w:bottom w:w="60" w:type="dxa"/>
              <w:right w:w="55" w:type="dxa"/>
            </w:tcMar>
            <w:vAlign w:val="center"/>
          </w:tcPr>
          <w:p w14:paraId="533DA3B0">
            <w:pPr>
              <w:spacing w:before="0" w:after="0" w:line="240" w:lineRule="auto"/>
              <w:jc w:val="center"/>
            </w:pPr>
            <w:r>
              <w:rPr>
                <w:rFonts w:ascii="Arial" w:hAnsi="Arial" w:eastAsia="Arial"/>
                <w:b/>
                <w:i w:val="0"/>
                <w:color w:val="FFFFFF"/>
                <w:sz w:val="14"/>
              </w:rPr>
              <w:t>Effect measure</w:t>
            </w:r>
          </w:p>
        </w:tc>
        <w:tc>
          <w:tcPr>
            <w:tcW w:w="1944" w:type="dxa"/>
            <w:shd w:val="clear" w:color="auto" w:fill="355C7D"/>
            <w:tcMar>
              <w:top w:w="60" w:type="dxa"/>
              <w:left w:w="55" w:type="dxa"/>
              <w:bottom w:w="60" w:type="dxa"/>
              <w:right w:w="55" w:type="dxa"/>
            </w:tcMar>
            <w:vAlign w:val="center"/>
          </w:tcPr>
          <w:p w14:paraId="78374080">
            <w:pPr>
              <w:spacing w:before="0" w:after="0" w:line="240" w:lineRule="auto"/>
              <w:jc w:val="center"/>
            </w:pPr>
            <w:r>
              <w:rPr>
                <w:rFonts w:ascii="Arial" w:hAnsi="Arial" w:eastAsia="Arial"/>
                <w:b/>
                <w:i w:val="0"/>
                <w:color w:val="FFFFFF"/>
                <w:sz w:val="14"/>
              </w:rPr>
              <w:t>Estimate (95% CI)</w:t>
            </w:r>
          </w:p>
        </w:tc>
        <w:tc>
          <w:tcPr>
            <w:tcW w:w="936" w:type="dxa"/>
            <w:shd w:val="clear" w:color="auto" w:fill="355C7D"/>
            <w:tcMar>
              <w:top w:w="60" w:type="dxa"/>
              <w:left w:w="55" w:type="dxa"/>
              <w:bottom w:w="60" w:type="dxa"/>
              <w:right w:w="55" w:type="dxa"/>
            </w:tcMar>
            <w:vAlign w:val="center"/>
          </w:tcPr>
          <w:p w14:paraId="4DFD05DC">
            <w:pPr>
              <w:spacing w:before="0" w:after="0" w:line="240" w:lineRule="auto"/>
              <w:jc w:val="center"/>
            </w:pPr>
            <w:r>
              <w:rPr>
                <w:rFonts w:ascii="Arial" w:hAnsi="Arial" w:eastAsia="Arial"/>
                <w:b/>
                <w:i w:val="0"/>
                <w:color w:val="FFFFFF"/>
                <w:sz w:val="14"/>
              </w:rPr>
              <w:t>P value</w:t>
            </w:r>
          </w:p>
        </w:tc>
        <w:tc>
          <w:tcPr>
            <w:tcW w:w="3096" w:type="dxa"/>
            <w:shd w:val="clear" w:color="auto" w:fill="355C7D"/>
            <w:tcMar>
              <w:top w:w="60" w:type="dxa"/>
              <w:left w:w="55" w:type="dxa"/>
              <w:bottom w:w="60" w:type="dxa"/>
              <w:right w:w="55" w:type="dxa"/>
            </w:tcMar>
            <w:vAlign w:val="center"/>
          </w:tcPr>
          <w:p w14:paraId="713F0850">
            <w:pPr>
              <w:spacing w:before="0" w:after="0" w:line="240" w:lineRule="auto"/>
              <w:jc w:val="center"/>
            </w:pPr>
            <w:r>
              <w:rPr>
                <w:rFonts w:ascii="Arial" w:hAnsi="Arial" w:eastAsia="Arial"/>
                <w:b/>
                <w:i w:val="0"/>
                <w:color w:val="FFFFFF"/>
                <w:sz w:val="14"/>
              </w:rPr>
              <w:t>Sample</w:t>
            </w:r>
          </w:p>
        </w:tc>
        <w:tc>
          <w:tcPr>
            <w:tcW w:w="4176" w:type="dxa"/>
            <w:shd w:val="clear" w:color="auto" w:fill="355C7D"/>
            <w:tcMar>
              <w:top w:w="60" w:type="dxa"/>
              <w:left w:w="55" w:type="dxa"/>
              <w:bottom w:w="60" w:type="dxa"/>
              <w:right w:w="55" w:type="dxa"/>
            </w:tcMar>
            <w:vAlign w:val="center"/>
          </w:tcPr>
          <w:p w14:paraId="0AACA7DC">
            <w:pPr>
              <w:spacing w:before="0" w:after="0" w:line="240" w:lineRule="auto"/>
              <w:jc w:val="center"/>
            </w:pPr>
            <w:r>
              <w:rPr>
                <w:rFonts w:ascii="Arial" w:hAnsi="Arial" w:eastAsia="Arial"/>
                <w:b/>
                <w:i w:val="0"/>
                <w:color w:val="FFFFFF"/>
                <w:sz w:val="14"/>
              </w:rPr>
              <w:t>Interpretation</w:t>
            </w:r>
          </w:p>
        </w:tc>
      </w:tr>
      <w:tr w14:paraId="142D013E">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3456" w:type="dxa"/>
            <w:shd w:val="clear" w:color="auto" w:fill="FFFFFF"/>
            <w:tcMar>
              <w:top w:w="50" w:type="dxa"/>
              <w:left w:w="55" w:type="dxa"/>
              <w:bottom w:w="50" w:type="dxa"/>
              <w:right w:w="55" w:type="dxa"/>
            </w:tcMar>
            <w:vAlign w:val="top"/>
          </w:tcPr>
          <w:p w14:paraId="6C001967">
            <w:pPr>
              <w:spacing w:before="0" w:after="0" w:line="240" w:lineRule="auto"/>
              <w:jc w:val="left"/>
            </w:pPr>
            <w:r>
              <w:rPr>
                <w:rFonts w:ascii="Arial" w:hAnsi="Arial" w:eastAsia="Arial"/>
                <w:b w:val="0"/>
                <w:i w:val="0"/>
                <w:sz w:val="14"/>
              </w:rPr>
              <w:t>sTNFR1 → incident heart disease after biomarker-selection weighting</w:t>
            </w:r>
          </w:p>
        </w:tc>
        <w:tc>
          <w:tcPr>
            <w:tcW w:w="1944" w:type="dxa"/>
            <w:shd w:val="clear" w:color="auto" w:fill="FFFFFF"/>
            <w:tcMar>
              <w:top w:w="50" w:type="dxa"/>
              <w:left w:w="55" w:type="dxa"/>
              <w:bottom w:w="50" w:type="dxa"/>
              <w:right w:w="55" w:type="dxa"/>
            </w:tcMar>
            <w:vAlign w:val="top"/>
          </w:tcPr>
          <w:p w14:paraId="3260E267">
            <w:pPr>
              <w:spacing w:before="0" w:after="0" w:line="240" w:lineRule="auto"/>
              <w:jc w:val="center"/>
            </w:pPr>
            <w:r>
              <w:rPr>
                <w:rFonts w:ascii="Arial" w:hAnsi="Arial" w:eastAsia="Arial"/>
                <w:b w:val="0"/>
                <w:i w:val="0"/>
                <w:sz w:val="14"/>
              </w:rPr>
              <w:t>HR per SD</w:t>
            </w:r>
          </w:p>
        </w:tc>
        <w:tc>
          <w:tcPr>
            <w:tcW w:w="1944" w:type="dxa"/>
            <w:shd w:val="clear" w:color="auto" w:fill="FFFFFF"/>
            <w:tcMar>
              <w:top w:w="50" w:type="dxa"/>
              <w:left w:w="55" w:type="dxa"/>
              <w:bottom w:w="50" w:type="dxa"/>
              <w:right w:w="55" w:type="dxa"/>
            </w:tcMar>
            <w:vAlign w:val="top"/>
          </w:tcPr>
          <w:p w14:paraId="6E5B8F53">
            <w:pPr>
              <w:spacing w:before="0" w:after="0" w:line="240" w:lineRule="auto"/>
              <w:jc w:val="center"/>
            </w:pPr>
            <w:r>
              <w:rPr>
                <w:rFonts w:ascii="Arial" w:hAnsi="Arial" w:eastAsia="Arial"/>
                <w:b w:val="0"/>
                <w:i w:val="0"/>
                <w:sz w:val="14"/>
              </w:rPr>
              <w:t>1.171 (1.023–1.342)</w:t>
            </w:r>
          </w:p>
        </w:tc>
        <w:tc>
          <w:tcPr>
            <w:tcW w:w="936" w:type="dxa"/>
            <w:shd w:val="clear" w:color="auto" w:fill="FFFFFF"/>
            <w:tcMar>
              <w:top w:w="50" w:type="dxa"/>
              <w:left w:w="55" w:type="dxa"/>
              <w:bottom w:w="50" w:type="dxa"/>
              <w:right w:w="55" w:type="dxa"/>
            </w:tcMar>
            <w:vAlign w:val="top"/>
          </w:tcPr>
          <w:p w14:paraId="5E42A1E2">
            <w:pPr>
              <w:spacing w:before="0" w:after="0" w:line="240" w:lineRule="auto"/>
              <w:jc w:val="center"/>
            </w:pPr>
            <w:r>
              <w:rPr>
                <w:rFonts w:ascii="Arial" w:hAnsi="Arial" w:eastAsia="Arial"/>
                <w:b w:val="0"/>
                <w:i w:val="0"/>
                <w:sz w:val="14"/>
              </w:rPr>
              <w:t>0.022</w:t>
            </w:r>
          </w:p>
        </w:tc>
        <w:tc>
          <w:tcPr>
            <w:tcW w:w="3096" w:type="dxa"/>
            <w:shd w:val="clear" w:color="auto" w:fill="FFFFFF"/>
            <w:tcMar>
              <w:top w:w="50" w:type="dxa"/>
              <w:left w:w="55" w:type="dxa"/>
              <w:bottom w:w="50" w:type="dxa"/>
              <w:right w:w="55" w:type="dxa"/>
            </w:tcMar>
            <w:vAlign w:val="top"/>
          </w:tcPr>
          <w:p w14:paraId="11F6C253">
            <w:pPr>
              <w:spacing w:before="0" w:after="0" w:line="240" w:lineRule="auto"/>
              <w:jc w:val="left"/>
            </w:pPr>
            <w:r>
              <w:rPr>
                <w:rFonts w:ascii="Arial" w:hAnsi="Arial" w:eastAsia="Arial"/>
                <w:b w:val="0"/>
                <w:i w:val="0"/>
                <w:sz w:val="14"/>
              </w:rPr>
              <w:t>HRS biomarker sample, N=3,217; events=366</w:t>
            </w:r>
          </w:p>
        </w:tc>
        <w:tc>
          <w:tcPr>
            <w:tcW w:w="4176" w:type="dxa"/>
            <w:shd w:val="clear" w:color="auto" w:fill="FFFFFF"/>
            <w:tcMar>
              <w:top w:w="50" w:type="dxa"/>
              <w:left w:w="55" w:type="dxa"/>
              <w:bottom w:w="50" w:type="dxa"/>
              <w:right w:w="55" w:type="dxa"/>
            </w:tcMar>
            <w:vAlign w:val="top"/>
          </w:tcPr>
          <w:p w14:paraId="3C2FBD46">
            <w:pPr>
              <w:spacing w:before="0" w:after="0" w:line="240" w:lineRule="auto"/>
              <w:jc w:val="left"/>
            </w:pPr>
            <w:r>
              <w:rPr>
                <w:rFonts w:ascii="Arial" w:hAnsi="Arial" w:eastAsia="Arial"/>
                <w:b w:val="0"/>
                <w:i w:val="0"/>
                <w:sz w:val="14"/>
              </w:rPr>
              <w:t>Secondary component-specific biological anchor retained.</w:t>
            </w:r>
          </w:p>
        </w:tc>
      </w:tr>
      <w:tr w14:paraId="6F61AE3D">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3456" w:type="dxa"/>
            <w:shd w:val="clear" w:color="auto" w:fill="F6F8FA"/>
            <w:tcMar>
              <w:top w:w="50" w:type="dxa"/>
              <w:left w:w="55" w:type="dxa"/>
              <w:bottom w:w="50" w:type="dxa"/>
              <w:right w:w="55" w:type="dxa"/>
            </w:tcMar>
            <w:vAlign w:val="top"/>
          </w:tcPr>
          <w:p w14:paraId="00344AE4">
            <w:pPr>
              <w:spacing w:before="0" w:after="0" w:line="240" w:lineRule="auto"/>
              <w:jc w:val="left"/>
            </w:pPr>
            <w:r>
              <w:rPr>
                <w:rFonts w:ascii="Arial" w:hAnsi="Arial" w:eastAsia="Arial"/>
                <w:b w:val="0"/>
                <w:i w:val="0"/>
                <w:sz w:val="14"/>
              </w:rPr>
              <w:t>IL-6 → incident heart disease after biomarker-selection weighting</w:t>
            </w:r>
          </w:p>
        </w:tc>
        <w:tc>
          <w:tcPr>
            <w:tcW w:w="1944" w:type="dxa"/>
            <w:shd w:val="clear" w:color="auto" w:fill="F6F8FA"/>
            <w:tcMar>
              <w:top w:w="50" w:type="dxa"/>
              <w:left w:w="55" w:type="dxa"/>
              <w:bottom w:w="50" w:type="dxa"/>
              <w:right w:w="55" w:type="dxa"/>
            </w:tcMar>
            <w:vAlign w:val="top"/>
          </w:tcPr>
          <w:p w14:paraId="211C995D">
            <w:pPr>
              <w:spacing w:before="0" w:after="0" w:line="240" w:lineRule="auto"/>
              <w:jc w:val="center"/>
            </w:pPr>
            <w:r>
              <w:rPr>
                <w:rFonts w:ascii="Arial" w:hAnsi="Arial" w:eastAsia="Arial"/>
                <w:b w:val="0"/>
                <w:i w:val="0"/>
                <w:sz w:val="14"/>
              </w:rPr>
              <w:t>HR per SD</w:t>
            </w:r>
          </w:p>
        </w:tc>
        <w:tc>
          <w:tcPr>
            <w:tcW w:w="1944" w:type="dxa"/>
            <w:shd w:val="clear" w:color="auto" w:fill="F6F8FA"/>
            <w:tcMar>
              <w:top w:w="50" w:type="dxa"/>
              <w:left w:w="55" w:type="dxa"/>
              <w:bottom w:w="50" w:type="dxa"/>
              <w:right w:w="55" w:type="dxa"/>
            </w:tcMar>
            <w:vAlign w:val="top"/>
          </w:tcPr>
          <w:p w14:paraId="6F20B11B">
            <w:pPr>
              <w:spacing w:before="0" w:after="0" w:line="240" w:lineRule="auto"/>
              <w:jc w:val="center"/>
            </w:pPr>
            <w:r>
              <w:rPr>
                <w:rFonts w:ascii="Arial" w:hAnsi="Arial" w:eastAsia="Arial"/>
                <w:b w:val="0"/>
                <w:i w:val="0"/>
                <w:sz w:val="14"/>
              </w:rPr>
              <w:t>0.895 (0.782–1.023)</w:t>
            </w:r>
          </w:p>
        </w:tc>
        <w:tc>
          <w:tcPr>
            <w:tcW w:w="936" w:type="dxa"/>
            <w:shd w:val="clear" w:color="auto" w:fill="F6F8FA"/>
            <w:tcMar>
              <w:top w:w="50" w:type="dxa"/>
              <w:left w:w="55" w:type="dxa"/>
              <w:bottom w:w="50" w:type="dxa"/>
              <w:right w:w="55" w:type="dxa"/>
            </w:tcMar>
            <w:vAlign w:val="top"/>
          </w:tcPr>
          <w:p w14:paraId="5D1DF8C1">
            <w:pPr>
              <w:spacing w:before="0" w:after="0" w:line="240" w:lineRule="auto"/>
              <w:jc w:val="center"/>
            </w:pPr>
            <w:r>
              <w:rPr>
                <w:rFonts w:ascii="Arial" w:hAnsi="Arial" w:eastAsia="Arial"/>
                <w:b w:val="0"/>
                <w:i w:val="0"/>
                <w:sz w:val="14"/>
              </w:rPr>
              <w:t>0.104</w:t>
            </w:r>
          </w:p>
        </w:tc>
        <w:tc>
          <w:tcPr>
            <w:tcW w:w="3096" w:type="dxa"/>
            <w:shd w:val="clear" w:color="auto" w:fill="F6F8FA"/>
            <w:tcMar>
              <w:top w:w="50" w:type="dxa"/>
              <w:left w:w="55" w:type="dxa"/>
              <w:bottom w:w="50" w:type="dxa"/>
              <w:right w:w="55" w:type="dxa"/>
            </w:tcMar>
            <w:vAlign w:val="top"/>
          </w:tcPr>
          <w:p w14:paraId="74D914B4">
            <w:pPr>
              <w:spacing w:before="0" w:after="0" w:line="240" w:lineRule="auto"/>
              <w:jc w:val="left"/>
            </w:pPr>
            <w:r>
              <w:rPr>
                <w:rFonts w:ascii="Arial" w:hAnsi="Arial" w:eastAsia="Arial"/>
                <w:b w:val="0"/>
                <w:i w:val="0"/>
                <w:sz w:val="14"/>
              </w:rPr>
              <w:t>HRS biomarker sample, N=3,217; events=366</w:t>
            </w:r>
          </w:p>
        </w:tc>
        <w:tc>
          <w:tcPr>
            <w:tcW w:w="4176" w:type="dxa"/>
            <w:shd w:val="clear" w:color="auto" w:fill="F6F8FA"/>
            <w:tcMar>
              <w:top w:w="50" w:type="dxa"/>
              <w:left w:w="55" w:type="dxa"/>
              <w:bottom w:w="50" w:type="dxa"/>
              <w:right w:w="55" w:type="dxa"/>
            </w:tcMar>
            <w:vAlign w:val="top"/>
          </w:tcPr>
          <w:p w14:paraId="2ABAC614">
            <w:pPr>
              <w:spacing w:before="0" w:after="0" w:line="240" w:lineRule="auto"/>
              <w:jc w:val="left"/>
            </w:pPr>
            <w:r>
              <w:rPr>
                <w:rFonts w:ascii="Arial" w:hAnsi="Arial" w:eastAsia="Arial"/>
                <w:b w:val="0"/>
                <w:i w:val="0"/>
                <w:sz w:val="14"/>
              </w:rPr>
              <w:t>Not retained after weighting and mutual component adjustment.</w:t>
            </w:r>
          </w:p>
        </w:tc>
      </w:tr>
      <w:tr w14:paraId="5761CCC1">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3456" w:type="dxa"/>
            <w:shd w:val="clear" w:color="auto" w:fill="FFFFFF"/>
            <w:tcMar>
              <w:top w:w="50" w:type="dxa"/>
              <w:left w:w="55" w:type="dxa"/>
              <w:bottom w:w="50" w:type="dxa"/>
              <w:right w:w="55" w:type="dxa"/>
            </w:tcMar>
            <w:vAlign w:val="top"/>
          </w:tcPr>
          <w:p w14:paraId="152E1DC4">
            <w:pPr>
              <w:spacing w:before="0" w:after="0" w:line="240" w:lineRule="auto"/>
              <w:jc w:val="left"/>
            </w:pPr>
            <w:r>
              <w:rPr>
                <w:rFonts w:ascii="Arial" w:hAnsi="Arial" w:eastAsia="Arial"/>
                <w:b w:val="0"/>
                <w:i w:val="0"/>
                <w:sz w:val="14"/>
              </w:rPr>
              <w:t>Two-marker inflammatory composite → incident heart disease after weighting</w:t>
            </w:r>
          </w:p>
        </w:tc>
        <w:tc>
          <w:tcPr>
            <w:tcW w:w="1944" w:type="dxa"/>
            <w:shd w:val="clear" w:color="auto" w:fill="FFFFFF"/>
            <w:tcMar>
              <w:top w:w="50" w:type="dxa"/>
              <w:left w:w="55" w:type="dxa"/>
              <w:bottom w:w="50" w:type="dxa"/>
              <w:right w:w="55" w:type="dxa"/>
            </w:tcMar>
            <w:vAlign w:val="top"/>
          </w:tcPr>
          <w:p w14:paraId="79481544">
            <w:pPr>
              <w:spacing w:before="0" w:after="0" w:line="240" w:lineRule="auto"/>
              <w:jc w:val="center"/>
            </w:pPr>
            <w:r>
              <w:rPr>
                <w:rFonts w:ascii="Arial" w:hAnsi="Arial" w:eastAsia="Arial"/>
                <w:b w:val="0"/>
                <w:i w:val="0"/>
                <w:sz w:val="14"/>
              </w:rPr>
              <w:t>HR per SD</w:t>
            </w:r>
          </w:p>
        </w:tc>
        <w:tc>
          <w:tcPr>
            <w:tcW w:w="1944" w:type="dxa"/>
            <w:shd w:val="clear" w:color="auto" w:fill="FFFFFF"/>
            <w:tcMar>
              <w:top w:w="50" w:type="dxa"/>
              <w:left w:w="55" w:type="dxa"/>
              <w:bottom w:w="50" w:type="dxa"/>
              <w:right w:w="55" w:type="dxa"/>
            </w:tcMar>
            <w:vAlign w:val="top"/>
          </w:tcPr>
          <w:p w14:paraId="3C93A264">
            <w:pPr>
              <w:spacing w:before="0" w:after="0" w:line="240" w:lineRule="auto"/>
              <w:jc w:val="center"/>
            </w:pPr>
            <w:r>
              <w:rPr>
                <w:rFonts w:ascii="Arial" w:hAnsi="Arial" w:eastAsia="Arial"/>
                <w:b w:val="0"/>
                <w:i w:val="0"/>
                <w:sz w:val="14"/>
              </w:rPr>
              <w:t>1.042 (0.911–1.192)</w:t>
            </w:r>
          </w:p>
        </w:tc>
        <w:tc>
          <w:tcPr>
            <w:tcW w:w="936" w:type="dxa"/>
            <w:shd w:val="clear" w:color="auto" w:fill="FFFFFF"/>
            <w:tcMar>
              <w:top w:w="50" w:type="dxa"/>
              <w:left w:w="55" w:type="dxa"/>
              <w:bottom w:w="50" w:type="dxa"/>
              <w:right w:w="55" w:type="dxa"/>
            </w:tcMar>
            <w:vAlign w:val="top"/>
          </w:tcPr>
          <w:p w14:paraId="70645FA8">
            <w:pPr>
              <w:spacing w:before="0" w:after="0" w:line="240" w:lineRule="auto"/>
              <w:jc w:val="center"/>
            </w:pPr>
            <w:r>
              <w:rPr>
                <w:rFonts w:ascii="Arial" w:hAnsi="Arial" w:eastAsia="Arial"/>
                <w:b w:val="0"/>
                <w:i w:val="0"/>
                <w:sz w:val="14"/>
              </w:rPr>
              <w:t>0.549</w:t>
            </w:r>
          </w:p>
        </w:tc>
        <w:tc>
          <w:tcPr>
            <w:tcW w:w="3096" w:type="dxa"/>
            <w:shd w:val="clear" w:color="auto" w:fill="FFFFFF"/>
            <w:tcMar>
              <w:top w:w="50" w:type="dxa"/>
              <w:left w:w="55" w:type="dxa"/>
              <w:bottom w:w="50" w:type="dxa"/>
              <w:right w:w="55" w:type="dxa"/>
            </w:tcMar>
            <w:vAlign w:val="top"/>
          </w:tcPr>
          <w:p w14:paraId="1E99ED52">
            <w:pPr>
              <w:spacing w:before="0" w:after="0" w:line="240" w:lineRule="auto"/>
              <w:jc w:val="left"/>
            </w:pPr>
            <w:r>
              <w:rPr>
                <w:rFonts w:ascii="Arial" w:hAnsi="Arial" w:eastAsia="Arial"/>
                <w:b w:val="0"/>
                <w:i w:val="0"/>
                <w:sz w:val="14"/>
              </w:rPr>
              <w:t>HRS biomarker sample, N=3,217; events=366</w:t>
            </w:r>
          </w:p>
        </w:tc>
        <w:tc>
          <w:tcPr>
            <w:tcW w:w="4176" w:type="dxa"/>
            <w:shd w:val="clear" w:color="auto" w:fill="FFFFFF"/>
            <w:tcMar>
              <w:top w:w="50" w:type="dxa"/>
              <w:left w:w="55" w:type="dxa"/>
              <w:bottom w:w="50" w:type="dxa"/>
              <w:right w:w="55" w:type="dxa"/>
            </w:tcMar>
            <w:vAlign w:val="top"/>
          </w:tcPr>
          <w:p w14:paraId="2F7D1A54">
            <w:pPr>
              <w:spacing w:before="0" w:after="0" w:line="240" w:lineRule="auto"/>
              <w:jc w:val="left"/>
            </w:pPr>
            <w:r>
              <w:rPr>
                <w:rFonts w:ascii="Arial" w:hAnsi="Arial" w:eastAsia="Arial"/>
                <w:b w:val="0"/>
                <w:i w:val="0"/>
                <w:sz w:val="14"/>
              </w:rPr>
              <w:t>The prespecified composite was not retained after weighting.</w:t>
            </w:r>
          </w:p>
        </w:tc>
      </w:tr>
      <w:tr w14:paraId="6B3EF870">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3456" w:type="dxa"/>
            <w:shd w:val="clear" w:color="auto" w:fill="F6F8FA"/>
            <w:tcMar>
              <w:top w:w="50" w:type="dxa"/>
              <w:left w:w="55" w:type="dxa"/>
              <w:bottom w:w="50" w:type="dxa"/>
              <w:right w:w="55" w:type="dxa"/>
            </w:tcMar>
            <w:vAlign w:val="top"/>
          </w:tcPr>
          <w:p w14:paraId="7B6B302B">
            <w:pPr>
              <w:spacing w:before="0" w:after="0" w:line="240" w:lineRule="auto"/>
              <w:jc w:val="left"/>
            </w:pPr>
            <w:r>
              <w:rPr>
                <w:rFonts w:ascii="Arial" w:hAnsi="Arial" w:eastAsia="Arial"/>
                <w:b w:val="0"/>
                <w:i w:val="0"/>
                <w:sz w:val="14"/>
              </w:rPr>
              <w:t>Biomarker-selection weighting framework</w:t>
            </w:r>
          </w:p>
        </w:tc>
        <w:tc>
          <w:tcPr>
            <w:tcW w:w="1944" w:type="dxa"/>
            <w:shd w:val="clear" w:color="auto" w:fill="F6F8FA"/>
            <w:tcMar>
              <w:top w:w="50" w:type="dxa"/>
              <w:left w:w="55" w:type="dxa"/>
              <w:bottom w:w="50" w:type="dxa"/>
              <w:right w:w="55" w:type="dxa"/>
            </w:tcMar>
            <w:vAlign w:val="top"/>
          </w:tcPr>
          <w:p w14:paraId="7CCDC63B">
            <w:pPr>
              <w:spacing w:before="0" w:after="0" w:line="240" w:lineRule="auto"/>
              <w:jc w:val="center"/>
            </w:pPr>
            <w:r>
              <w:rPr>
                <w:rFonts w:ascii="Arial" w:hAnsi="Arial" w:eastAsia="Arial"/>
                <w:b w:val="0"/>
                <w:i w:val="0"/>
                <w:sz w:val="14"/>
              </w:rPr>
              <w:t>Methodological note</w:t>
            </w:r>
          </w:p>
        </w:tc>
        <w:tc>
          <w:tcPr>
            <w:tcW w:w="1944" w:type="dxa"/>
            <w:shd w:val="clear" w:color="auto" w:fill="F6F8FA"/>
            <w:tcMar>
              <w:top w:w="50" w:type="dxa"/>
              <w:left w:w="55" w:type="dxa"/>
              <w:bottom w:w="50" w:type="dxa"/>
              <w:right w:w="55" w:type="dxa"/>
            </w:tcMar>
            <w:vAlign w:val="top"/>
          </w:tcPr>
          <w:p w14:paraId="007A4020">
            <w:pPr>
              <w:spacing w:before="0" w:after="0" w:line="240" w:lineRule="auto"/>
              <w:jc w:val="center"/>
            </w:pPr>
          </w:p>
        </w:tc>
        <w:tc>
          <w:tcPr>
            <w:tcW w:w="936" w:type="dxa"/>
            <w:shd w:val="clear" w:color="auto" w:fill="F6F8FA"/>
            <w:tcMar>
              <w:top w:w="50" w:type="dxa"/>
              <w:left w:w="55" w:type="dxa"/>
              <w:bottom w:w="50" w:type="dxa"/>
              <w:right w:w="55" w:type="dxa"/>
            </w:tcMar>
            <w:vAlign w:val="top"/>
          </w:tcPr>
          <w:p w14:paraId="6265BA72">
            <w:pPr>
              <w:spacing w:before="0" w:after="0" w:line="240" w:lineRule="auto"/>
              <w:jc w:val="center"/>
            </w:pPr>
          </w:p>
        </w:tc>
        <w:tc>
          <w:tcPr>
            <w:tcW w:w="3096" w:type="dxa"/>
            <w:shd w:val="clear" w:color="auto" w:fill="F6F8FA"/>
            <w:tcMar>
              <w:top w:w="50" w:type="dxa"/>
              <w:left w:w="55" w:type="dxa"/>
              <w:bottom w:w="50" w:type="dxa"/>
              <w:right w:w="55" w:type="dxa"/>
            </w:tcMar>
            <w:vAlign w:val="top"/>
          </w:tcPr>
          <w:p w14:paraId="395509BD">
            <w:pPr>
              <w:spacing w:before="0" w:after="0" w:line="240" w:lineRule="auto"/>
              <w:jc w:val="left"/>
            </w:pPr>
            <w:r>
              <w:rPr>
                <w:rFonts w:ascii="Arial" w:hAnsi="Arial" w:eastAsia="Arial"/>
                <w:b w:val="0"/>
                <w:i w:val="0"/>
                <w:sz w:val="14"/>
              </w:rPr>
              <w:t>Source population N=6,805 (814 events); biomarker sample N=3,217 (366 events)</w:t>
            </w:r>
          </w:p>
        </w:tc>
        <w:tc>
          <w:tcPr>
            <w:tcW w:w="4176" w:type="dxa"/>
            <w:shd w:val="clear" w:color="auto" w:fill="F6F8FA"/>
            <w:tcMar>
              <w:top w:w="50" w:type="dxa"/>
              <w:left w:w="55" w:type="dxa"/>
              <w:bottom w:w="50" w:type="dxa"/>
              <w:right w:w="55" w:type="dxa"/>
            </w:tcMar>
            <w:vAlign w:val="top"/>
          </w:tcPr>
          <w:p w14:paraId="207E37EE">
            <w:pPr>
              <w:spacing w:before="0" w:after="0" w:line="240" w:lineRule="auto"/>
              <w:jc w:val="left"/>
            </w:pPr>
            <w:r>
              <w:rPr>
                <w:rFonts w:ascii="Arial" w:hAnsi="Arial" w:eastAsia="Arial"/>
                <w:b w:val="0"/>
                <w:i w:val="0"/>
                <w:sz w:val="14"/>
              </w:rPr>
              <w:t>Inverse-probability weighting for biomarker availability was used to represent the biomarker-eligible sample back to the defined psychological-process source population.</w:t>
            </w:r>
          </w:p>
        </w:tc>
      </w:tr>
      <w:tr w14:paraId="73095A7E">
        <w:tblPrEx>
          <w:tblBorders>
            <w:top w:val="single" w:color="B7C3D0" w:sz="4" w:space="0"/>
            <w:left w:val="single" w:color="B7C3D0" w:sz="4" w:space="0"/>
            <w:bottom w:val="single" w:color="B7C3D0" w:sz="4" w:space="0"/>
            <w:right w:val="single" w:color="B7C3D0" w:sz="4" w:space="0"/>
            <w:insideH w:val="single" w:color="B7C3D0" w:sz="4" w:space="0"/>
            <w:insideV w:val="single" w:color="B7C3D0" w:sz="4" w:space="0"/>
          </w:tblBorders>
          <w:tblCellMar>
            <w:top w:w="0" w:type="dxa"/>
            <w:left w:w="108" w:type="dxa"/>
            <w:bottom w:w="0" w:type="dxa"/>
            <w:right w:w="108" w:type="dxa"/>
          </w:tblCellMar>
        </w:tblPrEx>
        <w:trPr>
          <w:cantSplit/>
          <w:jc w:val="center"/>
        </w:trPr>
        <w:tc>
          <w:tcPr>
            <w:tcW w:w="3456" w:type="dxa"/>
            <w:shd w:val="clear" w:color="auto" w:fill="FFFFFF"/>
            <w:tcMar>
              <w:top w:w="50" w:type="dxa"/>
              <w:left w:w="55" w:type="dxa"/>
              <w:bottom w:w="50" w:type="dxa"/>
              <w:right w:w="55" w:type="dxa"/>
            </w:tcMar>
            <w:vAlign w:val="top"/>
          </w:tcPr>
          <w:p w14:paraId="31D508C7">
            <w:pPr>
              <w:spacing w:before="0" w:after="0" w:line="240" w:lineRule="auto"/>
              <w:jc w:val="left"/>
            </w:pPr>
            <w:r>
              <w:rPr>
                <w:rFonts w:ascii="Arial" w:hAnsi="Arial" w:eastAsia="Arial"/>
                <w:b w:val="0"/>
                <w:i w:val="0"/>
                <w:sz w:val="14"/>
              </w:rPr>
              <w:t>Kidney-function independence</w:t>
            </w:r>
          </w:p>
        </w:tc>
        <w:tc>
          <w:tcPr>
            <w:tcW w:w="1944" w:type="dxa"/>
            <w:shd w:val="clear" w:color="auto" w:fill="FFFFFF"/>
            <w:tcMar>
              <w:top w:w="50" w:type="dxa"/>
              <w:left w:w="55" w:type="dxa"/>
              <w:bottom w:w="50" w:type="dxa"/>
              <w:right w:w="55" w:type="dxa"/>
            </w:tcMar>
            <w:vAlign w:val="top"/>
          </w:tcPr>
          <w:p w14:paraId="7FA919B7">
            <w:pPr>
              <w:spacing w:before="0" w:after="0" w:line="240" w:lineRule="auto"/>
              <w:jc w:val="center"/>
            </w:pPr>
            <w:r>
              <w:rPr>
                <w:rFonts w:ascii="Arial" w:hAnsi="Arial" w:eastAsia="Arial"/>
                <w:b w:val="0"/>
                <w:i w:val="0"/>
                <w:sz w:val="14"/>
              </w:rPr>
              <w:t>Interpretive boundary</w:t>
            </w:r>
          </w:p>
        </w:tc>
        <w:tc>
          <w:tcPr>
            <w:tcW w:w="1944" w:type="dxa"/>
            <w:shd w:val="clear" w:color="auto" w:fill="FFFFFF"/>
            <w:tcMar>
              <w:top w:w="50" w:type="dxa"/>
              <w:left w:w="55" w:type="dxa"/>
              <w:bottom w:w="50" w:type="dxa"/>
              <w:right w:w="55" w:type="dxa"/>
            </w:tcMar>
            <w:vAlign w:val="top"/>
          </w:tcPr>
          <w:p w14:paraId="4390F23D">
            <w:pPr>
              <w:spacing w:before="0" w:after="0" w:line="240" w:lineRule="auto"/>
              <w:jc w:val="center"/>
            </w:pPr>
          </w:p>
        </w:tc>
        <w:tc>
          <w:tcPr>
            <w:tcW w:w="936" w:type="dxa"/>
            <w:shd w:val="clear" w:color="auto" w:fill="FFFFFF"/>
            <w:tcMar>
              <w:top w:w="50" w:type="dxa"/>
              <w:left w:w="55" w:type="dxa"/>
              <w:bottom w:w="50" w:type="dxa"/>
              <w:right w:w="55" w:type="dxa"/>
            </w:tcMar>
            <w:vAlign w:val="top"/>
          </w:tcPr>
          <w:p w14:paraId="5755C36F">
            <w:pPr>
              <w:spacing w:before="0" w:after="0" w:line="240" w:lineRule="auto"/>
              <w:jc w:val="center"/>
            </w:pPr>
          </w:p>
        </w:tc>
        <w:tc>
          <w:tcPr>
            <w:tcW w:w="3096" w:type="dxa"/>
            <w:shd w:val="clear" w:color="auto" w:fill="FFFFFF"/>
            <w:tcMar>
              <w:top w:w="50" w:type="dxa"/>
              <w:left w:w="55" w:type="dxa"/>
              <w:bottom w:w="50" w:type="dxa"/>
              <w:right w:w="55" w:type="dxa"/>
            </w:tcMar>
            <w:vAlign w:val="top"/>
          </w:tcPr>
          <w:p w14:paraId="76D19D39">
            <w:pPr>
              <w:spacing w:before="0" w:after="0" w:line="240" w:lineRule="auto"/>
              <w:jc w:val="left"/>
            </w:pPr>
          </w:p>
        </w:tc>
        <w:tc>
          <w:tcPr>
            <w:tcW w:w="4176" w:type="dxa"/>
            <w:shd w:val="clear" w:color="auto" w:fill="FFFFFF"/>
            <w:tcMar>
              <w:top w:w="50" w:type="dxa"/>
              <w:left w:w="55" w:type="dxa"/>
              <w:bottom w:w="50" w:type="dxa"/>
              <w:right w:w="55" w:type="dxa"/>
            </w:tcMar>
            <w:vAlign w:val="top"/>
          </w:tcPr>
          <w:p w14:paraId="5285F07B">
            <w:pPr>
              <w:spacing w:before="0" w:after="0" w:line="240" w:lineRule="auto"/>
              <w:jc w:val="left"/>
            </w:pPr>
            <w:r>
              <w:rPr>
                <w:rFonts w:ascii="Arial" w:hAnsi="Arial" w:eastAsia="Arial"/>
                <w:b w:val="0"/>
                <w:i w:val="0"/>
                <w:sz w:val="14"/>
              </w:rPr>
              <w:t>A reliable kidney-function-independent biomarker association was not established and is not claimed.</w:t>
            </w:r>
          </w:p>
        </w:tc>
      </w:tr>
    </w:tbl>
    <w:p w14:paraId="319A2B7C">
      <w:pPr>
        <w:spacing w:before="0" w:after="40"/>
      </w:pPr>
    </w:p>
    <w:p w14:paraId="59A3040B">
      <w:pPr>
        <w:pStyle w:val="166"/>
        <w:keepLines/>
      </w:pPr>
      <w:r>
        <w:rPr>
          <w:rFonts w:ascii="Arial" w:hAnsi="Arial" w:eastAsia="Arial"/>
          <w:b/>
          <w:i w:val="0"/>
          <w:sz w:val="14"/>
        </w:rPr>
        <w:t xml:space="preserve">Note. </w:t>
      </w:r>
      <w:r>
        <w:rPr>
          <w:rFonts w:ascii="Arial" w:hAnsi="Arial" w:eastAsia="Arial"/>
          <w:b w:val="0"/>
          <w:i w:val="0"/>
          <w:sz w:val="14"/>
        </w:rPr>
        <w:t>These analyses provide supporting evidence for adversity-related psychological-burden formation and secondary inflammatory biomarkers. Biomarker-selection weighting was used to represent the biomarker sample back to the eligible source population. A reliable kidney-function-independent biomarker association was not established and is not claimed.</w:t>
      </w:r>
    </w:p>
    <w:p>
      <w:pPr>
        <w:pStyle w:val="164"/>
        <w:keepNext/>
        <w:pageBreakBefore/>
        <w:spacing w:after="80"/>
      </w:pPr>
      <w:r>
        <w:t>Table S6. Age-related heterogeneity in the associations of depressive-symptom history components with incident heart disease</w:t>
      </w:r>
    </w:p>
    <w:p>
      <w:pPr>
        <w:pStyle w:val="165"/>
        <w:keepNext/>
        <w:pageBreakBefore w:val="0"/>
        <w:spacing w:after="40"/>
      </w:pPr>
      <w:r>
        <w:t>Panel A. Age-group interaction analysis</w:t>
      </w:r>
    </w:p>
    <w:tbl>
      <w:tblPr>
        <w:tblW w:type="auto" w:w="0"/>
        <w:jc w:val="center"/>
        <w:tblLayout w:type="fixed"/>
        <w:tblLook w:firstColumn="1" w:firstRow="1" w:lastColumn="0" w:lastRow="0" w:noHBand="0" w:noVBand="1" w:val="04A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Grid>
        <w:gridCol w:w="2614"/>
        <w:gridCol w:w="2614"/>
        <w:gridCol w:w="2614"/>
        <w:gridCol w:w="2614"/>
        <w:gridCol w:w="2614"/>
        <w:gridCol w:w="2614"/>
      </w:tblGrid>
      <w:tr>
        <w:trPr>
          <w:tblHeader w:val="true"/>
          <w:cantSplit/>
        </w:trPr>
        <w:tc>
          <w:tcPr>
            <w:tcW w:type="dxa" w:w="1080"/>
            <w:vAlign w:val="center"/>
            <w:shd w:fill="D9EAF7"/>
          </w:tcPr>
          <w:p>
            <w:pPr>
              <w:spacing w:before="0" w:after="0" w:line="240" w:lineRule="auto"/>
              <w:jc w:val="center"/>
            </w:pPr>
            <w:r/>
            <w:r>
              <w:rPr>
                <w:rFonts w:ascii="Arial" w:hAnsi="Arial" w:eastAsia="Arial"/>
                <w:b/>
                <w:sz w:val="14"/>
              </w:rPr>
              <w:t>Cohort</w:t>
            </w:r>
          </w:p>
        </w:tc>
        <w:tc>
          <w:tcPr>
            <w:tcW w:type="dxa" w:w="1944"/>
            <w:vAlign w:val="center"/>
            <w:shd w:fill="D9EAF7"/>
          </w:tcPr>
          <w:p>
            <w:pPr>
              <w:spacing w:before="0" w:after="0" w:line="240" w:lineRule="auto"/>
              <w:jc w:val="center"/>
            </w:pPr>
            <w:r/>
            <w:r>
              <w:rPr>
                <w:rFonts w:ascii="Arial" w:hAnsi="Arial" w:eastAsia="Arial"/>
                <w:b/>
                <w:sz w:val="14"/>
              </w:rPr>
              <w:t>Component</w:t>
            </w:r>
          </w:p>
        </w:tc>
        <w:tc>
          <w:tcPr>
            <w:tcW w:type="dxa" w:w="2232"/>
            <w:vAlign w:val="center"/>
            <w:shd w:fill="D9EAF7"/>
          </w:tcPr>
          <w:p>
            <w:pPr>
              <w:spacing w:before="0" w:after="0" w:line="240" w:lineRule="auto"/>
              <w:jc w:val="center"/>
            </w:pPr>
            <w:r/>
            <w:r>
              <w:rPr>
                <w:rFonts w:ascii="Arial" w:hAnsi="Arial" w:eastAsia="Arial"/>
                <w:b/>
                <w:sz w:val="14"/>
              </w:rPr>
              <w:t>Age 50–64, HR (95% CI)</w:t>
            </w:r>
          </w:p>
        </w:tc>
        <w:tc>
          <w:tcPr>
            <w:tcW w:type="dxa" w:w="2232"/>
            <w:vAlign w:val="center"/>
            <w:shd w:fill="D9EAF7"/>
          </w:tcPr>
          <w:p>
            <w:pPr>
              <w:spacing w:before="0" w:after="0" w:line="240" w:lineRule="auto"/>
              <w:jc w:val="center"/>
            </w:pPr>
            <w:r/>
            <w:r>
              <w:rPr>
                <w:rFonts w:ascii="Arial" w:hAnsi="Arial" w:eastAsia="Arial"/>
                <w:b/>
                <w:sz w:val="14"/>
              </w:rPr>
              <w:t>Age ≥65, HR (95% CI)</w:t>
            </w:r>
          </w:p>
        </w:tc>
        <w:tc>
          <w:tcPr>
            <w:tcW w:type="dxa" w:w="1800"/>
            <w:vAlign w:val="center"/>
            <w:shd w:fill="D9EAF7"/>
          </w:tcPr>
          <w:p>
            <w:pPr>
              <w:spacing w:before="0" w:after="0" w:line="240" w:lineRule="auto"/>
              <w:jc w:val="center"/>
            </w:pPr>
            <w:r/>
            <w:r>
              <w:rPr>
                <w:rFonts w:ascii="Arial" w:hAnsi="Arial" w:eastAsia="Arial"/>
                <w:b/>
                <w:sz w:val="14"/>
              </w:rPr>
              <w:t>Component interaction P</w:t>
            </w:r>
          </w:p>
        </w:tc>
        <w:tc>
          <w:tcPr>
            <w:tcW w:type="dxa" w:w="1800"/>
            <w:vAlign w:val="center"/>
            <w:shd w:fill="D9EAF7"/>
          </w:tcPr>
          <w:p>
            <w:pPr>
              <w:spacing w:before="0" w:after="0" w:line="240" w:lineRule="auto"/>
              <w:jc w:val="center"/>
            </w:pPr>
            <w:r/>
            <w:r>
              <w:rPr>
                <w:rFonts w:ascii="Arial" w:hAnsi="Arial" w:eastAsia="Arial"/>
                <w:b/>
                <w:sz w:val="14"/>
              </w:rPr>
              <w:t>Joint interaction P</w:t>
            </w:r>
          </w:p>
        </w:tc>
      </w:tr>
      <w:tr>
        <w:trPr>
          <w:cantSplit/>
        </w:trPr>
        <w:tc>
          <w:tcPr>
            <w:tcW w:type="dxa" w:w="1080"/>
            <w:vAlign w:val="center"/>
          </w:tcPr>
          <w:p>
            <w:pPr>
              <w:spacing w:before="0" w:after="0" w:line="240" w:lineRule="auto"/>
              <w:jc w:val="left"/>
            </w:pPr>
            <w:r/>
            <w:r>
              <w:rPr>
                <w:rFonts w:ascii="Arial" w:hAnsi="Arial" w:eastAsia="Arial"/>
                <w:b w:val="0"/>
                <w:sz w:val="14"/>
              </w:rPr>
              <w:t>HRS</w:t>
            </w:r>
          </w:p>
        </w:tc>
        <w:tc>
          <w:tcPr>
            <w:tcW w:type="dxa" w:w="1944"/>
            <w:vAlign w:val="center"/>
          </w:tcPr>
          <w:p>
            <w:pPr>
              <w:spacing w:before="0" w:after="0" w:line="240" w:lineRule="auto"/>
              <w:jc w:val="left"/>
            </w:pPr>
            <w:r/>
            <w:r>
              <w:rPr>
                <w:rFonts w:ascii="Arial" w:hAnsi="Arial" w:eastAsia="Arial"/>
                <w:b w:val="0"/>
                <w:sz w:val="14"/>
              </w:rPr>
              <w:t>Prior burden</w:t>
            </w:r>
          </w:p>
        </w:tc>
        <w:tc>
          <w:tcPr>
            <w:tcW w:type="dxa" w:w="2232"/>
            <w:vAlign w:val="center"/>
          </w:tcPr>
          <w:p>
            <w:pPr>
              <w:spacing w:before="0" w:after="0" w:line="240" w:lineRule="auto"/>
              <w:jc w:val="center"/>
            </w:pPr>
            <w:r/>
            <w:r>
              <w:rPr>
                <w:rFonts w:ascii="Arial" w:hAnsi="Arial" w:eastAsia="Arial"/>
                <w:b w:val="0"/>
                <w:sz w:val="14"/>
              </w:rPr>
              <w:t>1.343 (1.162–1.551)</w:t>
            </w:r>
          </w:p>
        </w:tc>
        <w:tc>
          <w:tcPr>
            <w:tcW w:type="dxa" w:w="2232"/>
            <w:vAlign w:val="center"/>
          </w:tcPr>
          <w:p>
            <w:pPr>
              <w:spacing w:before="0" w:after="0" w:line="240" w:lineRule="auto"/>
              <w:jc w:val="center"/>
            </w:pPr>
            <w:r/>
            <w:r>
              <w:rPr>
                <w:rFonts w:ascii="Arial" w:hAnsi="Arial" w:eastAsia="Arial"/>
                <w:b w:val="0"/>
                <w:sz w:val="14"/>
              </w:rPr>
              <w:t>1.234 (1.125–1.354)</w:t>
            </w:r>
          </w:p>
        </w:tc>
        <w:tc>
          <w:tcPr>
            <w:tcW w:type="dxa" w:w="1800"/>
            <w:vAlign w:val="center"/>
          </w:tcPr>
          <w:p>
            <w:pPr>
              <w:spacing w:before="0" w:after="0" w:line="240" w:lineRule="auto"/>
              <w:jc w:val="center"/>
            </w:pPr>
            <w:r/>
            <w:r>
              <w:rPr>
                <w:rFonts w:ascii="Arial" w:hAnsi="Arial" w:eastAsia="Arial"/>
                <w:b w:val="0"/>
                <w:sz w:val="14"/>
              </w:rPr>
              <w:t>0.323</w:t>
            </w:r>
          </w:p>
        </w:tc>
        <w:tc>
          <w:tcPr>
            <w:tcW w:type="dxa" w:w="1800"/>
            <w:vAlign w:val="center"/>
          </w:tcPr>
          <w:p>
            <w:pPr>
              <w:spacing w:before="0" w:after="0" w:line="240" w:lineRule="auto"/>
              <w:jc w:val="center"/>
            </w:pPr>
            <w:r/>
            <w:r>
              <w:rPr>
                <w:rFonts w:ascii="Arial" w:hAnsi="Arial" w:eastAsia="Arial"/>
                <w:b w:val="0"/>
                <w:sz w:val="14"/>
              </w:rPr>
              <w:t>0.552</w:t>
            </w:r>
          </w:p>
        </w:tc>
      </w:tr>
      <w:tr>
        <w:trPr>
          <w:cantSplit/>
        </w:trPr>
        <w:tc>
          <w:tcPr>
            <w:tcW w:type="dxa" w:w="1080"/>
            <w:vAlign w:val="center"/>
          </w:tcPr>
          <w:p>
            <w:pPr>
              <w:spacing w:before="0" w:after="0" w:line="240" w:lineRule="auto"/>
              <w:jc w:val="left"/>
            </w:pPr>
            <w:r/>
            <w:r>
              <w:rPr>
                <w:rFonts w:ascii="Arial" w:hAnsi="Arial" w:eastAsia="Arial"/>
                <w:b w:val="0"/>
                <w:sz w:val="14"/>
              </w:rPr>
              <w:t>HRS</w:t>
            </w:r>
          </w:p>
        </w:tc>
        <w:tc>
          <w:tcPr>
            <w:tcW w:type="dxa" w:w="1944"/>
            <w:vAlign w:val="center"/>
          </w:tcPr>
          <w:p>
            <w:pPr>
              <w:spacing w:before="0" w:after="0" w:line="240" w:lineRule="auto"/>
              <w:jc w:val="left"/>
            </w:pPr>
            <w:r/>
            <w:r>
              <w:rPr>
                <w:rFonts w:ascii="Arial" w:hAnsi="Arial" w:eastAsia="Arial"/>
                <w:b w:val="0"/>
                <w:sz w:val="14"/>
              </w:rPr>
              <w:t>Current deviation</w:t>
            </w:r>
          </w:p>
        </w:tc>
        <w:tc>
          <w:tcPr>
            <w:tcW w:type="dxa" w:w="2232"/>
            <w:vAlign w:val="center"/>
          </w:tcPr>
          <w:p>
            <w:pPr>
              <w:spacing w:before="0" w:after="0" w:line="240" w:lineRule="auto"/>
              <w:jc w:val="center"/>
            </w:pPr>
            <w:r/>
            <w:r>
              <w:rPr>
                <w:rFonts w:ascii="Arial" w:hAnsi="Arial" w:eastAsia="Arial"/>
                <w:b w:val="0"/>
                <w:sz w:val="14"/>
              </w:rPr>
              <w:t>1.101 (0.931–1.303)</w:t>
            </w:r>
          </w:p>
        </w:tc>
        <w:tc>
          <w:tcPr>
            <w:tcW w:type="dxa" w:w="2232"/>
            <w:vAlign w:val="center"/>
          </w:tcPr>
          <w:p>
            <w:pPr>
              <w:spacing w:before="0" w:after="0" w:line="240" w:lineRule="auto"/>
              <w:jc w:val="center"/>
            </w:pPr>
            <w:r/>
            <w:r>
              <w:rPr>
                <w:rFonts w:ascii="Arial" w:hAnsi="Arial" w:eastAsia="Arial"/>
                <w:b w:val="0"/>
                <w:sz w:val="14"/>
              </w:rPr>
              <w:t>1.118 (1.020–1.226)</w:t>
            </w:r>
          </w:p>
        </w:tc>
        <w:tc>
          <w:tcPr>
            <w:tcW w:type="dxa" w:w="1800"/>
            <w:vAlign w:val="center"/>
          </w:tcPr>
          <w:p>
            <w:pPr>
              <w:spacing w:before="0" w:after="0" w:line="240" w:lineRule="auto"/>
              <w:jc w:val="center"/>
            </w:pPr>
            <w:r/>
            <w:r>
              <w:rPr>
                <w:rFonts w:ascii="Arial" w:hAnsi="Arial" w:eastAsia="Arial"/>
                <w:b w:val="0"/>
                <w:sz w:val="14"/>
              </w:rPr>
              <w:t>0.876</w:t>
            </w:r>
          </w:p>
        </w:tc>
        <w:tc>
          <w:tcPr>
            <w:tcW w:type="dxa" w:w="1800"/>
            <w:vAlign w:val="center"/>
          </w:tcPr>
          <w:p>
            <w:pPr>
              <w:spacing w:before="0" w:after="0" w:line="240" w:lineRule="auto"/>
              <w:jc w:val="center"/>
            </w:pPr>
            <w:r/>
            <w:r>
              <w:rPr>
                <w:rFonts w:ascii="Arial" w:hAnsi="Arial" w:eastAsia="Arial"/>
                <w:b w:val="0"/>
                <w:sz w:val="14"/>
              </w:rPr>
              <w:t>—</w:t>
            </w:r>
          </w:p>
        </w:tc>
      </w:tr>
      <w:tr>
        <w:trPr>
          <w:cantSplit/>
        </w:trPr>
        <w:tc>
          <w:tcPr>
            <w:tcW w:type="dxa" w:w="1080"/>
            <w:vAlign w:val="center"/>
          </w:tcPr>
          <w:p>
            <w:pPr>
              <w:spacing w:before="0" w:after="0" w:line="240" w:lineRule="auto"/>
              <w:jc w:val="left"/>
            </w:pPr>
            <w:r/>
            <w:r>
              <w:rPr>
                <w:rFonts w:ascii="Arial" w:hAnsi="Arial" w:eastAsia="Arial"/>
                <w:b w:val="0"/>
                <w:sz w:val="14"/>
              </w:rPr>
              <w:t>ELSA</w:t>
            </w:r>
          </w:p>
        </w:tc>
        <w:tc>
          <w:tcPr>
            <w:tcW w:type="dxa" w:w="1944"/>
            <w:vAlign w:val="center"/>
          </w:tcPr>
          <w:p>
            <w:pPr>
              <w:spacing w:before="0" w:after="0" w:line="240" w:lineRule="auto"/>
              <w:jc w:val="left"/>
            </w:pPr>
            <w:r/>
            <w:r>
              <w:rPr>
                <w:rFonts w:ascii="Arial" w:hAnsi="Arial" w:eastAsia="Arial"/>
                <w:b w:val="0"/>
                <w:sz w:val="14"/>
              </w:rPr>
              <w:t>Prior burden</w:t>
            </w:r>
          </w:p>
        </w:tc>
        <w:tc>
          <w:tcPr>
            <w:tcW w:type="dxa" w:w="2232"/>
            <w:vAlign w:val="center"/>
          </w:tcPr>
          <w:p>
            <w:pPr>
              <w:spacing w:before="0" w:after="0" w:line="240" w:lineRule="auto"/>
              <w:jc w:val="center"/>
            </w:pPr>
            <w:r/>
            <w:r>
              <w:rPr>
                <w:rFonts w:ascii="Arial" w:hAnsi="Arial" w:eastAsia="Arial"/>
                <w:b w:val="0"/>
                <w:sz w:val="14"/>
              </w:rPr>
              <w:t>1.280 (0.986–1.660)</w:t>
            </w:r>
          </w:p>
        </w:tc>
        <w:tc>
          <w:tcPr>
            <w:tcW w:type="dxa" w:w="2232"/>
            <w:vAlign w:val="center"/>
          </w:tcPr>
          <w:p>
            <w:pPr>
              <w:spacing w:before="0" w:after="0" w:line="240" w:lineRule="auto"/>
              <w:jc w:val="center"/>
            </w:pPr>
            <w:r/>
            <w:r>
              <w:rPr>
                <w:rFonts w:ascii="Arial" w:hAnsi="Arial" w:eastAsia="Arial"/>
                <w:b w:val="0"/>
                <w:sz w:val="14"/>
              </w:rPr>
              <w:t>0.933 (0.793–1.097)</w:t>
            </w:r>
          </w:p>
        </w:tc>
        <w:tc>
          <w:tcPr>
            <w:tcW w:type="dxa" w:w="1800"/>
            <w:vAlign w:val="center"/>
          </w:tcPr>
          <w:p>
            <w:pPr>
              <w:spacing w:before="0" w:after="0" w:line="240" w:lineRule="auto"/>
              <w:jc w:val="center"/>
            </w:pPr>
            <w:r/>
            <w:r>
              <w:rPr>
                <w:rFonts w:ascii="Arial" w:hAnsi="Arial" w:eastAsia="Arial"/>
                <w:b w:val="0"/>
                <w:sz w:val="14"/>
              </w:rPr>
              <w:t>0.041</w:t>
            </w:r>
          </w:p>
        </w:tc>
        <w:tc>
          <w:tcPr>
            <w:tcW w:type="dxa" w:w="1800"/>
            <w:vAlign w:val="center"/>
          </w:tcPr>
          <w:p>
            <w:pPr>
              <w:spacing w:before="0" w:after="0" w:line="240" w:lineRule="auto"/>
              <w:jc w:val="center"/>
            </w:pPr>
            <w:r/>
            <w:r>
              <w:rPr>
                <w:rFonts w:ascii="Arial" w:hAnsi="Arial" w:eastAsia="Arial"/>
                <w:b w:val="0"/>
                <w:sz w:val="14"/>
              </w:rPr>
              <w:t>0.029</w:t>
            </w:r>
          </w:p>
        </w:tc>
      </w:tr>
      <w:tr>
        <w:trPr>
          <w:cantSplit/>
        </w:trPr>
        <w:tc>
          <w:tcPr>
            <w:tcW w:type="dxa" w:w="1080"/>
            <w:vAlign w:val="center"/>
          </w:tcPr>
          <w:p>
            <w:pPr>
              <w:spacing w:before="0" w:after="0" w:line="240" w:lineRule="auto"/>
              <w:jc w:val="left"/>
            </w:pPr>
            <w:r/>
            <w:r>
              <w:rPr>
                <w:rFonts w:ascii="Arial" w:hAnsi="Arial" w:eastAsia="Arial"/>
                <w:b w:val="0"/>
                <w:sz w:val="14"/>
              </w:rPr>
              <w:t>ELSA</w:t>
            </w:r>
          </w:p>
        </w:tc>
        <w:tc>
          <w:tcPr>
            <w:tcW w:type="dxa" w:w="1944"/>
            <w:vAlign w:val="center"/>
          </w:tcPr>
          <w:p>
            <w:pPr>
              <w:spacing w:before="0" w:after="0" w:line="240" w:lineRule="auto"/>
              <w:jc w:val="left"/>
            </w:pPr>
            <w:r/>
            <w:r>
              <w:rPr>
                <w:rFonts w:ascii="Arial" w:hAnsi="Arial" w:eastAsia="Arial"/>
                <w:b w:val="0"/>
                <w:sz w:val="14"/>
              </w:rPr>
              <w:t>Current deviation</w:t>
            </w:r>
          </w:p>
        </w:tc>
        <w:tc>
          <w:tcPr>
            <w:tcW w:type="dxa" w:w="2232"/>
            <w:vAlign w:val="center"/>
          </w:tcPr>
          <w:p>
            <w:pPr>
              <w:spacing w:before="0" w:after="0" w:line="240" w:lineRule="auto"/>
              <w:jc w:val="center"/>
            </w:pPr>
            <w:r/>
            <w:r>
              <w:rPr>
                <w:rFonts w:ascii="Arial" w:hAnsi="Arial" w:eastAsia="Arial"/>
                <w:b w:val="0"/>
                <w:sz w:val="14"/>
              </w:rPr>
              <w:t>0.869 (0.665–1.135)</w:t>
            </w:r>
          </w:p>
        </w:tc>
        <w:tc>
          <w:tcPr>
            <w:tcW w:type="dxa" w:w="2232"/>
            <w:vAlign w:val="center"/>
          </w:tcPr>
          <w:p>
            <w:pPr>
              <w:spacing w:before="0" w:after="0" w:line="240" w:lineRule="auto"/>
              <w:jc w:val="center"/>
            </w:pPr>
            <w:r/>
            <w:r>
              <w:rPr>
                <w:rFonts w:ascii="Arial" w:hAnsi="Arial" w:eastAsia="Arial"/>
                <w:b w:val="0"/>
                <w:sz w:val="14"/>
              </w:rPr>
              <w:t>0.937 (0.819–1.073)</w:t>
            </w:r>
          </w:p>
        </w:tc>
        <w:tc>
          <w:tcPr>
            <w:tcW w:type="dxa" w:w="1800"/>
            <w:vAlign w:val="center"/>
          </w:tcPr>
          <w:p>
            <w:pPr>
              <w:spacing w:before="0" w:after="0" w:line="240" w:lineRule="auto"/>
              <w:jc w:val="center"/>
            </w:pPr>
            <w:r/>
            <w:r>
              <w:rPr>
                <w:rFonts w:ascii="Arial" w:hAnsi="Arial" w:eastAsia="Arial"/>
                <w:b w:val="0"/>
                <w:sz w:val="14"/>
              </w:rPr>
              <w:t>0.618</w:t>
            </w:r>
          </w:p>
        </w:tc>
        <w:tc>
          <w:tcPr>
            <w:tcW w:type="dxa" w:w="1800"/>
            <w:vAlign w:val="center"/>
          </w:tcPr>
          <w:p>
            <w:pPr>
              <w:spacing w:before="0" w:after="0" w:line="240" w:lineRule="auto"/>
              <w:jc w:val="center"/>
            </w:pPr>
            <w:r/>
            <w:r>
              <w:rPr>
                <w:rFonts w:ascii="Arial" w:hAnsi="Arial" w:eastAsia="Arial"/>
                <w:b w:val="0"/>
                <w:sz w:val="14"/>
              </w:rPr>
              <w:t>—</w:t>
            </w:r>
          </w:p>
        </w:tc>
      </w:tr>
      <w:tr>
        <w:trPr>
          <w:cantSplit/>
        </w:trPr>
        <w:tc>
          <w:tcPr>
            <w:tcW w:type="dxa" w:w="1080"/>
            <w:vAlign w:val="center"/>
          </w:tcPr>
          <w:p>
            <w:pPr>
              <w:spacing w:before="0" w:after="0" w:line="240" w:lineRule="auto"/>
              <w:jc w:val="left"/>
            </w:pPr>
            <w:r/>
            <w:r>
              <w:rPr>
                <w:rFonts w:ascii="Arial" w:hAnsi="Arial" w:eastAsia="Arial"/>
                <w:b w:val="0"/>
                <w:sz w:val="14"/>
              </w:rPr>
              <w:t>SHARE</w:t>
            </w:r>
          </w:p>
        </w:tc>
        <w:tc>
          <w:tcPr>
            <w:tcW w:type="dxa" w:w="1944"/>
            <w:vAlign w:val="center"/>
          </w:tcPr>
          <w:p>
            <w:pPr>
              <w:spacing w:before="0" w:after="0" w:line="240" w:lineRule="auto"/>
              <w:jc w:val="left"/>
            </w:pPr>
            <w:r/>
            <w:r>
              <w:rPr>
                <w:rFonts w:ascii="Arial" w:hAnsi="Arial" w:eastAsia="Arial"/>
                <w:b w:val="0"/>
                <w:sz w:val="14"/>
              </w:rPr>
              <w:t>Prior burden</w:t>
            </w:r>
          </w:p>
        </w:tc>
        <w:tc>
          <w:tcPr>
            <w:tcW w:type="dxa" w:w="2232"/>
            <w:vAlign w:val="center"/>
          </w:tcPr>
          <w:p>
            <w:pPr>
              <w:spacing w:before="0" w:after="0" w:line="240" w:lineRule="auto"/>
              <w:jc w:val="center"/>
            </w:pPr>
            <w:r/>
            <w:r>
              <w:rPr>
                <w:rFonts w:ascii="Arial" w:hAnsi="Arial" w:eastAsia="Arial"/>
                <w:b w:val="0"/>
                <w:sz w:val="14"/>
              </w:rPr>
              <w:t>1.367 (1.246–1.500)</w:t>
            </w:r>
          </w:p>
        </w:tc>
        <w:tc>
          <w:tcPr>
            <w:tcW w:type="dxa" w:w="2232"/>
            <w:vAlign w:val="center"/>
          </w:tcPr>
          <w:p>
            <w:pPr>
              <w:spacing w:before="0" w:after="0" w:line="240" w:lineRule="auto"/>
              <w:jc w:val="center"/>
            </w:pPr>
            <w:r/>
            <w:r>
              <w:rPr>
                <w:rFonts w:ascii="Arial" w:hAnsi="Arial" w:eastAsia="Arial"/>
                <w:b w:val="0"/>
                <w:sz w:val="14"/>
              </w:rPr>
              <w:t>1.202 (1.140–1.268)</w:t>
            </w:r>
          </w:p>
        </w:tc>
        <w:tc>
          <w:tcPr>
            <w:tcW w:type="dxa" w:w="1800"/>
            <w:vAlign w:val="center"/>
          </w:tcPr>
          <w:p>
            <w:pPr>
              <w:spacing w:before="0" w:after="0" w:line="240" w:lineRule="auto"/>
              <w:jc w:val="center"/>
            </w:pPr>
            <w:r/>
            <w:r>
              <w:rPr>
                <w:rFonts w:ascii="Arial" w:hAnsi="Arial" w:eastAsia="Arial"/>
                <w:b w:val="0"/>
                <w:sz w:val="14"/>
              </w:rPr>
              <w:t>0.015</w:t>
            </w:r>
          </w:p>
        </w:tc>
        <w:tc>
          <w:tcPr>
            <w:tcW w:type="dxa" w:w="1800"/>
            <w:vAlign w:val="center"/>
          </w:tcPr>
          <w:p>
            <w:pPr>
              <w:spacing w:before="0" w:after="0" w:line="240" w:lineRule="auto"/>
              <w:jc w:val="center"/>
            </w:pPr>
            <w:r/>
            <w:r>
              <w:rPr>
                <w:rFonts w:ascii="Arial" w:hAnsi="Arial" w:eastAsia="Arial"/>
                <w:b w:val="0"/>
                <w:sz w:val="14"/>
              </w:rPr>
              <w:t>0.048</w:t>
            </w:r>
          </w:p>
        </w:tc>
      </w:tr>
      <w:tr>
        <w:trPr>
          <w:cantSplit/>
        </w:trPr>
        <w:tc>
          <w:tcPr>
            <w:tcW w:type="dxa" w:w="1080"/>
            <w:vAlign w:val="center"/>
          </w:tcPr>
          <w:p>
            <w:pPr>
              <w:spacing w:before="0" w:after="0" w:line="240" w:lineRule="auto"/>
              <w:jc w:val="left"/>
            </w:pPr>
            <w:r/>
            <w:r>
              <w:rPr>
                <w:rFonts w:ascii="Arial" w:hAnsi="Arial" w:eastAsia="Arial"/>
                <w:b w:val="0"/>
                <w:sz w:val="14"/>
              </w:rPr>
              <w:t>SHARE</w:t>
            </w:r>
          </w:p>
        </w:tc>
        <w:tc>
          <w:tcPr>
            <w:tcW w:type="dxa" w:w="1944"/>
            <w:vAlign w:val="center"/>
          </w:tcPr>
          <w:p>
            <w:pPr>
              <w:spacing w:before="0" w:after="0" w:line="240" w:lineRule="auto"/>
              <w:jc w:val="left"/>
            </w:pPr>
            <w:r/>
            <w:r>
              <w:rPr>
                <w:rFonts w:ascii="Arial" w:hAnsi="Arial" w:eastAsia="Arial"/>
                <w:b w:val="0"/>
                <w:sz w:val="14"/>
              </w:rPr>
              <w:t>Current deviation</w:t>
            </w:r>
          </w:p>
        </w:tc>
        <w:tc>
          <w:tcPr>
            <w:tcW w:type="dxa" w:w="2232"/>
            <w:vAlign w:val="center"/>
          </w:tcPr>
          <w:p>
            <w:pPr>
              <w:spacing w:before="0" w:after="0" w:line="240" w:lineRule="auto"/>
              <w:jc w:val="center"/>
            </w:pPr>
            <w:r/>
            <w:r>
              <w:rPr>
                <w:rFonts w:ascii="Arial" w:hAnsi="Arial" w:eastAsia="Arial"/>
                <w:b w:val="0"/>
                <w:sz w:val="14"/>
              </w:rPr>
              <w:t>1.193 (1.084–1.314)</w:t>
            </w:r>
          </w:p>
        </w:tc>
        <w:tc>
          <w:tcPr>
            <w:tcW w:type="dxa" w:w="2232"/>
            <w:vAlign w:val="center"/>
          </w:tcPr>
          <w:p>
            <w:pPr>
              <w:spacing w:before="0" w:after="0" w:line="240" w:lineRule="auto"/>
              <w:jc w:val="center"/>
            </w:pPr>
            <w:r/>
            <w:r>
              <w:rPr>
                <w:rFonts w:ascii="Arial" w:hAnsi="Arial" w:eastAsia="Arial"/>
                <w:b w:val="0"/>
                <w:sz w:val="14"/>
              </w:rPr>
              <w:t>1.125 (1.073–1.181)</w:t>
            </w:r>
          </w:p>
        </w:tc>
        <w:tc>
          <w:tcPr>
            <w:tcW w:type="dxa" w:w="1800"/>
            <w:vAlign w:val="center"/>
          </w:tcPr>
          <w:p>
            <w:pPr>
              <w:spacing w:before="0" w:after="0" w:line="240" w:lineRule="auto"/>
              <w:jc w:val="center"/>
            </w:pPr>
            <w:r/>
            <w:r>
              <w:rPr>
                <w:rFonts w:ascii="Arial" w:hAnsi="Arial" w:eastAsia="Arial"/>
                <w:b w:val="0"/>
                <w:sz w:val="14"/>
              </w:rPr>
              <w:t>0.284</w:t>
            </w:r>
          </w:p>
        </w:tc>
        <w:tc>
          <w:tcPr>
            <w:tcW w:type="dxa" w:w="1800"/>
            <w:vAlign w:val="center"/>
          </w:tcPr>
          <w:p>
            <w:pPr>
              <w:spacing w:before="0" w:after="0" w:line="240" w:lineRule="auto"/>
              <w:jc w:val="center"/>
            </w:pPr>
            <w:r/>
            <w:r>
              <w:rPr>
                <w:rFonts w:ascii="Arial" w:hAnsi="Arial" w:eastAsia="Arial"/>
                <w:b w:val="0"/>
                <w:sz w:val="14"/>
              </w:rPr>
              <w:t>—</w:t>
            </w:r>
          </w:p>
        </w:tc>
      </w:tr>
    </w:tbl>
    <w:p>
      <w:pPr>
        <w:pStyle w:val="165"/>
        <w:keepNext/>
        <w:pageBreakBefore w:val="0"/>
        <w:spacing w:before="120" w:after="40"/>
      </w:pPr>
      <w:r>
        <w:t>Panel B. Continuous-age interaction analysis</w:t>
      </w:r>
    </w:p>
    <w:tbl>
      <w:tblPr>
        <w:tblW w:type="auto" w:w="0"/>
        <w:jc w:val="center"/>
        <w:tblLayout w:type="fixed"/>
        <w:tblLook w:firstColumn="1" w:firstRow="1" w:lastColumn="0" w:lastRow="0" w:noHBand="0" w:noVBand="1" w:val="04A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Grid>
        <w:gridCol w:w="3136"/>
        <w:gridCol w:w="3136"/>
        <w:gridCol w:w="3136"/>
        <w:gridCol w:w="3136"/>
        <w:gridCol w:w="3136"/>
      </w:tblGrid>
      <w:tr>
        <w:trPr>
          <w:tblHeader w:val="true"/>
          <w:cantSplit/>
        </w:trPr>
        <w:tc>
          <w:tcPr>
            <w:tcW w:type="dxa" w:w="1224"/>
            <w:vAlign w:val="center"/>
            <w:shd w:fill="D9EAF7"/>
          </w:tcPr>
          <w:p>
            <w:pPr>
              <w:spacing w:before="0" w:after="0" w:line="240" w:lineRule="auto"/>
              <w:jc w:val="center"/>
            </w:pPr>
            <w:r/>
            <w:r>
              <w:rPr>
                <w:rFonts w:ascii="Arial" w:hAnsi="Arial" w:eastAsia="Arial"/>
                <w:b/>
                <w:sz w:val="14"/>
              </w:rPr>
              <w:t>Cohort</w:t>
            </w:r>
          </w:p>
        </w:tc>
        <w:tc>
          <w:tcPr>
            <w:tcW w:type="dxa" w:w="2088"/>
            <w:vAlign w:val="center"/>
            <w:shd w:fill="D9EAF7"/>
          </w:tcPr>
          <w:p>
            <w:pPr>
              <w:spacing w:before="0" w:after="0" w:line="240" w:lineRule="auto"/>
              <w:jc w:val="center"/>
            </w:pPr>
            <w:r/>
            <w:r>
              <w:rPr>
                <w:rFonts w:ascii="Arial" w:hAnsi="Arial" w:eastAsia="Arial"/>
                <w:b/>
                <w:sz w:val="14"/>
              </w:rPr>
              <w:t>Component</w:t>
            </w:r>
          </w:p>
        </w:tc>
        <w:tc>
          <w:tcPr>
            <w:tcW w:type="dxa" w:w="3528"/>
            <w:vAlign w:val="center"/>
            <w:shd w:fill="D9EAF7"/>
          </w:tcPr>
          <w:p>
            <w:pPr>
              <w:spacing w:before="0" w:after="0" w:line="240" w:lineRule="auto"/>
              <w:jc w:val="center"/>
            </w:pPr>
            <w:r/>
            <w:r>
              <w:rPr>
                <w:rFonts w:ascii="Arial" w:hAnsi="Arial" w:eastAsia="Arial"/>
                <w:b/>
                <w:sz w:val="14"/>
              </w:rPr>
              <w:t>HR ratio per 10-year older age (95% CI)</w:t>
            </w:r>
          </w:p>
        </w:tc>
        <w:tc>
          <w:tcPr>
            <w:tcW w:type="dxa" w:w="2232"/>
            <w:vAlign w:val="center"/>
            <w:shd w:fill="D9EAF7"/>
          </w:tcPr>
          <w:p>
            <w:pPr>
              <w:spacing w:before="0" w:after="0" w:line="240" w:lineRule="auto"/>
              <w:jc w:val="center"/>
            </w:pPr>
            <w:r/>
            <w:r>
              <w:rPr>
                <w:rFonts w:ascii="Arial" w:hAnsi="Arial" w:eastAsia="Arial"/>
                <w:b/>
                <w:sz w:val="14"/>
              </w:rPr>
              <w:t>Component interaction P</w:t>
            </w:r>
          </w:p>
        </w:tc>
        <w:tc>
          <w:tcPr>
            <w:tcW w:type="dxa" w:w="2088"/>
            <w:vAlign w:val="center"/>
            <w:shd w:fill="D9EAF7"/>
          </w:tcPr>
          <w:p>
            <w:pPr>
              <w:spacing w:before="0" w:after="0" w:line="240" w:lineRule="auto"/>
              <w:jc w:val="center"/>
            </w:pPr>
            <w:r/>
            <w:r>
              <w:rPr>
                <w:rFonts w:ascii="Arial" w:hAnsi="Arial" w:eastAsia="Arial"/>
                <w:b/>
                <w:sz w:val="14"/>
              </w:rPr>
              <w:t>Joint interaction P</w:t>
            </w:r>
          </w:p>
        </w:tc>
      </w:tr>
      <w:tr>
        <w:trPr>
          <w:cantSplit/>
        </w:trPr>
        <w:tc>
          <w:tcPr>
            <w:tcW w:type="dxa" w:w="1224"/>
            <w:vAlign w:val="center"/>
          </w:tcPr>
          <w:p>
            <w:pPr>
              <w:spacing w:before="0" w:after="0" w:line="240" w:lineRule="auto"/>
              <w:jc w:val="left"/>
            </w:pPr>
            <w:r/>
            <w:r>
              <w:rPr>
                <w:rFonts w:ascii="Arial" w:hAnsi="Arial" w:eastAsia="Arial"/>
                <w:b w:val="0"/>
                <w:sz w:val="14"/>
              </w:rPr>
              <w:t>HRS</w:t>
            </w:r>
          </w:p>
        </w:tc>
        <w:tc>
          <w:tcPr>
            <w:tcW w:type="dxa" w:w="2088"/>
            <w:vAlign w:val="center"/>
          </w:tcPr>
          <w:p>
            <w:pPr>
              <w:spacing w:before="0" w:after="0" w:line="240" w:lineRule="auto"/>
              <w:jc w:val="left"/>
            </w:pPr>
            <w:r/>
            <w:r>
              <w:rPr>
                <w:rFonts w:ascii="Arial" w:hAnsi="Arial" w:eastAsia="Arial"/>
                <w:b w:val="0"/>
                <w:sz w:val="14"/>
              </w:rPr>
              <w:t>Prior burden</w:t>
            </w:r>
          </w:p>
        </w:tc>
        <w:tc>
          <w:tcPr>
            <w:tcW w:type="dxa" w:w="3528"/>
            <w:vAlign w:val="center"/>
          </w:tcPr>
          <w:p>
            <w:pPr>
              <w:spacing w:before="0" w:after="0" w:line="240" w:lineRule="auto"/>
              <w:jc w:val="center"/>
            </w:pPr>
            <w:r/>
            <w:r>
              <w:rPr>
                <w:rFonts w:ascii="Arial" w:hAnsi="Arial" w:eastAsia="Arial"/>
                <w:b w:val="0"/>
                <w:sz w:val="14"/>
              </w:rPr>
              <w:t>0.976 (0.899–1.061)</w:t>
            </w:r>
          </w:p>
        </w:tc>
        <w:tc>
          <w:tcPr>
            <w:tcW w:type="dxa" w:w="2232"/>
            <w:vAlign w:val="center"/>
          </w:tcPr>
          <w:p>
            <w:pPr>
              <w:spacing w:before="0" w:after="0" w:line="240" w:lineRule="auto"/>
              <w:jc w:val="center"/>
            </w:pPr>
            <w:r/>
            <w:r>
              <w:rPr>
                <w:rFonts w:ascii="Arial" w:hAnsi="Arial" w:eastAsia="Arial"/>
                <w:b w:val="0"/>
                <w:sz w:val="14"/>
              </w:rPr>
              <w:t>0.572</w:t>
            </w:r>
          </w:p>
        </w:tc>
        <w:tc>
          <w:tcPr>
            <w:tcW w:type="dxa" w:w="2088"/>
            <w:vAlign w:val="center"/>
          </w:tcPr>
          <w:p>
            <w:pPr>
              <w:spacing w:before="0" w:after="0" w:line="240" w:lineRule="auto"/>
              <w:jc w:val="center"/>
            </w:pPr>
            <w:r/>
            <w:r>
              <w:rPr>
                <w:rFonts w:ascii="Arial" w:hAnsi="Arial" w:eastAsia="Arial"/>
                <w:b w:val="0"/>
                <w:sz w:val="14"/>
              </w:rPr>
              <w:t>0.522</w:t>
            </w:r>
          </w:p>
        </w:tc>
      </w:tr>
      <w:tr>
        <w:trPr>
          <w:cantSplit/>
        </w:trPr>
        <w:tc>
          <w:tcPr>
            <w:tcW w:type="dxa" w:w="1224"/>
            <w:vAlign w:val="center"/>
          </w:tcPr>
          <w:p>
            <w:pPr>
              <w:spacing w:before="0" w:after="0" w:line="240" w:lineRule="auto"/>
              <w:jc w:val="left"/>
            </w:pPr>
            <w:r/>
            <w:r>
              <w:rPr>
                <w:rFonts w:ascii="Arial" w:hAnsi="Arial" w:eastAsia="Arial"/>
                <w:b w:val="0"/>
                <w:sz w:val="14"/>
              </w:rPr>
              <w:t>HRS</w:t>
            </w:r>
          </w:p>
        </w:tc>
        <w:tc>
          <w:tcPr>
            <w:tcW w:type="dxa" w:w="2088"/>
            <w:vAlign w:val="center"/>
          </w:tcPr>
          <w:p>
            <w:pPr>
              <w:spacing w:before="0" w:after="0" w:line="240" w:lineRule="auto"/>
              <w:jc w:val="left"/>
            </w:pPr>
            <w:r/>
            <w:r>
              <w:rPr>
                <w:rFonts w:ascii="Arial" w:hAnsi="Arial" w:eastAsia="Arial"/>
                <w:b w:val="0"/>
                <w:sz w:val="14"/>
              </w:rPr>
              <w:t>Current deviation</w:t>
            </w:r>
          </w:p>
        </w:tc>
        <w:tc>
          <w:tcPr>
            <w:tcW w:type="dxa" w:w="3528"/>
            <w:vAlign w:val="center"/>
          </w:tcPr>
          <w:p>
            <w:pPr>
              <w:spacing w:before="0" w:after="0" w:line="240" w:lineRule="auto"/>
              <w:jc w:val="center"/>
            </w:pPr>
            <w:r/>
            <w:r>
              <w:rPr>
                <w:rFonts w:ascii="Arial" w:hAnsi="Arial" w:eastAsia="Arial"/>
                <w:b w:val="0"/>
                <w:sz w:val="14"/>
              </w:rPr>
              <w:t>0.954 (0.876–1.039)</w:t>
            </w:r>
          </w:p>
        </w:tc>
        <w:tc>
          <w:tcPr>
            <w:tcW w:type="dxa" w:w="2232"/>
            <w:vAlign w:val="center"/>
          </w:tcPr>
          <w:p>
            <w:pPr>
              <w:spacing w:before="0" w:after="0" w:line="240" w:lineRule="auto"/>
              <w:jc w:val="center"/>
            </w:pPr>
            <w:r/>
            <w:r>
              <w:rPr>
                <w:rFonts w:ascii="Arial" w:hAnsi="Arial" w:eastAsia="Arial"/>
                <w:b w:val="0"/>
                <w:sz w:val="14"/>
              </w:rPr>
              <w:t>0.280</w:t>
            </w:r>
          </w:p>
        </w:tc>
        <w:tc>
          <w:tcPr>
            <w:tcW w:type="dxa" w:w="2088"/>
            <w:vAlign w:val="center"/>
          </w:tcPr>
          <w:p>
            <w:pPr>
              <w:spacing w:before="0" w:after="0" w:line="240" w:lineRule="auto"/>
              <w:jc w:val="center"/>
            </w:pPr>
            <w:r/>
            <w:r>
              <w:rPr>
                <w:rFonts w:ascii="Arial" w:hAnsi="Arial" w:eastAsia="Arial"/>
                <w:b w:val="0"/>
                <w:sz w:val="14"/>
              </w:rPr>
              <w:t>—</w:t>
            </w:r>
          </w:p>
        </w:tc>
      </w:tr>
      <w:tr>
        <w:trPr>
          <w:cantSplit/>
        </w:trPr>
        <w:tc>
          <w:tcPr>
            <w:tcW w:type="dxa" w:w="1224"/>
            <w:vAlign w:val="center"/>
          </w:tcPr>
          <w:p>
            <w:pPr>
              <w:spacing w:before="0" w:after="0" w:line="240" w:lineRule="auto"/>
              <w:jc w:val="left"/>
            </w:pPr>
            <w:r/>
            <w:r>
              <w:rPr>
                <w:rFonts w:ascii="Arial" w:hAnsi="Arial" w:eastAsia="Arial"/>
                <w:b w:val="0"/>
                <w:sz w:val="14"/>
              </w:rPr>
              <w:t>ELSA</w:t>
            </w:r>
          </w:p>
        </w:tc>
        <w:tc>
          <w:tcPr>
            <w:tcW w:type="dxa" w:w="2088"/>
            <w:vAlign w:val="center"/>
          </w:tcPr>
          <w:p>
            <w:pPr>
              <w:spacing w:before="0" w:after="0" w:line="240" w:lineRule="auto"/>
              <w:jc w:val="left"/>
            </w:pPr>
            <w:r/>
            <w:r>
              <w:rPr>
                <w:rFonts w:ascii="Arial" w:hAnsi="Arial" w:eastAsia="Arial"/>
                <w:b w:val="0"/>
                <w:sz w:val="14"/>
              </w:rPr>
              <w:t>Prior burden</w:t>
            </w:r>
          </w:p>
        </w:tc>
        <w:tc>
          <w:tcPr>
            <w:tcW w:type="dxa" w:w="3528"/>
            <w:vAlign w:val="center"/>
          </w:tcPr>
          <w:p>
            <w:pPr>
              <w:spacing w:before="0" w:after="0" w:line="240" w:lineRule="auto"/>
              <w:jc w:val="center"/>
            </w:pPr>
            <w:r/>
            <w:r>
              <w:rPr>
                <w:rFonts w:ascii="Arial" w:hAnsi="Arial" w:eastAsia="Arial"/>
                <w:b w:val="0"/>
                <w:sz w:val="14"/>
              </w:rPr>
              <w:t>0.940 (0.794–1.114)</w:t>
            </w:r>
          </w:p>
        </w:tc>
        <w:tc>
          <w:tcPr>
            <w:tcW w:type="dxa" w:w="2232"/>
            <w:vAlign w:val="center"/>
          </w:tcPr>
          <w:p>
            <w:pPr>
              <w:spacing w:before="0" w:after="0" w:line="240" w:lineRule="auto"/>
              <w:jc w:val="center"/>
            </w:pPr>
            <w:r/>
            <w:r>
              <w:rPr>
                <w:rFonts w:ascii="Arial" w:hAnsi="Arial" w:eastAsia="Arial"/>
                <w:b w:val="0"/>
                <w:sz w:val="14"/>
              </w:rPr>
              <w:t>0.478</w:t>
            </w:r>
          </w:p>
        </w:tc>
        <w:tc>
          <w:tcPr>
            <w:tcW w:type="dxa" w:w="2088"/>
            <w:vAlign w:val="center"/>
          </w:tcPr>
          <w:p>
            <w:pPr>
              <w:spacing w:before="0" w:after="0" w:line="240" w:lineRule="auto"/>
              <w:jc w:val="center"/>
            </w:pPr>
            <w:r/>
            <w:r>
              <w:rPr>
                <w:rFonts w:ascii="Arial" w:hAnsi="Arial" w:eastAsia="Arial"/>
                <w:b w:val="0"/>
                <w:sz w:val="14"/>
              </w:rPr>
              <w:t>0.093</w:t>
            </w:r>
          </w:p>
        </w:tc>
      </w:tr>
      <w:tr>
        <w:trPr>
          <w:cantSplit/>
        </w:trPr>
        <w:tc>
          <w:tcPr>
            <w:tcW w:type="dxa" w:w="1224"/>
            <w:vAlign w:val="center"/>
          </w:tcPr>
          <w:p>
            <w:pPr>
              <w:spacing w:before="0" w:after="0" w:line="240" w:lineRule="auto"/>
              <w:jc w:val="left"/>
            </w:pPr>
            <w:r/>
            <w:r>
              <w:rPr>
                <w:rFonts w:ascii="Arial" w:hAnsi="Arial" w:eastAsia="Arial"/>
                <w:b w:val="0"/>
                <w:sz w:val="14"/>
              </w:rPr>
              <w:t>ELSA</w:t>
            </w:r>
          </w:p>
        </w:tc>
        <w:tc>
          <w:tcPr>
            <w:tcW w:type="dxa" w:w="2088"/>
            <w:vAlign w:val="center"/>
          </w:tcPr>
          <w:p>
            <w:pPr>
              <w:spacing w:before="0" w:after="0" w:line="240" w:lineRule="auto"/>
              <w:jc w:val="left"/>
            </w:pPr>
            <w:r/>
            <w:r>
              <w:rPr>
                <w:rFonts w:ascii="Arial" w:hAnsi="Arial" w:eastAsia="Arial"/>
                <w:b w:val="0"/>
                <w:sz w:val="14"/>
              </w:rPr>
              <w:t>Current deviation</w:t>
            </w:r>
          </w:p>
        </w:tc>
        <w:tc>
          <w:tcPr>
            <w:tcW w:type="dxa" w:w="3528"/>
            <w:vAlign w:val="center"/>
          </w:tcPr>
          <w:p>
            <w:pPr>
              <w:spacing w:before="0" w:after="0" w:line="240" w:lineRule="auto"/>
              <w:jc w:val="center"/>
            </w:pPr>
            <w:r/>
            <w:r>
              <w:rPr>
                <w:rFonts w:ascii="Arial" w:hAnsi="Arial" w:eastAsia="Arial"/>
                <w:b w:val="0"/>
                <w:sz w:val="14"/>
              </w:rPr>
              <w:t>1.113 (0.968–1.278)</w:t>
            </w:r>
          </w:p>
        </w:tc>
        <w:tc>
          <w:tcPr>
            <w:tcW w:type="dxa" w:w="2232"/>
            <w:vAlign w:val="center"/>
          </w:tcPr>
          <w:p>
            <w:pPr>
              <w:spacing w:before="0" w:after="0" w:line="240" w:lineRule="auto"/>
              <w:jc w:val="center"/>
            </w:pPr>
            <w:r/>
            <w:r>
              <w:rPr>
                <w:rFonts w:ascii="Arial" w:hAnsi="Arial" w:eastAsia="Arial"/>
                <w:b w:val="0"/>
                <w:sz w:val="14"/>
              </w:rPr>
              <w:t>0.132</w:t>
            </w:r>
          </w:p>
        </w:tc>
        <w:tc>
          <w:tcPr>
            <w:tcW w:type="dxa" w:w="2088"/>
            <w:vAlign w:val="center"/>
          </w:tcPr>
          <w:p>
            <w:pPr>
              <w:spacing w:before="0" w:after="0" w:line="240" w:lineRule="auto"/>
              <w:jc w:val="center"/>
            </w:pPr>
            <w:r/>
            <w:r>
              <w:rPr>
                <w:rFonts w:ascii="Arial" w:hAnsi="Arial" w:eastAsia="Arial"/>
                <w:b w:val="0"/>
                <w:sz w:val="14"/>
              </w:rPr>
              <w:t>—</w:t>
            </w:r>
          </w:p>
        </w:tc>
      </w:tr>
      <w:tr>
        <w:trPr>
          <w:cantSplit/>
        </w:trPr>
        <w:tc>
          <w:tcPr>
            <w:tcW w:type="dxa" w:w="1224"/>
            <w:vAlign w:val="center"/>
          </w:tcPr>
          <w:p>
            <w:pPr>
              <w:spacing w:before="0" w:after="0" w:line="240" w:lineRule="auto"/>
              <w:jc w:val="left"/>
            </w:pPr>
            <w:r/>
            <w:r>
              <w:rPr>
                <w:rFonts w:ascii="Arial" w:hAnsi="Arial" w:eastAsia="Arial"/>
                <w:b w:val="0"/>
                <w:sz w:val="14"/>
              </w:rPr>
              <w:t>SHARE</w:t>
            </w:r>
          </w:p>
        </w:tc>
        <w:tc>
          <w:tcPr>
            <w:tcW w:type="dxa" w:w="2088"/>
            <w:vAlign w:val="center"/>
          </w:tcPr>
          <w:p>
            <w:pPr>
              <w:spacing w:before="0" w:after="0" w:line="240" w:lineRule="auto"/>
              <w:jc w:val="left"/>
            </w:pPr>
            <w:r/>
            <w:r>
              <w:rPr>
                <w:rFonts w:ascii="Arial" w:hAnsi="Arial" w:eastAsia="Arial"/>
                <w:b w:val="0"/>
                <w:sz w:val="14"/>
              </w:rPr>
              <w:t>Prior burden</w:t>
            </w:r>
          </w:p>
        </w:tc>
        <w:tc>
          <w:tcPr>
            <w:tcW w:type="dxa" w:w="3528"/>
            <w:vAlign w:val="center"/>
          </w:tcPr>
          <w:p>
            <w:pPr>
              <w:spacing w:before="0" w:after="0" w:line="240" w:lineRule="auto"/>
              <w:jc w:val="center"/>
            </w:pPr>
            <w:r/>
            <w:r>
              <w:rPr>
                <w:rFonts w:ascii="Arial" w:hAnsi="Arial" w:eastAsia="Arial"/>
                <w:b w:val="0"/>
                <w:sz w:val="14"/>
              </w:rPr>
              <w:t>0.928 (0.886–0.971)</w:t>
            </w:r>
          </w:p>
        </w:tc>
        <w:tc>
          <w:tcPr>
            <w:tcW w:type="dxa" w:w="2232"/>
            <w:vAlign w:val="center"/>
          </w:tcPr>
          <w:p>
            <w:pPr>
              <w:spacing w:before="0" w:after="0" w:line="240" w:lineRule="auto"/>
              <w:jc w:val="center"/>
            </w:pPr>
            <w:r/>
            <w:r>
              <w:rPr>
                <w:rFonts w:ascii="Arial" w:hAnsi="Arial" w:eastAsia="Arial"/>
                <w:b w:val="0"/>
                <w:sz w:val="14"/>
              </w:rPr>
              <w:t>0.001</w:t>
            </w:r>
          </w:p>
        </w:tc>
        <w:tc>
          <w:tcPr>
            <w:tcW w:type="dxa" w:w="2088"/>
            <w:vAlign w:val="center"/>
          </w:tcPr>
          <w:p>
            <w:pPr>
              <w:spacing w:before="0" w:after="0" w:line="240" w:lineRule="auto"/>
              <w:jc w:val="center"/>
            </w:pPr>
            <w:r/>
            <w:r>
              <w:rPr>
                <w:rFonts w:ascii="Arial" w:hAnsi="Arial" w:eastAsia="Arial"/>
                <w:b w:val="0"/>
                <w:sz w:val="14"/>
              </w:rPr>
              <w:t>0.002</w:t>
            </w:r>
          </w:p>
        </w:tc>
      </w:tr>
      <w:tr>
        <w:trPr>
          <w:cantSplit/>
        </w:trPr>
        <w:tc>
          <w:tcPr>
            <w:tcW w:type="dxa" w:w="1224"/>
            <w:vAlign w:val="center"/>
          </w:tcPr>
          <w:p>
            <w:pPr>
              <w:spacing w:before="0" w:after="0" w:line="240" w:lineRule="auto"/>
              <w:jc w:val="left"/>
            </w:pPr>
            <w:r/>
            <w:r>
              <w:rPr>
                <w:rFonts w:ascii="Arial" w:hAnsi="Arial" w:eastAsia="Arial"/>
                <w:b w:val="0"/>
                <w:sz w:val="14"/>
              </w:rPr>
              <w:t>SHARE</w:t>
            </w:r>
          </w:p>
        </w:tc>
        <w:tc>
          <w:tcPr>
            <w:tcW w:type="dxa" w:w="2088"/>
            <w:vAlign w:val="center"/>
          </w:tcPr>
          <w:p>
            <w:pPr>
              <w:spacing w:before="0" w:after="0" w:line="240" w:lineRule="auto"/>
              <w:jc w:val="left"/>
            </w:pPr>
            <w:r/>
            <w:r>
              <w:rPr>
                <w:rFonts w:ascii="Arial" w:hAnsi="Arial" w:eastAsia="Arial"/>
                <w:b w:val="0"/>
                <w:sz w:val="14"/>
              </w:rPr>
              <w:t>Current deviation</w:t>
            </w:r>
          </w:p>
        </w:tc>
        <w:tc>
          <w:tcPr>
            <w:tcW w:type="dxa" w:w="3528"/>
            <w:vAlign w:val="center"/>
          </w:tcPr>
          <w:p>
            <w:pPr>
              <w:spacing w:before="0" w:after="0" w:line="240" w:lineRule="auto"/>
              <w:jc w:val="center"/>
            </w:pPr>
            <w:r/>
            <w:r>
              <w:rPr>
                <w:rFonts w:ascii="Arial" w:hAnsi="Arial" w:eastAsia="Arial"/>
                <w:b w:val="0"/>
                <w:sz w:val="14"/>
              </w:rPr>
              <w:t>0.954 (0.912–0.997)</w:t>
            </w:r>
          </w:p>
        </w:tc>
        <w:tc>
          <w:tcPr>
            <w:tcW w:type="dxa" w:w="2232"/>
            <w:vAlign w:val="center"/>
          </w:tcPr>
          <w:p>
            <w:pPr>
              <w:spacing w:before="0" w:after="0" w:line="240" w:lineRule="auto"/>
              <w:jc w:val="center"/>
            </w:pPr>
            <w:r/>
            <w:r>
              <w:rPr>
                <w:rFonts w:ascii="Arial" w:hAnsi="Arial" w:eastAsia="Arial"/>
                <w:b w:val="0"/>
                <w:sz w:val="14"/>
              </w:rPr>
              <w:t>0.038</w:t>
            </w:r>
          </w:p>
        </w:tc>
        <w:tc>
          <w:tcPr>
            <w:tcW w:type="dxa" w:w="2088"/>
            <w:vAlign w:val="center"/>
          </w:tcPr>
          <w:p>
            <w:pPr>
              <w:spacing w:before="0" w:after="0" w:line="240" w:lineRule="auto"/>
              <w:jc w:val="center"/>
            </w:pPr>
            <w:r/>
            <w:r>
              <w:rPr>
                <w:rFonts w:ascii="Arial" w:hAnsi="Arial" w:eastAsia="Arial"/>
                <w:b w:val="0"/>
                <w:sz w:val="14"/>
              </w:rPr>
              <w:t>—</w:t>
            </w:r>
          </w:p>
        </w:tc>
      </w:tr>
    </w:tbl>
    <w:p>
      <w:pPr>
        <w:pStyle w:val="166"/>
        <w:keepNext w:val="0"/>
        <w:pageBreakBefore w:val="0"/>
        <w:spacing w:before="80" w:after="120"/>
      </w:pPr>
      <w:r>
        <w:t>Note. Age group was defined at the start of each risk interval. Participants could contribute risk intervals to both age groups as they aged during follow-up. Panel A hazard ratios were derived from the same cohort-specific interaction model and are expressed per the scaling used in the primary models (cohort-specific SD in HRS and ELSA and the fixed Wave-1 EURO-D SD in SHARE). The 50–64-year and ≥65-year strata contributed 6,062/171 and 11,549/650 person-waves/events in HRS, 3,702/78 and 5,546/341 in ELSA, and 16,903/571 and 30,392/2,221 in SHARE, respectively. Panel B models age continuously in 10-year units centered at 65 years. The HR ratio per 10-year older age is the multiplicative change in the component-specific HR associated with a 10-year increase in age; values below 1 indicate attenuation of the relative association with older age. All models included prior burden and current deviation simultaneously, retained the cohort-specific covariate adjustment and interval structure of the primary analysis, and used participant-clustered standard errors. Joint interaction P values test the two age-by-component interaction terms simultaneously. CI, confidence interval; HR, hazard ratio.</w:t>
      </w:r>
    </w:p>
    <w:p w14:paraId="522332CD">
      <w:pPr>
        <w:keepNext/>
        <w:spacing w:before="120"/>
      </w:pPr>
      <w:r>
        <w:rPr>
          <w:rFonts w:ascii="Arial" w:hAnsi="Arial" w:eastAsia="Arial"/>
          <w:b/>
          <w:i w:val="0"/>
          <w:color w:val="355C7D"/>
          <w:sz w:val="16"/>
        </w:rPr>
        <w:t>General abbreviations</w:t>
      </w:r>
    </w:p>
    <w:p w14:paraId="3211E171">
      <w:pPr>
        <w:spacing w:before="20" w:after="0" w:line="240" w:lineRule="auto"/>
        <w:rPr>
          <w:rFonts w:ascii="Arial" w:hAnsi="Arial" w:eastAsia="Arial"/>
          <w:b w:val="0"/>
          <w:i w:val="0"/>
          <w:sz w:val="14"/>
        </w:rPr>
      </w:pPr>
      <w:r>
        <w:rPr>
          <w:rFonts w:ascii="Arial" w:hAnsi="Arial" w:eastAsia="Arial"/>
          <w:b w:val="0"/>
          <w:i w:val="0"/>
          <w:sz w:val="14"/>
        </w:rPr>
        <w:t>BMI, body mass index; CES-D, Center for Epidemiologic Studies Depression scale; ELSA, English Longitudinal Study of Ageing; EURO-D, European Depression scale; HRS, Health and Retirement Study; HR, hazard ratio; IPW, inverse-probability weighting; OR, odds ratio; SHARE, Survey of Health, Ageing and Retirement in Europe; SMD, standardized mean difference; sTNFR1, soluble tumor necrosis factor receptor 1; VIF, variance inflation factor.</w:t>
      </w:r>
    </w:p>
    <w:p w14:paraId="3B6A5C51">
      <w:pPr>
        <w:spacing w:before="20" w:after="0" w:line="240" w:lineRule="auto"/>
        <w:rPr>
          <w:rFonts w:ascii="Arial" w:hAnsi="Arial" w:eastAsia="Arial"/>
          <w:b w:val="0"/>
          <w:i w:val="0"/>
          <w:sz w:val="14"/>
        </w:rPr>
      </w:pPr>
    </w:p>
    <w:p w14:paraId="718754CE">
      <w:pPr>
        <w:spacing w:before="20" w:after="0" w:line="240" w:lineRule="auto"/>
        <w:rPr>
          <w:rFonts w:ascii="Arial" w:hAnsi="Arial" w:eastAsia="Arial"/>
          <w:b w:val="0"/>
          <w:i w:val="0"/>
          <w:sz w:val="14"/>
        </w:rPr>
      </w:pPr>
    </w:p>
    <w:p w14:paraId="655D0770">
      <w:pPr>
        <w:spacing w:before="20" w:after="0" w:line="240" w:lineRule="auto"/>
        <w:rPr>
          <w:rFonts w:ascii="Arial" w:hAnsi="Arial" w:eastAsia="Arial"/>
          <w:b w:val="0"/>
          <w:i w:val="0"/>
          <w:sz w:val="14"/>
        </w:rPr>
      </w:pPr>
    </w:p>
    <w:p w14:paraId="02D29F7C">
      <w:pPr>
        <w:spacing w:before="20" w:after="0" w:line="240" w:lineRule="auto"/>
        <w:rPr>
          <w:rFonts w:ascii="Arial" w:hAnsi="Arial" w:eastAsia="Arial"/>
          <w:b w:val="0"/>
          <w:i w:val="0"/>
          <w:sz w:val="14"/>
        </w:rPr>
      </w:pPr>
    </w:p>
    <w:p w14:paraId="3D32168C">
      <w:pPr>
        <w:spacing w:before="20" w:after="0" w:line="240" w:lineRule="auto"/>
        <w:rPr>
          <w:rFonts w:ascii="Arial" w:hAnsi="Arial" w:eastAsia="Arial"/>
          <w:b w:val="0"/>
          <w:i w:val="0"/>
          <w:sz w:val="14"/>
        </w:rPr>
      </w:pPr>
    </w:p>
    <w:p w14:paraId="4D48537E">
      <w:pPr>
        <w:keepNext/>
        <w:spacing w:before="20" w:after="0" w:line="240" w:lineRule="auto"/>
        <w:rPr>
          <w:rFonts w:hint="eastAsia" w:ascii="Arial" w:hAnsi="Arial" w:eastAsia="宋体"/>
          <w:b w:val="0"/>
          <w:i w:val="0"/>
          <w:sz w:val="14"/>
          <w:lang w:eastAsia="zh-CN"/>
        </w:rPr>
      </w:pPr>
      <w:r>
        <w:rPr>
          <w:rFonts w:hint="eastAsia" w:ascii="Arial" w:hAnsi="Arial" w:eastAsia="宋体"/>
          <w:b w:val="0"/>
          <w:i w:val="0"/>
          <w:sz w:val="14"/>
          <w:lang w:eastAsia="zh-CN"/>
        </w:rPr>
        <w:drawing>
          <wp:inline distT="0" distB="0" distL="114300" distR="114300">
            <wp:extent cx="6478270" cy="5687695"/>
            <wp:effectExtent l="0" t="0" r="11430" b="1905"/>
            <wp:docPr id="1" name="图片 1" descr="Figure_S1_Cohort_Analytic_Sample_Derivation_CLEAN_FINAL_FIX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_S1_Cohort_Analytic_Sample_Derivation_CLEAN_FINAL_FIXED"/>
                    <pic:cNvPicPr>
                      <a:picLocks noChangeAspect="1"/>
                    </pic:cNvPicPr>
                  </pic:nvPicPr>
                  <pic:blipFill>
                    <a:blip r:embed="rId7"/>
                    <a:stretch>
                      <a:fillRect/>
                    </a:stretch>
                  </pic:blipFill>
                  <pic:spPr>
                    <a:xfrm>
                      <a:off x="0" y="0"/>
                      <a:ext cx="6478270" cy="5687695"/>
                    </a:xfrm>
                    <a:prstGeom prst="rect">
                      <a:avLst/>
                    </a:prstGeom>
                  </pic:spPr>
                </pic:pic>
              </a:graphicData>
            </a:graphic>
          </wp:inline>
        </w:drawing>
      </w:r>
    </w:p>
    <w:p w14:paraId="76C7C663">
      <w:pPr>
        <w:keepLines/>
        <w:spacing w:before="80" w:after="0" w:line="240" w:lineRule="auto"/>
        <w:jc w:val="both"/>
      </w:pPr>
      <w:r>
        <w:rPr>
          <w:rFonts w:ascii="Arial" w:hAnsi="Arial"/>
          <w:b/>
          <w:sz w:val="17"/>
        </w:rPr>
        <w:t>Supplementary Figure S1. Cohort-specific analytic branches and analysis sample roles. The diagram shows the HRS adversity-formation, dynamic-decomposition, biomarker, and reweighting branches; the SHARE independent EURO-D and robustness branches; and the ELSA second CES-D-8 evaluation and reweighting branches. Detailed sample derivation is reported in Table S2. E, incident heart-disease events; PW, person-waves.</w:t>
      </w:r>
    </w:p>
    <w:p w14:paraId="1C5F9914">
      <w:pPr>
        <w:keepNext/>
        <w:pageBreakBefore/>
        <w:spacing w:before="20" w:after="0" w:line="240" w:lineRule="auto"/>
        <w:rPr>
          <w:rFonts w:hint="eastAsia" w:ascii="Arial" w:hAnsi="Arial" w:eastAsia="宋体"/>
          <w:b w:val="0"/>
          <w:i w:val="0"/>
          <w:sz w:val="14"/>
          <w:lang w:eastAsia="zh-CN"/>
        </w:rPr>
      </w:pPr>
      <w:r>
        <w:rPr>
          <w:rFonts w:hint="eastAsia" w:ascii="Arial" w:hAnsi="Arial" w:eastAsia="宋体"/>
          <w:b w:val="0"/>
          <w:i w:val="0"/>
          <w:sz w:val="14"/>
          <w:lang w:eastAsia="zh-CN"/>
        </w:rPr>
        <w:drawing>
          <wp:inline distT="0" distB="0" distL="114300" distR="114300">
            <wp:extent cx="6478270" cy="3311525"/>
            <wp:effectExtent l="0" t="0" r="11430" b="3175"/>
            <wp:docPr id="2" name="图片 2" descr="Figure_S2_Three_Cohort_Common_Diagnostics_FINAL_LOCKED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_S2_Three_Cohort_Common_Diagnostics_FINAL_LOCKED_V2"/>
                    <pic:cNvPicPr>
                      <a:picLocks noChangeAspect="1"/>
                    </pic:cNvPicPr>
                  </pic:nvPicPr>
                  <pic:blipFill>
                    <a:blip r:embed="rId8"/>
                    <a:stretch>
                      <a:fillRect/>
                    </a:stretch>
                  </pic:blipFill>
                  <pic:spPr>
                    <a:xfrm>
                      <a:off x="0" y="0"/>
                      <a:ext cx="6478270" cy="3311525"/>
                    </a:xfrm>
                    <a:prstGeom prst="rect">
                      <a:avLst/>
                    </a:prstGeom>
                  </pic:spPr>
                </pic:pic>
              </a:graphicData>
            </a:graphic>
          </wp:inline>
        </w:drawing>
      </w:r>
    </w:p>
    <w:p w14:paraId="7F138F6A">
      <w:pPr>
        <w:keepLines/>
        <w:spacing w:before="80" w:after="0" w:line="240" w:lineRule="auto"/>
        <w:jc w:val="both"/>
      </w:pPr>
      <w:r>
        <w:rPr>
          <w:rFonts w:ascii="Arial" w:hAnsi="Arial"/>
          <w:b/>
          <w:sz w:val="17"/>
        </w:rPr>
        <w:t>Supplementary Figure S2. Decomposition diagnostics in the three analytic cohorts. Pearson correlations between prior burden and current deviation and variance inflation factors from the joint model are shown on the exact primary person-wave samples. Prior burden used only psychological assessments strictly before the current wave; the current snapshot was modeled separately because it equals prior burden plus current deviation by construction. Correlations were modest and variance inflation factors were low in all cohorts, including ELSA, providing no evidence of problematic multicollinearity. E, incident heart-disease events; PW, person-waves; VIF, variance inflation factor.</w:t>
      </w:r>
    </w:p>
    <w:p w14:paraId="69DEB29D">
      <w:pPr>
        <w:keepNext/>
        <w:pageBreakBefore/>
        <w:spacing w:before="20" w:after="0" w:line="240" w:lineRule="auto"/>
        <w:rPr>
          <w:rFonts w:hint="eastAsia" w:ascii="Arial" w:hAnsi="Arial" w:eastAsia="宋体"/>
          <w:b w:val="0"/>
          <w:i w:val="0"/>
          <w:sz w:val="14"/>
          <w:lang w:eastAsia="zh-CN"/>
        </w:rPr>
      </w:pPr>
      <w:r>
        <w:rPr>
          <w:rFonts w:hint="eastAsia" w:ascii="Arial" w:hAnsi="Arial" w:eastAsia="宋体"/>
          <w:b w:val="0"/>
          <w:i w:val="0"/>
          <w:sz w:val="14"/>
          <w:lang w:eastAsia="zh-CN"/>
        </w:rPr>
        <w:drawing>
          <wp:inline distT="0" distB="0" distL="114300" distR="114300">
            <wp:extent cx="6478270" cy="5111750"/>
            <wp:effectExtent l="0" t="0" r="11430" b="6350"/>
            <wp:docPr id="3" name="图片 3" descr="Figure_S3_Selected_Robustness_Forest_FINAL_LOCKED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_S3_Selected_Robustness_Forest_FINAL_LOCKED_V2"/>
                    <pic:cNvPicPr>
                      <a:picLocks noChangeAspect="1"/>
                    </pic:cNvPicPr>
                  </pic:nvPicPr>
                  <pic:blipFill>
                    <a:blip r:embed="rId9"/>
                    <a:stretch>
                      <a:fillRect/>
                    </a:stretch>
                  </pic:blipFill>
                  <pic:spPr>
                    <a:xfrm>
                      <a:off x="0" y="0"/>
                      <a:ext cx="6478270" cy="5111750"/>
                    </a:xfrm>
                    <a:prstGeom prst="rect">
                      <a:avLst/>
                    </a:prstGeom>
                  </pic:spPr>
                </pic:pic>
              </a:graphicData>
            </a:graphic>
          </wp:inline>
        </w:drawing>
      </w:r>
    </w:p>
    <w:p w14:paraId="705177DD">
      <w:pPr>
        <w:keepLines/>
        <w:spacing w:before="80" w:after="0" w:line="240" w:lineRule="auto"/>
        <w:jc w:val="both"/>
      </w:pPr>
      <w:r>
        <w:rPr>
          <w:rFonts w:ascii="Arial" w:hAnsi="Arial"/>
          <w:b/>
          <w:sz w:val="17"/>
        </w:rPr>
        <w:t>Supplementary Figure S3. Robustness of prior-burden and current-deviation associations with incident heart disease. Filled diamonds denote primary joint-model estimates and open circles denote prespecified sensitivity analyses. HRS and ELSA estimates are per cohort-specific SD; SHARE estimates are per fixed Wave-1 EURO-D SD. The dashed vertical line denotes HR=1. Complete-history, recent-two, history-count, observation-IPW, interval-exclusion, country-clustered, and harmonized-core analyses are shown where applicable. CI, confidence interval; HR, hazard ratio; IPW, inverse-probability weighting; SD, standard deviation.</w:t>
      </w:r>
    </w:p>
    <w:p w14:paraId="63A243E7">
      <w:pPr>
        <w:keepNext/>
        <w:pageBreakBefore/>
        <w:spacing w:before="20" w:after="0" w:line="240" w:lineRule="auto"/>
        <w:rPr>
          <w:rFonts w:hint="eastAsia" w:ascii="Arial" w:hAnsi="Arial" w:eastAsia="宋体"/>
          <w:b w:val="0"/>
          <w:i w:val="0"/>
          <w:sz w:val="14"/>
          <w:lang w:eastAsia="zh-CN"/>
        </w:rPr>
      </w:pPr>
      <w:r>
        <w:rPr>
          <w:rFonts w:hint="eastAsia" w:ascii="Arial" w:hAnsi="Arial" w:eastAsia="宋体"/>
          <w:b w:val="0"/>
          <w:i w:val="0"/>
          <w:sz w:val="14"/>
          <w:lang w:eastAsia="zh-CN"/>
        </w:rPr>
        <w:drawing>
          <wp:inline distT="0" distB="0" distL="114300" distR="114300">
            <wp:extent cx="6478270" cy="5399405"/>
            <wp:effectExtent l="0" t="0" r="11430" b="10795"/>
            <wp:docPr id="4" name="图片 4" descr="Figure_S4_SHARE_Leave_One_Country_Out_FINAL_LOCKED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_S4_SHARE_Leave_One_Country_Out_FINAL_LOCKED_V2"/>
                    <pic:cNvPicPr>
                      <a:picLocks noChangeAspect="1"/>
                    </pic:cNvPicPr>
                  </pic:nvPicPr>
                  <pic:blipFill>
                    <a:blip r:embed="rId10"/>
                    <a:stretch>
                      <a:fillRect/>
                    </a:stretch>
                  </pic:blipFill>
                  <pic:spPr>
                    <a:xfrm>
                      <a:off x="0" y="0"/>
                      <a:ext cx="6478270" cy="5399405"/>
                    </a:xfrm>
                    <a:prstGeom prst="rect">
                      <a:avLst/>
                    </a:prstGeom>
                  </pic:spPr>
                </pic:pic>
              </a:graphicData>
            </a:graphic>
          </wp:inline>
        </w:drawing>
      </w:r>
    </w:p>
    <w:p w14:paraId="57E220B5">
      <w:pPr>
        <w:keepLines/>
        <w:spacing w:before="80" w:after="0" w:line="240" w:lineRule="auto"/>
        <w:jc w:val="both"/>
      </w:pPr>
      <w:r>
        <w:rPr>
          <w:rFonts w:ascii="Arial" w:hAnsi="Arial"/>
          <w:b/>
          <w:sz w:val="17"/>
        </w:rPr>
        <w:t>Supplementary Figure S4. SHARE leave-one-country-out analyses. The full SHARE estimate is shown by the filled diamond; open circles show estimates after omitting each country in turn. Prior burden and current deviation were estimated jointly using the primary SHARE specification. All point estimates remained above 1 across the 17 country-omission analyses. CI, confidence interval; HR, hazard ratio.</w:t>
      </w:r>
    </w:p>
    <w:p w14:paraId="34BA4B28">
      <w:pPr>
        <w:keepNext/>
        <w:pageBreakBefore/>
        <w:spacing w:before="20" w:after="0" w:line="240" w:lineRule="auto"/>
        <w:rPr>
          <w:rFonts w:hint="eastAsia" w:ascii="Arial" w:hAnsi="Arial" w:eastAsia="宋体"/>
          <w:b w:val="0"/>
          <w:i w:val="0"/>
          <w:sz w:val="14"/>
          <w:lang w:eastAsia="zh-CN"/>
        </w:rPr>
      </w:pPr>
      <w:r>
        <w:rPr>
          <w:rFonts w:hint="eastAsia" w:ascii="Arial" w:hAnsi="Arial" w:eastAsia="宋体"/>
          <w:b w:val="0"/>
          <w:i w:val="0"/>
          <w:sz w:val="14"/>
          <w:lang w:eastAsia="zh-CN"/>
        </w:rPr>
        <w:drawing>
          <wp:inline distT="0" distB="0" distL="114300" distR="114300">
            <wp:extent cx="6478270" cy="5759450"/>
            <wp:effectExtent l="0" t="0" r="11430" b="6350"/>
            <wp:docPr id="5" name="图片 5" descr="Figure_S5_HRS_ELSA_Transport_Diagnostics_V3_STYLE_AL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_S5_HRS_ELSA_Transport_Diagnostics_V3_STYLE_ALIGNED"/>
                    <pic:cNvPicPr>
                      <a:picLocks noChangeAspect="1"/>
                    </pic:cNvPicPr>
                  </pic:nvPicPr>
                  <pic:blipFill>
                    <a:blip r:embed="rId11"/>
                    <a:stretch>
                      <a:fillRect/>
                    </a:stretch>
                  </pic:blipFill>
                  <pic:spPr>
                    <a:xfrm>
                      <a:off x="0" y="0"/>
                      <a:ext cx="6478270" cy="5759450"/>
                    </a:xfrm>
                    <a:prstGeom prst="rect">
                      <a:avLst/>
                    </a:prstGeom>
                  </pic:spPr>
                </pic:pic>
              </a:graphicData>
            </a:graphic>
          </wp:inline>
        </w:drawing>
      </w:r>
      <w:bookmarkStart w:id="0" w:name="_GoBack"/>
      <w:bookmarkEnd w:id="0"/>
    </w:p>
    <w:p w14:paraId="6483B6B2">
      <w:pPr>
        <w:keepLines/>
        <w:spacing w:before="80" w:after="0" w:line="240" w:lineRule="auto"/>
        <w:jc w:val="both"/>
      </w:pPr>
      <w:r>
        <w:rPr>
          <w:rFonts w:ascii="Arial" w:hAnsi="Arial"/>
          <w:b/>
          <w:sz w:val="17"/>
        </w:rPr>
        <w:t>Supplementary Figure S5.</w:t>
      </w:r>
      <w:r>
        <w:rPr>
          <w:rFonts w:ascii="Arial" w:hAnsi="Arial"/>
          <w:sz w:val="17"/>
        </w:rPr>
        <w:t xml:space="preserve"> HRS-to-ELSA reweighting diagnostics. (A) Absolute standardized mean differences before and after weighting for measured baseline covariates; the dashed line marks 0.10. (B) Overlap of cohort-membership propensity distributions within the common-support region. (C) Weighting and resampling diagnostics, including maximum standardized mean difference, effective sample size, support coverage, reweighted sample size, and successful bootstrap replications. Weights reweighted HRS to the measured baseline composition of ELSA and do not establish causal transportability. ESS, effective sample size; SMD, standardized mean difference.</w:t>
      </w:r>
    </w:p>
    <w:sectPr>
      <w:pgSz w:w="16834" w:h="11909" w:orient="landscape"/>
      <w:pgMar w:top="605" w:right="576" w:bottom="648" w:left="576" w:header="259" w:footer="259"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F6B63">
    <w:pPr>
      <w:pStyle w:val="2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B94EE6"/>
    <w:rsid w:val="13EE1374"/>
    <w:rsid w:val="2AC02483"/>
    <w:rsid w:val="4CD66DA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Arial" w:hAnsi="Arial" w:eastAsia="Arial" w:cstheme="minorBidi"/>
      <w:sz w:val="18"/>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 w:type="paragraph" w:customStyle="1" w:styleId="164">
    <w:name w:val="Table Title"/>
    <w:uiPriority w:val="0"/>
    <w:pPr>
      <w:keepNext/>
      <w:spacing w:before="0" w:after="100" w:line="276" w:lineRule="auto"/>
    </w:pPr>
    <w:rPr>
      <w:rFonts w:ascii="Arial" w:hAnsi="Arial" w:eastAsiaTheme="minorEastAsia" w:cstheme="minorBidi"/>
      <w:b/>
      <w:sz w:val="21"/>
      <w:szCs w:val="22"/>
      <w:lang w:val="en-US" w:eastAsia="en-US" w:bidi="ar-SA"/>
    </w:rPr>
  </w:style>
  <w:style w:type="paragraph" w:customStyle="1" w:styleId="165">
    <w:name w:val="Panel Heading"/>
    <w:qFormat/>
    <w:uiPriority w:val="0"/>
    <w:pPr>
      <w:keepNext/>
      <w:spacing w:before="80" w:after="40" w:line="276" w:lineRule="auto"/>
    </w:pPr>
    <w:rPr>
      <w:rFonts w:ascii="Arial" w:hAnsi="Arial" w:eastAsiaTheme="minorEastAsia" w:cstheme="minorBidi"/>
      <w:b/>
      <w:sz w:val="17"/>
      <w:szCs w:val="22"/>
      <w:lang w:val="en-US" w:eastAsia="en-US" w:bidi="ar-SA"/>
    </w:rPr>
  </w:style>
  <w:style w:type="paragraph" w:customStyle="1" w:styleId="166">
    <w:name w:val="Table Note"/>
    <w:uiPriority w:val="0"/>
    <w:pPr>
      <w:spacing w:before="60" w:after="80" w:line="240" w:lineRule="auto"/>
    </w:pPr>
    <w:rPr>
      <w:rFonts w:ascii="Arial" w:hAnsi="Arial" w:eastAsiaTheme="minorEastAsia" w:cstheme="minorBidi"/>
      <w:sz w:val="14"/>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4250</Words>
  <Characters>29852</Characters>
  <Lines>0</Lines>
  <Paragraphs>0</Paragraphs>
  <TotalTime>6</TotalTime>
  <ScaleCrop>false</ScaleCrop>
  <LinksUpToDate>false</LinksUpToDate>
  <CharactersWithSpaces>33176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from final locked Script 127 tables.</dc:description>
  <cp:keywords>Life-Inflame CVD; supplementary material; tables</cp:keywords>
  <cp:lastModifiedBy>江伟</cp:lastModifiedBy>
  <dcterms:modified xsi:type="dcterms:W3CDTF">2026-07-04T02:45:50Z</dcterms:modified>
  <dc:subject>Final locked supplementary tables</dc:subject>
  <dc:title>Life-Inflame CVD Supplementary Material — Tables S1–S5</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eyJoZGlkIjoiYjQ3MzUyYTFhNzgxNDhkNjE2ZTdhNDY1MWM0MWUzNDIiLCJ1c2VySWQiOiIzOTY2ODAwMTQifQ==</vt:lpwstr>
  </property>
  <property fmtid="{D5CDD505-2E9C-101B-9397-08002B2CF9AE}" pid="3" name="KSOProductBuildVer">
    <vt:lpwstr>2052-12.1.0.26895</vt:lpwstr>
  </property>
  <property fmtid="{D5CDD505-2E9C-101B-9397-08002B2CF9AE}" pid="4" name="ICV">
    <vt:lpwstr>129B5C4FABB4483D8CA8F39625F4ADD0_12</vt:lpwstr>
  </property>
</Properties>
</file>