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47CBBA" w14:textId="0D7E51B2" w:rsidR="00FA45E7" w:rsidRPr="00FA45E7" w:rsidRDefault="002A7B41" w:rsidP="002A7B41">
      <w:pPr>
        <w:pStyle w:val="NoSpacing"/>
        <w:spacing w:line="36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The influence of </w:t>
      </w:r>
      <w:proofErr w:type="spellStart"/>
      <w:r>
        <w:rPr>
          <w:rFonts w:ascii="Times New Roman" w:eastAsia="Times New Roman" w:hAnsi="Times New Roman" w:cs="Times New Roman"/>
          <w:b/>
          <w:bCs/>
          <w:sz w:val="20"/>
          <w:szCs w:val="20"/>
        </w:rPr>
        <w:t>photoacclimation</w:t>
      </w:r>
      <w:proofErr w:type="spellEnd"/>
      <w:r>
        <w:rPr>
          <w:rFonts w:ascii="Times New Roman" w:eastAsia="Times New Roman" w:hAnsi="Times New Roman" w:cs="Times New Roman"/>
          <w:b/>
          <w:bCs/>
          <w:sz w:val="20"/>
          <w:szCs w:val="20"/>
        </w:rPr>
        <w:t xml:space="preserve"> on the microscale oxygen environment and microbial niches in the coral </w:t>
      </w:r>
      <w:proofErr w:type="spellStart"/>
      <w:r w:rsidRPr="007355C6">
        <w:rPr>
          <w:rFonts w:ascii="Times New Roman" w:eastAsia="Times New Roman" w:hAnsi="Times New Roman" w:cs="Times New Roman"/>
          <w:b/>
          <w:bCs/>
          <w:i/>
          <w:iCs/>
          <w:sz w:val="20"/>
          <w:szCs w:val="20"/>
        </w:rPr>
        <w:t>Galaxea</w:t>
      </w:r>
      <w:proofErr w:type="spellEnd"/>
      <w:r w:rsidRPr="007355C6">
        <w:rPr>
          <w:rFonts w:ascii="Times New Roman" w:eastAsia="Times New Roman" w:hAnsi="Times New Roman" w:cs="Times New Roman"/>
          <w:b/>
          <w:bCs/>
          <w:i/>
          <w:iCs/>
          <w:sz w:val="20"/>
          <w:szCs w:val="20"/>
        </w:rPr>
        <w:t xml:space="preserve"> fascicularis</w:t>
      </w:r>
      <w:r>
        <w:rPr>
          <w:rFonts w:ascii="Times New Roman" w:eastAsia="Times New Roman" w:hAnsi="Times New Roman" w:cs="Times New Roman"/>
          <w:b/>
          <w:bCs/>
          <w:sz w:val="20"/>
          <w:szCs w:val="20"/>
        </w:rPr>
        <w:t xml:space="preserve"> </w:t>
      </w:r>
    </w:p>
    <w:p w14:paraId="465D92C2" w14:textId="77777777" w:rsidR="00BF128B" w:rsidRDefault="00BF128B" w:rsidP="002A7B41">
      <w:pPr>
        <w:pStyle w:val="NoSpacing"/>
        <w:spacing w:line="360" w:lineRule="auto"/>
        <w:jc w:val="both"/>
        <w:rPr>
          <w:rFonts w:ascii="Times New Roman" w:eastAsia="Times New Roman" w:hAnsi="Times New Roman" w:cs="Times New Roman"/>
          <w:sz w:val="20"/>
          <w:szCs w:val="20"/>
        </w:rPr>
      </w:pPr>
    </w:p>
    <w:p w14:paraId="799F9733" w14:textId="3DF6F68F" w:rsidR="002A7B41" w:rsidRPr="009E0D34" w:rsidRDefault="002A7B41" w:rsidP="002A7B41">
      <w:pPr>
        <w:pStyle w:val="NoSpacing"/>
        <w:spacing w:line="360" w:lineRule="auto"/>
        <w:jc w:val="both"/>
        <w:rPr>
          <w:rFonts w:ascii="Times New Roman" w:eastAsia="Times New Roman" w:hAnsi="Times New Roman" w:cs="Times New Roman"/>
          <w:color w:val="000000" w:themeColor="text1"/>
          <w:sz w:val="20"/>
          <w:szCs w:val="20"/>
        </w:rPr>
      </w:pPr>
      <w:r>
        <w:rPr>
          <w:rFonts w:ascii="Times New Roman" w:eastAsia="Times New Roman" w:hAnsi="Times New Roman" w:cs="Times New Roman"/>
          <w:sz w:val="20"/>
          <w:szCs w:val="20"/>
        </w:rPr>
        <w:t>Colin Sten Moldenhauer</w:t>
      </w:r>
      <w:r>
        <w:rPr>
          <w:rFonts w:ascii="Times New Roman" w:eastAsia="Times New Roman" w:hAnsi="Times New Roman" w:cs="Times New Roman"/>
          <w:sz w:val="20"/>
          <w:szCs w:val="20"/>
          <w:vertAlign w:val="superscript"/>
        </w:rPr>
        <w:t>1,2,</w:t>
      </w:r>
      <w:r>
        <w:rPr>
          <w:rFonts w:ascii="Times New Roman" w:eastAsia="Times New Roman" w:hAnsi="Times New Roman" w:cs="Times New Roman"/>
          <w:sz w:val="20"/>
          <w:szCs w:val="20"/>
        </w:rPr>
        <w:t xml:space="preserve"> Qingfeng Zhang</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Michael Kühl</w:t>
      </w: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 Elena Bollati</w:t>
      </w:r>
      <w:r>
        <w:rPr>
          <w:rFonts w:ascii="Times New Roman" w:eastAsia="Times New Roman" w:hAnsi="Times New Roman" w:cs="Times New Roman"/>
          <w:sz w:val="20"/>
          <w:szCs w:val="20"/>
          <w:vertAlign w:val="superscript"/>
        </w:rPr>
        <w:t>1,3*</w:t>
      </w:r>
    </w:p>
    <w:p w14:paraId="7B16C2B2" w14:textId="5019BF09" w:rsidR="002A7B41" w:rsidRPr="009E0D34" w:rsidRDefault="002A7B41" w:rsidP="002A7B41">
      <w:pPr>
        <w:pStyle w:val="NoSpacing"/>
        <w:spacing w:line="360" w:lineRule="auto"/>
        <w:jc w:val="both"/>
      </w:pPr>
      <w:r>
        <w:rPr>
          <w:rFonts w:ascii="Times New Roman" w:eastAsia="Times New Roman" w:hAnsi="Times New Roman" w:cs="Times New Roman"/>
          <w:sz w:val="20"/>
          <w:szCs w:val="20"/>
          <w:vertAlign w:val="superscript"/>
        </w:rPr>
        <w:t xml:space="preserve">1 </w:t>
      </w:r>
      <w:r>
        <w:rPr>
          <w:rFonts w:ascii="Times New Roman" w:eastAsia="Times New Roman" w:hAnsi="Times New Roman" w:cs="Times New Roman"/>
          <w:sz w:val="20"/>
          <w:szCs w:val="20"/>
        </w:rPr>
        <w:t xml:space="preserve">Marine Biology Section, University of Copenhagen. </w:t>
      </w:r>
      <w:proofErr w:type="spellStart"/>
      <w:r>
        <w:rPr>
          <w:rFonts w:ascii="Times New Roman" w:eastAsia="Times New Roman" w:hAnsi="Times New Roman" w:cs="Times New Roman"/>
          <w:sz w:val="20"/>
          <w:szCs w:val="20"/>
        </w:rPr>
        <w:t>Strandpromenaden</w:t>
      </w:r>
      <w:proofErr w:type="spellEnd"/>
      <w:r>
        <w:rPr>
          <w:rFonts w:ascii="Times New Roman" w:eastAsia="Times New Roman" w:hAnsi="Times New Roman" w:cs="Times New Roman"/>
          <w:sz w:val="20"/>
          <w:szCs w:val="20"/>
        </w:rPr>
        <w:t xml:space="preserve"> 5, 3000 </w:t>
      </w:r>
      <w:proofErr w:type="spellStart"/>
      <w:r>
        <w:rPr>
          <w:rFonts w:ascii="Times New Roman" w:eastAsia="Times New Roman" w:hAnsi="Times New Roman" w:cs="Times New Roman"/>
          <w:sz w:val="20"/>
          <w:szCs w:val="20"/>
        </w:rPr>
        <w:t>Helsingør</w:t>
      </w:r>
      <w:proofErr w:type="spellEnd"/>
      <w:r>
        <w:rPr>
          <w:rFonts w:ascii="Times New Roman" w:eastAsia="Times New Roman" w:hAnsi="Times New Roman" w:cs="Times New Roman"/>
          <w:sz w:val="20"/>
          <w:szCs w:val="20"/>
        </w:rPr>
        <w:t>, Denmark</w:t>
      </w:r>
    </w:p>
    <w:p w14:paraId="0B40AF85" w14:textId="7799AAE9" w:rsidR="002A7B41" w:rsidRPr="009E0D34" w:rsidRDefault="002A7B41" w:rsidP="002A7B41">
      <w:pPr>
        <w:pStyle w:val="NoSpacing"/>
        <w:spacing w:line="360" w:lineRule="auto"/>
        <w:jc w:val="both"/>
      </w:pPr>
      <w:r>
        <w:rPr>
          <w:rFonts w:ascii="Times New Roman" w:eastAsia="Times New Roman" w:hAnsi="Times New Roman" w:cs="Times New Roman"/>
          <w:sz w:val="20"/>
          <w:szCs w:val="20"/>
          <w:vertAlign w:val="superscript"/>
        </w:rPr>
        <w:t xml:space="preserve">2 </w:t>
      </w:r>
      <w:r>
        <w:rPr>
          <w:rFonts w:ascii="Times New Roman" w:eastAsia="Times New Roman" w:hAnsi="Times New Roman" w:cs="Times New Roman"/>
          <w:sz w:val="20"/>
          <w:szCs w:val="20"/>
        </w:rPr>
        <w:t xml:space="preserve">Environmental Dynamics Section, Department of Science and Environment, Roskilde University, </w:t>
      </w:r>
      <w:proofErr w:type="spellStart"/>
      <w:r>
        <w:rPr>
          <w:rFonts w:ascii="Times New Roman" w:eastAsia="Times New Roman" w:hAnsi="Times New Roman" w:cs="Times New Roman"/>
          <w:sz w:val="20"/>
          <w:szCs w:val="20"/>
        </w:rPr>
        <w:t>Universitetsvej</w:t>
      </w:r>
      <w:proofErr w:type="spellEnd"/>
      <w:r>
        <w:rPr>
          <w:rFonts w:ascii="Times New Roman" w:eastAsia="Times New Roman" w:hAnsi="Times New Roman" w:cs="Times New Roman"/>
          <w:sz w:val="20"/>
          <w:szCs w:val="20"/>
        </w:rPr>
        <w:t xml:space="preserve"> 1, 4000, Roskilde, Denmark</w:t>
      </w:r>
    </w:p>
    <w:p w14:paraId="7840E663" w14:textId="403F38C8" w:rsidR="002A7B41" w:rsidRPr="009E0D34" w:rsidRDefault="002A7B41" w:rsidP="002A7B41">
      <w:pPr>
        <w:pStyle w:val="NoSpacing"/>
        <w:spacing w:line="360" w:lineRule="auto"/>
        <w:jc w:val="both"/>
      </w:pPr>
      <w:r>
        <w:rPr>
          <w:rFonts w:ascii="Times New Roman" w:eastAsia="Times New Roman" w:hAnsi="Times New Roman" w:cs="Times New Roman"/>
          <w:sz w:val="20"/>
          <w:szCs w:val="20"/>
          <w:vertAlign w:val="superscript"/>
        </w:rPr>
        <w:t xml:space="preserve">3 </w:t>
      </w:r>
      <w:r>
        <w:rPr>
          <w:rFonts w:ascii="Times New Roman" w:eastAsia="Times New Roman" w:hAnsi="Times New Roman" w:cs="Times New Roman"/>
          <w:sz w:val="20"/>
          <w:szCs w:val="20"/>
        </w:rPr>
        <w:t>School of Life Sciences, University of Essex. Wivenhoe Park, Colchester, CO4 3SQ, United Kingdom</w:t>
      </w:r>
    </w:p>
    <w:p w14:paraId="2AB3091D" w14:textId="77777777" w:rsidR="00BF128B" w:rsidRDefault="00BF128B" w:rsidP="002A7B41">
      <w:pPr>
        <w:pStyle w:val="NoSpacing"/>
        <w:spacing w:line="360" w:lineRule="auto"/>
        <w:jc w:val="both"/>
        <w:rPr>
          <w:rFonts w:ascii="Times New Roman" w:eastAsia="Times New Roman" w:hAnsi="Times New Roman" w:cs="Times New Roman"/>
          <w:sz w:val="20"/>
          <w:szCs w:val="20"/>
        </w:rPr>
      </w:pPr>
    </w:p>
    <w:p w14:paraId="6CD35268" w14:textId="3C65DBEE" w:rsidR="009E0D34" w:rsidRDefault="002A7B41" w:rsidP="002A7B41">
      <w:pPr>
        <w:pStyle w:val="NoSpacing"/>
        <w:spacing w:line="360" w:lineRule="auto"/>
        <w:jc w:val="both"/>
      </w:pPr>
      <w:r>
        <w:rPr>
          <w:rFonts w:ascii="Times New Roman" w:eastAsia="Times New Roman" w:hAnsi="Times New Roman" w:cs="Times New Roman"/>
          <w:sz w:val="20"/>
          <w:szCs w:val="20"/>
        </w:rPr>
        <w:t xml:space="preserve">* Correspondence to: </w:t>
      </w:r>
      <w:hyperlink r:id="rId4">
        <w:r>
          <w:rPr>
            <w:rStyle w:val="Hyperlink"/>
            <w:rFonts w:ascii="Times New Roman" w:eastAsia="Times New Roman" w:hAnsi="Times New Roman" w:cs="Times New Roman"/>
            <w:sz w:val="20"/>
            <w:szCs w:val="20"/>
          </w:rPr>
          <w:t>elena.bollati@essex.ac.uk</w:t>
        </w:r>
      </w:hyperlink>
    </w:p>
    <w:p w14:paraId="1D2983B6" w14:textId="77777777" w:rsidR="00FA45E7" w:rsidRDefault="00FA45E7" w:rsidP="00FA45E7">
      <w:pPr>
        <w:pStyle w:val="NoSpacing"/>
        <w:spacing w:line="360" w:lineRule="auto"/>
        <w:jc w:val="both"/>
        <w:rPr>
          <w:rFonts w:ascii="Times New Roman" w:eastAsia="Times New Roman" w:hAnsi="Times New Roman" w:cs="Times New Roman"/>
          <w:b/>
          <w:bCs/>
          <w:sz w:val="20"/>
          <w:szCs w:val="20"/>
        </w:rPr>
      </w:pPr>
    </w:p>
    <w:p w14:paraId="01C796EF" w14:textId="59EABB8A" w:rsidR="00FA45E7" w:rsidRDefault="00FA45E7" w:rsidP="00FA45E7">
      <w:pPr>
        <w:pStyle w:val="NoSpacing"/>
        <w:spacing w:line="36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Supplementary Information</w:t>
      </w:r>
    </w:p>
    <w:p w14:paraId="43231C57" w14:textId="77777777" w:rsidR="00FA45E7" w:rsidRDefault="00FA45E7" w:rsidP="002A7B41">
      <w:pPr>
        <w:pStyle w:val="NoSpacing"/>
        <w:spacing w:line="360" w:lineRule="auto"/>
        <w:jc w:val="both"/>
      </w:pPr>
    </w:p>
    <w:p w14:paraId="67310662" w14:textId="4565F675" w:rsidR="002A7B41" w:rsidRPr="00BF128B" w:rsidRDefault="009E0D34" w:rsidP="00BF128B">
      <w:pPr>
        <w:spacing w:after="0" w:line="240" w:lineRule="auto"/>
      </w:pPr>
      <w:r>
        <w:br w:type="page"/>
      </w:r>
    </w:p>
    <w:p w14:paraId="6A36B6AD" w14:textId="77777777" w:rsidR="000A498C" w:rsidRDefault="00C10636">
      <w:pPr>
        <w:jc w:val="both"/>
      </w:pPr>
      <w:r>
        <w:rPr>
          <w:noProof/>
        </w:rPr>
        <w:lastRenderedPageBreak/>
        <w:drawing>
          <wp:inline distT="0" distB="0" distL="0" distR="0" wp14:anchorId="6A36B6D0" wp14:editId="6A36B6D1">
            <wp:extent cx="5424170" cy="4067175"/>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pic:cNvPicPr>
                      <a:picLocks noChangeAspect="1" noChangeArrowheads="1"/>
                    </pic:cNvPicPr>
                  </pic:nvPicPr>
                  <pic:blipFill>
                    <a:blip r:embed="rId5"/>
                    <a:stretch>
                      <a:fillRect/>
                    </a:stretch>
                  </pic:blipFill>
                  <pic:spPr bwMode="auto">
                    <a:xfrm>
                      <a:off x="0" y="0"/>
                      <a:ext cx="5424170" cy="4067175"/>
                    </a:xfrm>
                    <a:prstGeom prst="rect">
                      <a:avLst/>
                    </a:prstGeom>
                    <a:noFill/>
                  </pic:spPr>
                </pic:pic>
              </a:graphicData>
            </a:graphic>
          </wp:inline>
        </w:drawing>
      </w:r>
    </w:p>
    <w:p w14:paraId="6A36B6AE" w14:textId="418369DB" w:rsidR="000A498C" w:rsidRDefault="00C10636">
      <w:pPr>
        <w:spacing w:line="360" w:lineRule="auto"/>
        <w:jc w:val="both"/>
      </w:pPr>
      <w:r>
        <w:rPr>
          <w:rFonts w:ascii="Times New Roman" w:eastAsia="Times New Roman" w:hAnsi="Times New Roman" w:cs="Times New Roman"/>
          <w:b/>
          <w:bCs/>
          <w:sz w:val="20"/>
          <w:szCs w:val="20"/>
        </w:rPr>
        <w:t>Fig</w:t>
      </w:r>
      <w:r w:rsidR="00BF128B">
        <w:rPr>
          <w:rFonts w:ascii="Times New Roman" w:eastAsia="Times New Roman" w:hAnsi="Times New Roman" w:cs="Times New Roman"/>
          <w:b/>
          <w:bCs/>
          <w:sz w:val="20"/>
          <w:szCs w:val="20"/>
        </w:rPr>
        <w:t>ure</w:t>
      </w:r>
      <w:r>
        <w:rPr>
          <w:rFonts w:ascii="Times New Roman" w:eastAsia="Times New Roman" w:hAnsi="Times New Roman" w:cs="Times New Roman"/>
          <w:b/>
          <w:bCs/>
          <w:sz w:val="20"/>
          <w:szCs w:val="20"/>
        </w:rPr>
        <w:t xml:space="preserve"> S1</w:t>
      </w:r>
      <w:r>
        <w:rPr>
          <w:rFonts w:ascii="Times New Roman" w:eastAsia="Times New Roman" w:hAnsi="Times New Roman" w:cs="Times New Roman"/>
          <w:sz w:val="20"/>
          <w:szCs w:val="20"/>
        </w:rPr>
        <w:t xml:space="preserve"> Rarefaction curves of all analyzed samples after quality filtering, chimera removal, contaminant removal, and taxonomic filtering. Curves show the expected ASV richness as a function of sequencing depth. Curves were plotted to the minimum sequencing depth retained after filtering (3,434 reads) to allow direct comparison among samples. Most samples reached saturation, indicating that sequencing depth was sufficient to capture most of the bacterial diversity present</w:t>
      </w:r>
    </w:p>
    <w:p w14:paraId="6A36B6AF" w14:textId="77777777" w:rsidR="000A498C" w:rsidRDefault="000A498C">
      <w:pPr>
        <w:jc w:val="both"/>
        <w:rPr>
          <w:rFonts w:ascii="Times New Roman" w:eastAsia="Times New Roman" w:hAnsi="Times New Roman" w:cs="Times New Roman"/>
          <w:b/>
          <w:bCs/>
          <w:sz w:val="20"/>
          <w:szCs w:val="20"/>
        </w:rPr>
      </w:pPr>
    </w:p>
    <w:p w14:paraId="6A36B6B0" w14:textId="77777777" w:rsidR="000A498C" w:rsidRDefault="00C10636">
      <w:pPr>
        <w:jc w:val="both"/>
      </w:pPr>
      <w:r>
        <w:rPr>
          <w:noProof/>
        </w:rPr>
        <w:lastRenderedPageBreak/>
        <w:drawing>
          <wp:inline distT="0" distB="0" distL="0" distR="0" wp14:anchorId="6A36B6D2" wp14:editId="6A36B6D3">
            <wp:extent cx="5859780" cy="5343525"/>
            <wp:effectExtent l="0" t="0" r="0" b="0"/>
            <wp:docPr id="2"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pic:cNvPicPr>
                      <a:picLocks noChangeAspect="1" noChangeArrowheads="1"/>
                    </pic:cNvPicPr>
                  </pic:nvPicPr>
                  <pic:blipFill>
                    <a:blip r:embed="rId6"/>
                    <a:stretch>
                      <a:fillRect/>
                    </a:stretch>
                  </pic:blipFill>
                  <pic:spPr bwMode="auto">
                    <a:xfrm>
                      <a:off x="0" y="0"/>
                      <a:ext cx="5859780" cy="5343525"/>
                    </a:xfrm>
                    <a:prstGeom prst="rect">
                      <a:avLst/>
                    </a:prstGeom>
                    <a:noFill/>
                  </pic:spPr>
                </pic:pic>
              </a:graphicData>
            </a:graphic>
          </wp:inline>
        </w:drawing>
      </w:r>
    </w:p>
    <w:p w14:paraId="6A36B6B1" w14:textId="463AF841" w:rsidR="000A498C" w:rsidRDefault="00C10636">
      <w:pPr>
        <w:spacing w:line="360" w:lineRule="auto"/>
        <w:jc w:val="both"/>
      </w:pPr>
      <w:r>
        <w:rPr>
          <w:rFonts w:ascii="Times New Roman" w:eastAsia="Times New Roman" w:hAnsi="Times New Roman" w:cs="Times New Roman"/>
          <w:b/>
          <w:bCs/>
          <w:sz w:val="20"/>
          <w:szCs w:val="20"/>
        </w:rPr>
        <w:t>Fig</w:t>
      </w:r>
      <w:r w:rsidR="00BC0F7C">
        <w:rPr>
          <w:rFonts w:ascii="Times New Roman" w:eastAsia="Times New Roman" w:hAnsi="Times New Roman" w:cs="Times New Roman"/>
          <w:b/>
          <w:bCs/>
          <w:sz w:val="20"/>
          <w:szCs w:val="20"/>
        </w:rPr>
        <w:t>ure</w:t>
      </w:r>
      <w:r>
        <w:rPr>
          <w:rFonts w:ascii="Times New Roman" w:eastAsia="Times New Roman" w:hAnsi="Times New Roman" w:cs="Times New Roman"/>
          <w:b/>
          <w:bCs/>
          <w:sz w:val="20"/>
          <w:szCs w:val="20"/>
        </w:rPr>
        <w:t xml:space="preserve"> S2</w:t>
      </w:r>
      <w:r w:rsidR="00D90445">
        <w:rPr>
          <w:rFonts w:ascii="Times New Roman" w:eastAsia="Times New Roman" w:hAnsi="Times New Roman" w:cs="Times New Roman"/>
          <w:b/>
          <w:bCs/>
          <w:sz w:val="20"/>
          <w:szCs w:val="20"/>
        </w:rPr>
        <w:t>.</w:t>
      </w:r>
      <w:r>
        <w:rPr>
          <w:rFonts w:ascii="Times New Roman" w:eastAsia="Times New Roman" w:hAnsi="Times New Roman" w:cs="Times New Roman"/>
          <w:sz w:val="20"/>
          <w:szCs w:val="20"/>
        </w:rPr>
        <w:t xml:space="preserve"> Bray–Curtis sample-to-sample dissimilarity matrix of the complete bacterial community dataset prior to the exclusion of environment-like samples. Hierarchical clustering revealed two major clusters corresponding to coral-associated and environment-like microbial communities. Samples collected from corals but identified as environment-like (black annotation) were flagged as potentially contaminated and excluded from downstream analyses. Colors represent Bray–</w:t>
      </w:r>
      <w:proofErr w:type="gramStart"/>
      <w:r>
        <w:rPr>
          <w:rFonts w:ascii="Times New Roman" w:eastAsia="Times New Roman" w:hAnsi="Times New Roman" w:cs="Times New Roman"/>
          <w:sz w:val="20"/>
          <w:szCs w:val="20"/>
        </w:rPr>
        <w:t>Curtis</w:t>
      </w:r>
      <w:proofErr w:type="gramEnd"/>
      <w:r>
        <w:rPr>
          <w:rFonts w:ascii="Times New Roman" w:eastAsia="Times New Roman" w:hAnsi="Times New Roman" w:cs="Times New Roman"/>
          <w:sz w:val="20"/>
          <w:szCs w:val="20"/>
        </w:rPr>
        <w:t xml:space="preserve"> dissimilarity, ranging from 0 (identical c</w:t>
      </w:r>
      <w:r>
        <w:rPr>
          <w:rFonts w:ascii="Times New Roman" w:eastAsia="Times New Roman" w:hAnsi="Times New Roman" w:cs="Times New Roman"/>
          <w:sz w:val="20"/>
          <w:szCs w:val="20"/>
        </w:rPr>
        <w:t>ommunities) to 1 (completely dissimilar communities)</w:t>
      </w:r>
    </w:p>
    <w:p w14:paraId="6A36B6B2" w14:textId="77777777" w:rsidR="000A498C" w:rsidRDefault="000A498C">
      <w:pPr>
        <w:jc w:val="both"/>
        <w:rPr>
          <w:rFonts w:ascii="Times New Roman" w:eastAsia="Times New Roman" w:hAnsi="Times New Roman" w:cs="Times New Roman"/>
          <w:sz w:val="20"/>
          <w:szCs w:val="20"/>
        </w:rPr>
      </w:pPr>
    </w:p>
    <w:p w14:paraId="6A36B6B3" w14:textId="77777777" w:rsidR="000A498C" w:rsidRDefault="00C10636">
      <w:pPr>
        <w:spacing w:line="360" w:lineRule="auto"/>
        <w:jc w:val="both"/>
      </w:pPr>
      <w:r>
        <w:rPr>
          <w:noProof/>
        </w:rPr>
        <w:lastRenderedPageBreak/>
        <w:drawing>
          <wp:inline distT="0" distB="0" distL="0" distR="0" wp14:anchorId="6A36B6D4" wp14:editId="6A36B6D5">
            <wp:extent cx="5943600" cy="3962400"/>
            <wp:effectExtent l="0" t="0" r="0" b="0"/>
            <wp:docPr id="3"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pic:cNvPicPr>
                      <a:picLocks noChangeAspect="1" noChangeArrowheads="1"/>
                    </pic:cNvPicPr>
                  </pic:nvPicPr>
                  <pic:blipFill>
                    <a:blip r:embed="rId7"/>
                    <a:stretch>
                      <a:fillRect/>
                    </a:stretch>
                  </pic:blipFill>
                  <pic:spPr bwMode="auto">
                    <a:xfrm>
                      <a:off x="0" y="0"/>
                      <a:ext cx="5943600" cy="3962400"/>
                    </a:xfrm>
                    <a:prstGeom prst="rect">
                      <a:avLst/>
                    </a:prstGeom>
                    <a:noFill/>
                  </pic:spPr>
                </pic:pic>
              </a:graphicData>
            </a:graphic>
          </wp:inline>
        </w:drawing>
      </w:r>
    </w:p>
    <w:p w14:paraId="6A36B6B4" w14:textId="0E6A5DF0" w:rsidR="000A498C" w:rsidRDefault="00C10636">
      <w:pPr>
        <w:spacing w:line="360" w:lineRule="auto"/>
        <w:jc w:val="both"/>
      </w:pPr>
      <w:r>
        <w:rPr>
          <w:rFonts w:ascii="Times New Roman" w:eastAsia="Times New Roman" w:hAnsi="Times New Roman" w:cs="Times New Roman"/>
          <w:b/>
          <w:bCs/>
          <w:sz w:val="20"/>
          <w:szCs w:val="20"/>
        </w:rPr>
        <w:t>Fig</w:t>
      </w:r>
      <w:r w:rsidR="00890B23">
        <w:rPr>
          <w:rFonts w:ascii="Times New Roman" w:eastAsia="Times New Roman" w:hAnsi="Times New Roman" w:cs="Times New Roman"/>
          <w:b/>
          <w:bCs/>
          <w:sz w:val="20"/>
          <w:szCs w:val="20"/>
        </w:rPr>
        <w:t>ure</w:t>
      </w:r>
      <w:r>
        <w:rPr>
          <w:rFonts w:ascii="Times New Roman" w:eastAsia="Times New Roman" w:hAnsi="Times New Roman" w:cs="Times New Roman"/>
          <w:b/>
          <w:bCs/>
          <w:sz w:val="20"/>
          <w:szCs w:val="20"/>
        </w:rPr>
        <w:t xml:space="preserve"> S3</w:t>
      </w:r>
      <w:r w:rsidR="00890B23">
        <w:rPr>
          <w:rFonts w:ascii="Times New Roman" w:eastAsia="Times New Roman" w:hAnsi="Times New Roman" w:cs="Times New Roman"/>
          <w:b/>
          <w:bCs/>
          <w:sz w:val="20"/>
          <w:szCs w:val="20"/>
        </w:rPr>
        <w:t>.</w:t>
      </w:r>
      <w:r>
        <w:rPr>
          <w:rFonts w:ascii="Times New Roman" w:eastAsia="Times New Roman" w:hAnsi="Times New Roman" w:cs="Times New Roman"/>
          <w:sz w:val="20"/>
          <w:szCs w:val="20"/>
        </w:rPr>
        <w:t xml:space="preserve"> Time series of oxygen concentration measured at the bottom of the gastrovascular cavity (GVC) of individual </w:t>
      </w:r>
      <w:r>
        <w:rPr>
          <w:rFonts w:ascii="Times New Roman" w:eastAsia="Times New Roman" w:hAnsi="Times New Roman" w:cs="Times New Roman"/>
          <w:i/>
          <w:iCs/>
          <w:sz w:val="20"/>
          <w:szCs w:val="20"/>
        </w:rPr>
        <w:t>G. fascicularis</w:t>
      </w:r>
      <w:r>
        <w:rPr>
          <w:rFonts w:ascii="Times New Roman" w:eastAsia="Times New Roman" w:hAnsi="Times New Roman" w:cs="Times New Roman"/>
          <w:sz w:val="20"/>
          <w:szCs w:val="20"/>
        </w:rPr>
        <w:t xml:space="preserve"> polyps under three photon irradiance levels over 90 min. Each panel represents one biological replicate from the high-light treatment (HLT; top row) or low-light treatment (LLT; bottom row)</w:t>
      </w:r>
    </w:p>
    <w:p w14:paraId="6A36B6B5" w14:textId="77777777" w:rsidR="000A498C" w:rsidRDefault="000A498C">
      <w:pPr>
        <w:jc w:val="both"/>
        <w:rPr>
          <w:rFonts w:ascii="Times New Roman" w:eastAsia="Times New Roman" w:hAnsi="Times New Roman" w:cs="Times New Roman"/>
          <w:sz w:val="20"/>
          <w:szCs w:val="20"/>
        </w:rPr>
      </w:pPr>
    </w:p>
    <w:p w14:paraId="6A36B6B6" w14:textId="77777777" w:rsidR="000A498C" w:rsidRDefault="000A498C">
      <w:pPr>
        <w:jc w:val="both"/>
        <w:rPr>
          <w:rFonts w:ascii="Times New Roman" w:eastAsia="Times New Roman" w:hAnsi="Times New Roman" w:cs="Times New Roman"/>
          <w:sz w:val="20"/>
          <w:szCs w:val="20"/>
        </w:rPr>
      </w:pPr>
    </w:p>
    <w:p w14:paraId="6A36B6B7" w14:textId="77777777" w:rsidR="000A498C" w:rsidRDefault="000A498C">
      <w:pPr>
        <w:jc w:val="both"/>
        <w:rPr>
          <w:rFonts w:ascii="Times New Roman" w:eastAsia="Times New Roman" w:hAnsi="Times New Roman" w:cs="Times New Roman"/>
          <w:sz w:val="20"/>
          <w:szCs w:val="20"/>
        </w:rPr>
      </w:pPr>
    </w:p>
    <w:p w14:paraId="6A36B6B8" w14:textId="77777777" w:rsidR="000A498C" w:rsidRDefault="000A498C">
      <w:pPr>
        <w:jc w:val="both"/>
        <w:rPr>
          <w:rFonts w:ascii="Times New Roman" w:eastAsia="Times New Roman" w:hAnsi="Times New Roman" w:cs="Times New Roman"/>
          <w:sz w:val="20"/>
          <w:szCs w:val="20"/>
        </w:rPr>
      </w:pPr>
    </w:p>
    <w:p w14:paraId="6A36B6B9" w14:textId="77777777" w:rsidR="000A498C" w:rsidRDefault="000A498C">
      <w:pPr>
        <w:jc w:val="both"/>
        <w:rPr>
          <w:rFonts w:ascii="Times New Roman" w:eastAsia="Times New Roman" w:hAnsi="Times New Roman" w:cs="Times New Roman"/>
          <w:sz w:val="20"/>
          <w:szCs w:val="20"/>
        </w:rPr>
      </w:pPr>
    </w:p>
    <w:p w14:paraId="6A36B6BA" w14:textId="77777777" w:rsidR="000A498C" w:rsidRDefault="000A498C">
      <w:pPr>
        <w:jc w:val="both"/>
        <w:rPr>
          <w:rFonts w:ascii="Times New Roman" w:eastAsia="Times New Roman" w:hAnsi="Times New Roman" w:cs="Times New Roman"/>
          <w:sz w:val="20"/>
          <w:szCs w:val="20"/>
        </w:rPr>
      </w:pPr>
    </w:p>
    <w:p w14:paraId="6A36B6BB" w14:textId="77777777" w:rsidR="000A498C" w:rsidRDefault="000A498C">
      <w:pPr>
        <w:jc w:val="both"/>
        <w:rPr>
          <w:rFonts w:ascii="Times New Roman" w:eastAsia="Times New Roman" w:hAnsi="Times New Roman" w:cs="Times New Roman"/>
          <w:sz w:val="20"/>
          <w:szCs w:val="20"/>
        </w:rPr>
      </w:pPr>
    </w:p>
    <w:p w14:paraId="6A36B6BC" w14:textId="77777777" w:rsidR="000A498C" w:rsidRDefault="000A498C">
      <w:pPr>
        <w:jc w:val="both"/>
        <w:rPr>
          <w:rFonts w:ascii="Times New Roman" w:eastAsia="Times New Roman" w:hAnsi="Times New Roman" w:cs="Times New Roman"/>
          <w:sz w:val="20"/>
          <w:szCs w:val="20"/>
        </w:rPr>
      </w:pPr>
    </w:p>
    <w:p w14:paraId="6A36B6BD" w14:textId="77777777" w:rsidR="000A498C" w:rsidRDefault="000A498C">
      <w:pPr>
        <w:jc w:val="both"/>
        <w:rPr>
          <w:rFonts w:ascii="Times New Roman" w:eastAsia="Times New Roman" w:hAnsi="Times New Roman" w:cs="Times New Roman"/>
          <w:sz w:val="20"/>
          <w:szCs w:val="20"/>
        </w:rPr>
      </w:pPr>
    </w:p>
    <w:p w14:paraId="6A36B6BE" w14:textId="77777777" w:rsidR="000A498C" w:rsidRDefault="000A498C">
      <w:pPr>
        <w:jc w:val="both"/>
        <w:rPr>
          <w:rFonts w:ascii="Times New Roman" w:eastAsia="Times New Roman" w:hAnsi="Times New Roman" w:cs="Times New Roman"/>
          <w:sz w:val="20"/>
          <w:szCs w:val="20"/>
        </w:rPr>
      </w:pPr>
    </w:p>
    <w:p w14:paraId="6A36B6BF" w14:textId="77777777" w:rsidR="000A498C" w:rsidRDefault="000A498C">
      <w:pPr>
        <w:jc w:val="both"/>
        <w:rPr>
          <w:rFonts w:ascii="Times New Roman" w:eastAsia="Times New Roman" w:hAnsi="Times New Roman" w:cs="Times New Roman"/>
          <w:sz w:val="20"/>
          <w:szCs w:val="20"/>
        </w:rPr>
      </w:pPr>
    </w:p>
    <w:p w14:paraId="6A36B6C0" w14:textId="77777777" w:rsidR="000A498C" w:rsidRDefault="000A498C">
      <w:pPr>
        <w:spacing w:line="360" w:lineRule="auto"/>
        <w:jc w:val="both"/>
        <w:rPr>
          <w:rFonts w:ascii="Times New Roman" w:eastAsia="Times New Roman" w:hAnsi="Times New Roman" w:cs="Times New Roman"/>
          <w:b/>
          <w:bCs/>
          <w:sz w:val="20"/>
          <w:szCs w:val="20"/>
        </w:rPr>
      </w:pPr>
    </w:p>
    <w:p w14:paraId="6A36B6C1" w14:textId="36D2B749" w:rsidR="000A498C" w:rsidRDefault="00C10636">
      <w:pPr>
        <w:spacing w:line="360" w:lineRule="auto"/>
        <w:jc w:val="both"/>
      </w:pPr>
      <w:r>
        <w:rPr>
          <w:noProof/>
        </w:rPr>
        <w:lastRenderedPageBreak/>
        <w:drawing>
          <wp:anchor distT="0" distB="0" distL="0" distR="0" simplePos="0" relativeHeight="6" behindDoc="0" locked="0" layoutInCell="0" allowOverlap="1" wp14:anchorId="6A36B6D6" wp14:editId="6A36B6D7">
            <wp:simplePos x="0" y="0"/>
            <wp:positionH relativeFrom="column">
              <wp:posOffset>57150</wp:posOffset>
            </wp:positionH>
            <wp:positionV relativeFrom="paragraph">
              <wp:posOffset>-35560</wp:posOffset>
            </wp:positionV>
            <wp:extent cx="5485130" cy="4934585"/>
            <wp:effectExtent l="0" t="0" r="0" b="0"/>
            <wp:wrapTopAndBottom/>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8"/>
                    <a:stretch>
                      <a:fillRect/>
                    </a:stretch>
                  </pic:blipFill>
                  <pic:spPr bwMode="auto">
                    <a:xfrm>
                      <a:off x="0" y="0"/>
                      <a:ext cx="5485130" cy="4934585"/>
                    </a:xfrm>
                    <a:prstGeom prst="rect">
                      <a:avLst/>
                    </a:prstGeom>
                    <a:noFill/>
                  </pic:spPr>
                </pic:pic>
              </a:graphicData>
            </a:graphic>
          </wp:anchor>
        </w:drawing>
      </w:r>
      <w:r>
        <w:rPr>
          <w:rFonts w:ascii="Times New Roman" w:eastAsia="Times New Roman" w:hAnsi="Times New Roman" w:cs="Times New Roman"/>
          <w:b/>
          <w:bCs/>
          <w:sz w:val="20"/>
          <w:szCs w:val="20"/>
        </w:rPr>
        <w:t>Fig</w:t>
      </w:r>
      <w:r w:rsidR="00A400BA">
        <w:rPr>
          <w:rFonts w:ascii="Times New Roman" w:eastAsia="Times New Roman" w:hAnsi="Times New Roman" w:cs="Times New Roman"/>
          <w:b/>
          <w:bCs/>
          <w:sz w:val="20"/>
          <w:szCs w:val="20"/>
        </w:rPr>
        <w:t>ure</w:t>
      </w:r>
      <w:r>
        <w:rPr>
          <w:rFonts w:ascii="Times New Roman" w:eastAsia="Times New Roman" w:hAnsi="Times New Roman" w:cs="Times New Roman"/>
          <w:b/>
          <w:bCs/>
          <w:sz w:val="20"/>
          <w:szCs w:val="20"/>
        </w:rPr>
        <w:t xml:space="preserve"> S4</w:t>
      </w:r>
      <w:r w:rsidR="00A400BA">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 xml:space="preserve"> </w:t>
      </w:r>
      <w:r>
        <w:rPr>
          <w:rFonts w:ascii="Times New Roman" w:eastAsia="Times New Roman" w:hAnsi="Times New Roman" w:cs="Times New Roman"/>
          <w:sz w:val="20"/>
          <w:szCs w:val="20"/>
        </w:rPr>
        <w:t>Non-metric multidimensional scaling (NMDS) ordination of bacterial community composition based on Bray–</w:t>
      </w:r>
      <w:proofErr w:type="gramStart"/>
      <w:r>
        <w:rPr>
          <w:rFonts w:ascii="Times New Roman" w:eastAsia="Times New Roman" w:hAnsi="Times New Roman" w:cs="Times New Roman"/>
          <w:sz w:val="20"/>
          <w:szCs w:val="20"/>
        </w:rPr>
        <w:t>Curtis</w:t>
      </w:r>
      <w:proofErr w:type="gramEnd"/>
      <w:r>
        <w:rPr>
          <w:rFonts w:ascii="Times New Roman" w:eastAsia="Times New Roman" w:hAnsi="Times New Roman" w:cs="Times New Roman"/>
          <w:sz w:val="20"/>
          <w:szCs w:val="20"/>
        </w:rPr>
        <w:t xml:space="preserve"> dissimilarities. Seawater samples, included in this plot, were excluded from Fig. 3b to allow the identification of finer scale differences in coral-associated communities</w:t>
      </w:r>
      <w:r w:rsidR="00A400BA">
        <w:rPr>
          <w:rFonts w:ascii="Times New Roman" w:eastAsia="Times New Roman" w:hAnsi="Times New Roman" w:cs="Times New Roman"/>
          <w:sz w:val="20"/>
          <w:szCs w:val="20"/>
        </w:rPr>
        <w:t>.</w:t>
      </w:r>
    </w:p>
    <w:p w14:paraId="6A36B6C2" w14:textId="77777777" w:rsidR="000A498C" w:rsidRDefault="000A498C">
      <w:pPr>
        <w:spacing w:line="360" w:lineRule="auto"/>
        <w:jc w:val="both"/>
        <w:rPr>
          <w:rFonts w:ascii="Times New Roman" w:eastAsia="Times New Roman" w:hAnsi="Times New Roman" w:cs="Times New Roman"/>
          <w:sz w:val="20"/>
          <w:szCs w:val="20"/>
        </w:rPr>
      </w:pPr>
    </w:p>
    <w:p w14:paraId="6A36B6C3" w14:textId="77777777" w:rsidR="000A498C" w:rsidRDefault="000A498C">
      <w:pPr>
        <w:jc w:val="both"/>
        <w:rPr>
          <w:rFonts w:ascii="Times New Roman" w:eastAsia="Times New Roman" w:hAnsi="Times New Roman" w:cs="Times New Roman"/>
          <w:sz w:val="20"/>
          <w:szCs w:val="20"/>
        </w:rPr>
      </w:pPr>
    </w:p>
    <w:p w14:paraId="6A36B6C4" w14:textId="77777777" w:rsidR="000A498C" w:rsidRDefault="000A498C">
      <w:pPr>
        <w:jc w:val="both"/>
        <w:rPr>
          <w:rFonts w:ascii="Times New Roman" w:eastAsia="Times New Roman" w:hAnsi="Times New Roman" w:cs="Times New Roman"/>
          <w:sz w:val="20"/>
          <w:szCs w:val="20"/>
        </w:rPr>
      </w:pPr>
    </w:p>
    <w:p w14:paraId="6A36B6C5" w14:textId="77777777" w:rsidR="000A498C" w:rsidRDefault="000A498C">
      <w:pPr>
        <w:jc w:val="both"/>
        <w:rPr>
          <w:rFonts w:ascii="Times New Roman" w:eastAsia="Times New Roman" w:hAnsi="Times New Roman" w:cs="Times New Roman"/>
          <w:sz w:val="20"/>
          <w:szCs w:val="20"/>
        </w:rPr>
      </w:pPr>
    </w:p>
    <w:p w14:paraId="6A36B6C6" w14:textId="77777777" w:rsidR="000A498C" w:rsidRDefault="00C10636">
      <w:pPr>
        <w:jc w:val="both"/>
      </w:pPr>
      <w:r>
        <w:rPr>
          <w:noProof/>
        </w:rPr>
        <w:lastRenderedPageBreak/>
        <w:drawing>
          <wp:inline distT="0" distB="0" distL="0" distR="0" wp14:anchorId="6A36B6D8" wp14:editId="6A36B6D9">
            <wp:extent cx="5943600" cy="3962400"/>
            <wp:effectExtent l="0" t="0" r="0" b="0"/>
            <wp:docPr id="5"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pic:cNvPicPr>
                      <a:picLocks noChangeAspect="1" noChangeArrowheads="1"/>
                    </pic:cNvPicPr>
                  </pic:nvPicPr>
                  <pic:blipFill>
                    <a:blip r:embed="rId9"/>
                    <a:stretch>
                      <a:fillRect/>
                    </a:stretch>
                  </pic:blipFill>
                  <pic:spPr bwMode="auto">
                    <a:xfrm>
                      <a:off x="0" y="0"/>
                      <a:ext cx="5943600" cy="3962400"/>
                    </a:xfrm>
                    <a:prstGeom prst="rect">
                      <a:avLst/>
                    </a:prstGeom>
                    <a:noFill/>
                  </pic:spPr>
                </pic:pic>
              </a:graphicData>
            </a:graphic>
          </wp:inline>
        </w:drawing>
      </w:r>
    </w:p>
    <w:p w14:paraId="6A36B6C7" w14:textId="0563B5CD" w:rsidR="000A498C" w:rsidRDefault="00C10636">
      <w:pPr>
        <w:spacing w:line="360" w:lineRule="auto"/>
        <w:jc w:val="both"/>
      </w:pPr>
      <w:r>
        <w:rPr>
          <w:rFonts w:ascii="Times New Roman" w:eastAsia="Times New Roman" w:hAnsi="Times New Roman" w:cs="Times New Roman"/>
          <w:b/>
          <w:bCs/>
          <w:sz w:val="20"/>
          <w:szCs w:val="20"/>
        </w:rPr>
        <w:t>Fig</w:t>
      </w:r>
      <w:r w:rsidR="00CB5887">
        <w:rPr>
          <w:rFonts w:ascii="Times New Roman" w:eastAsia="Times New Roman" w:hAnsi="Times New Roman" w:cs="Times New Roman"/>
          <w:b/>
          <w:bCs/>
          <w:sz w:val="20"/>
          <w:szCs w:val="20"/>
        </w:rPr>
        <w:t>ure</w:t>
      </w:r>
      <w:r>
        <w:rPr>
          <w:rFonts w:ascii="Times New Roman" w:eastAsia="Times New Roman" w:hAnsi="Times New Roman" w:cs="Times New Roman"/>
          <w:b/>
          <w:bCs/>
          <w:sz w:val="20"/>
          <w:szCs w:val="20"/>
        </w:rPr>
        <w:t xml:space="preserve"> S5</w:t>
      </w:r>
      <w:r w:rsidR="00CB5887">
        <w:rPr>
          <w:rFonts w:ascii="Times New Roman" w:eastAsia="Times New Roman" w:hAnsi="Times New Roman" w:cs="Times New Roman"/>
          <w:b/>
          <w:bCs/>
          <w:sz w:val="20"/>
          <w:szCs w:val="20"/>
        </w:rPr>
        <w:t>.</w:t>
      </w:r>
      <w:r>
        <w:rPr>
          <w:rFonts w:ascii="Times New Roman" w:eastAsia="Times New Roman" w:hAnsi="Times New Roman" w:cs="Times New Roman"/>
          <w:sz w:val="20"/>
          <w:szCs w:val="20"/>
        </w:rPr>
        <w:t xml:space="preserve"> Relative abundance of the dominant bacterial families in individual samples from the surface mucus layer, gastrovascular cavity (GVC swab and GVC needle), and environmental controls (seawater and flow chamber). Samples are grouped by treatment (LLT, HLT, and environment) and ordered by sample type. Bacterial families with a mean relative abundance below 0.5% across all samples were grouped as "Other"</w:t>
      </w:r>
      <w:r w:rsidR="004C6E73">
        <w:rPr>
          <w:rFonts w:ascii="Times New Roman" w:eastAsia="Times New Roman" w:hAnsi="Times New Roman" w:cs="Times New Roman"/>
          <w:sz w:val="20"/>
          <w:szCs w:val="20"/>
        </w:rPr>
        <w:t>.</w:t>
      </w:r>
    </w:p>
    <w:p w14:paraId="6A36B6C8" w14:textId="77777777" w:rsidR="000A498C" w:rsidRDefault="000A498C">
      <w:pPr>
        <w:jc w:val="both"/>
        <w:rPr>
          <w:rFonts w:ascii="Times New Roman" w:eastAsia="Times New Roman" w:hAnsi="Times New Roman" w:cs="Times New Roman"/>
          <w:sz w:val="20"/>
          <w:szCs w:val="20"/>
        </w:rPr>
      </w:pPr>
    </w:p>
    <w:p w14:paraId="6A36B6C9" w14:textId="77777777" w:rsidR="000A498C" w:rsidRDefault="000A498C">
      <w:pPr>
        <w:jc w:val="both"/>
        <w:rPr>
          <w:rFonts w:ascii="Times New Roman" w:eastAsia="Times New Roman" w:hAnsi="Times New Roman" w:cs="Times New Roman"/>
          <w:sz w:val="20"/>
          <w:szCs w:val="20"/>
        </w:rPr>
      </w:pPr>
    </w:p>
    <w:p w14:paraId="6A36B6CA" w14:textId="77777777" w:rsidR="000A498C" w:rsidRDefault="000A498C">
      <w:pPr>
        <w:jc w:val="both"/>
        <w:rPr>
          <w:rFonts w:ascii="Times New Roman" w:eastAsia="Times New Roman" w:hAnsi="Times New Roman" w:cs="Times New Roman"/>
          <w:sz w:val="20"/>
          <w:szCs w:val="20"/>
        </w:rPr>
      </w:pPr>
    </w:p>
    <w:p w14:paraId="6A36B6CB" w14:textId="77777777" w:rsidR="000A498C" w:rsidRDefault="000A498C">
      <w:pPr>
        <w:jc w:val="both"/>
        <w:rPr>
          <w:rFonts w:ascii="Times New Roman" w:eastAsia="Times New Roman" w:hAnsi="Times New Roman" w:cs="Times New Roman"/>
          <w:sz w:val="20"/>
          <w:szCs w:val="20"/>
        </w:rPr>
      </w:pPr>
    </w:p>
    <w:p w14:paraId="6A36B6CC" w14:textId="77777777" w:rsidR="000A498C" w:rsidRDefault="000A498C">
      <w:pPr>
        <w:jc w:val="both"/>
        <w:rPr>
          <w:rFonts w:ascii="Times New Roman" w:eastAsia="Times New Roman" w:hAnsi="Times New Roman" w:cs="Times New Roman"/>
          <w:sz w:val="20"/>
          <w:szCs w:val="20"/>
        </w:rPr>
      </w:pPr>
    </w:p>
    <w:p w14:paraId="6A36B6CD" w14:textId="77777777" w:rsidR="000A498C" w:rsidRDefault="000A498C">
      <w:pPr>
        <w:jc w:val="both"/>
        <w:rPr>
          <w:rFonts w:ascii="Times New Roman" w:eastAsia="Times New Roman" w:hAnsi="Times New Roman" w:cs="Times New Roman"/>
          <w:sz w:val="20"/>
          <w:szCs w:val="20"/>
        </w:rPr>
      </w:pPr>
    </w:p>
    <w:p w14:paraId="6A36B6CE" w14:textId="77777777" w:rsidR="000A498C" w:rsidRDefault="000A498C">
      <w:pPr>
        <w:jc w:val="both"/>
        <w:rPr>
          <w:rFonts w:ascii="Times New Roman" w:eastAsia="Times New Roman" w:hAnsi="Times New Roman" w:cs="Times New Roman"/>
          <w:sz w:val="20"/>
          <w:szCs w:val="20"/>
        </w:rPr>
      </w:pPr>
    </w:p>
    <w:p w14:paraId="6A36B6CF" w14:textId="77777777" w:rsidR="000A498C" w:rsidRDefault="000A498C">
      <w:pPr>
        <w:jc w:val="both"/>
        <w:rPr>
          <w:rFonts w:ascii="Times New Roman" w:eastAsia="Times New Roman" w:hAnsi="Times New Roman" w:cs="Times New Roman"/>
          <w:sz w:val="20"/>
          <w:szCs w:val="20"/>
        </w:rPr>
      </w:pPr>
    </w:p>
    <w:sectPr w:rsidR="000A498C">
      <w:pgSz w:w="12240" w:h="15840"/>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Noto Sans Devanagari">
    <w:panose1 w:val="020B0502040504020204"/>
    <w:charset w:val="00"/>
    <w:family w:val="swiss"/>
    <w:pitch w:val="variable"/>
    <w:sig w:usb0="80008023" w:usb1="00002046"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20"/>
  <w:autoHyphenation/>
  <w:hyphenationZone w:val="0"/>
  <w:characterSpacingControl w:val="doNotCompress"/>
  <w:compat>
    <w:useFELayou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98C"/>
    <w:rsid w:val="000A498C"/>
    <w:rsid w:val="002A7B41"/>
    <w:rsid w:val="0045194F"/>
    <w:rsid w:val="004C6E73"/>
    <w:rsid w:val="00890B23"/>
    <w:rsid w:val="009E0D34"/>
    <w:rsid w:val="00A400BA"/>
    <w:rsid w:val="00BC0F7C"/>
    <w:rsid w:val="00BF128B"/>
    <w:rsid w:val="00CB5887"/>
    <w:rsid w:val="00D90445"/>
    <w:rsid w:val="00FA45E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6A36B6AC"/>
  <w15:docId w15:val="{29C40A05-6CD1-064F-AF2B-45C6643C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Noto Sans CJK SC" w:hAnsi="Liberation Sans" w:cs="Noto Sans Devanagari"/>
      <w:sz w:val="28"/>
      <w:szCs w:val="28"/>
    </w:rPr>
  </w:style>
  <w:style w:type="paragraph" w:styleId="BodyText">
    <w:name w:val="Body Text"/>
    <w:basedOn w:val="Normal"/>
    <w:pPr>
      <w:spacing w:after="140" w:line="276" w:lineRule="auto"/>
    </w:pPr>
  </w:style>
  <w:style w:type="paragraph" w:styleId="List">
    <w:name w:val="List"/>
    <w:basedOn w:val="BodyText"/>
    <w:rPr>
      <w:rFonts w:cs="Noto Sans Devanagari"/>
    </w:rPr>
  </w:style>
  <w:style w:type="paragraph" w:styleId="Caption">
    <w:name w:val="caption"/>
    <w:basedOn w:val="Normal"/>
    <w:qFormat/>
    <w:pPr>
      <w:suppressLineNumbers/>
      <w:spacing w:before="120" w:after="120"/>
    </w:pPr>
    <w:rPr>
      <w:rFonts w:cs="Noto Sans Devanagari"/>
      <w:i/>
      <w:iCs/>
    </w:rPr>
  </w:style>
  <w:style w:type="paragraph" w:customStyle="1" w:styleId="Index">
    <w:name w:val="Index"/>
    <w:basedOn w:val="Normal"/>
    <w:qFormat/>
    <w:pPr>
      <w:suppressLineNumbers/>
    </w:pPr>
    <w:rPr>
      <w:rFonts w:cs="Noto Sans Devanagari"/>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A7B41"/>
    <w:rPr>
      <w:color w:val="467886"/>
      <w:u w:val="single"/>
    </w:rPr>
  </w:style>
  <w:style w:type="paragraph" w:styleId="NoSpacing">
    <w:name w:val="No Spacing"/>
    <w:uiPriority w:val="1"/>
    <w:qFormat/>
    <w:rsid w:val="002A7B41"/>
    <w:pPr>
      <w:spacing w:line="27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tif"/><Relationship Id="rId3" Type="http://schemas.openxmlformats.org/officeDocument/2006/relationships/webSettings" Target="webSettings.xml"/><Relationship Id="rId7" Type="http://schemas.openxmlformats.org/officeDocument/2006/relationships/image" Target="media/image3.t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tif"/><Relationship Id="rId11" Type="http://schemas.openxmlformats.org/officeDocument/2006/relationships/theme" Target="theme/theme1.xml"/><Relationship Id="rId5" Type="http://schemas.openxmlformats.org/officeDocument/2006/relationships/image" Target="media/image1.tif"/><Relationship Id="rId10" Type="http://schemas.openxmlformats.org/officeDocument/2006/relationships/fontTable" Target="fontTable.xml"/><Relationship Id="rId4" Type="http://schemas.openxmlformats.org/officeDocument/2006/relationships/hyperlink" Target="mailto:elena.bollati@bio.ku.dk" TargetMode="External"/><Relationship Id="rId9" Type="http://schemas.openxmlformats.org/officeDocument/2006/relationships/image" Target="media/image5.tif"/></Relationships>
</file>

<file path=word/theme/theme1.xml><?xml version="1.0" encoding="utf-8"?>
<a:theme xmlns:a="http://schemas.openxmlformats.org/drawingml/2006/main" name="Office Them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majorFont>
      <a:minorFont>
        <a:latin typeface="Aptos" panose="0211000402020202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6</Pages>
  <Words>416</Words>
  <Characters>2372</Characters>
  <Application>Microsoft Office Word</Application>
  <DocSecurity>0</DocSecurity>
  <Lines>19</Lines>
  <Paragraphs>5</Paragraphs>
  <ScaleCrop>false</ScaleCrop>
  <Company/>
  <LinksUpToDate>false</LinksUpToDate>
  <CharactersWithSpaces>2783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Colin Sten Moldenhauer</dc:creator>
  <dc:description/>
  <cp:lastModifiedBy>Elena Bollati</cp:lastModifiedBy>
  <cp:revision>17</cp:revision>
  <dcterms:created xsi:type="dcterms:W3CDTF">2026-07-01T09:36:00Z</dcterms:created>
  <dcterms:modified xsi:type="dcterms:W3CDTF">2026-07-13T18:55:00Z</dcterms:modified>
  <dc:language>en-US</dc:language>
</cp:coreProperties>
</file>