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492B2" w14:textId="77777777" w:rsidR="009E43BF" w:rsidRPr="005C2350" w:rsidRDefault="009E43BF" w:rsidP="009E43B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2350">
        <w:rPr>
          <w:rFonts w:ascii="Times New Roman" w:hAnsi="Times New Roman" w:cs="Times New Roman"/>
          <w:sz w:val="20"/>
          <w:szCs w:val="20"/>
        </w:rPr>
        <w:t xml:space="preserve">Table S1. Univariable and multivariable logistic regression analysis of S1 lesions and high initial proteinuria in 124 patients with PLA₂R-associated membranous nephropathy </w:t>
      </w:r>
    </w:p>
    <w:tbl>
      <w:tblPr>
        <w:tblStyle w:val="TableGrid"/>
        <w:tblW w:w="89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9"/>
        <w:gridCol w:w="1688"/>
        <w:gridCol w:w="908"/>
        <w:gridCol w:w="240"/>
        <w:gridCol w:w="1672"/>
        <w:gridCol w:w="904"/>
      </w:tblGrid>
      <w:tr w:rsidR="009E43BF" w:rsidRPr="005C2350" w14:paraId="012F2E35" w14:textId="77777777" w:rsidTr="00E83668">
        <w:trPr>
          <w:trHeight w:val="23"/>
        </w:trPr>
        <w:tc>
          <w:tcPr>
            <w:tcW w:w="3529" w:type="dxa"/>
            <w:vMerge w:val="restart"/>
            <w:tcBorders>
              <w:top w:val="single" w:sz="4" w:space="0" w:color="auto"/>
            </w:tcBorders>
            <w:vAlign w:val="center"/>
          </w:tcPr>
          <w:p w14:paraId="2DDCA868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variables within S1 lesions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56D6F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Univariable Analysis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</w:tcBorders>
            <w:vAlign w:val="center"/>
          </w:tcPr>
          <w:p w14:paraId="6DB3F205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9A96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Multivariable Analysis</w:t>
            </w:r>
            <w:r w:rsidRPr="005C23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9E43BF" w:rsidRPr="005C2350" w14:paraId="60BD5F58" w14:textId="77777777" w:rsidTr="00E83668">
        <w:trPr>
          <w:trHeight w:val="23"/>
        </w:trPr>
        <w:tc>
          <w:tcPr>
            <w:tcW w:w="3529" w:type="dxa"/>
            <w:vMerge/>
            <w:tcBorders>
              <w:bottom w:val="single" w:sz="4" w:space="0" w:color="auto"/>
            </w:tcBorders>
            <w:vAlign w:val="center"/>
          </w:tcPr>
          <w:p w14:paraId="0A0C6633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955D3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1E2D79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vAlign w:val="center"/>
          </w:tcPr>
          <w:p w14:paraId="35C3446D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4D40B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75BE6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9E43BF" w:rsidRPr="005C2350" w14:paraId="05756C2D" w14:textId="77777777" w:rsidTr="00E83668">
        <w:trPr>
          <w:trHeight w:val="23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5BFF962C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28"/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Podocyte hypertrophy</w:t>
            </w:r>
            <w:bookmarkEnd w:id="0"/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14:paraId="773102B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3.11 (1.49-6.49)</w:t>
            </w:r>
          </w:p>
        </w:tc>
        <w:tc>
          <w:tcPr>
            <w:tcW w:w="908" w:type="dxa"/>
            <w:tcBorders>
              <w:top w:val="single" w:sz="4" w:space="0" w:color="auto"/>
              <w:right w:val="nil"/>
            </w:tcBorders>
            <w:vAlign w:val="center"/>
          </w:tcPr>
          <w:p w14:paraId="2E41A2BC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</w:tcBorders>
            <w:vAlign w:val="center"/>
          </w:tcPr>
          <w:p w14:paraId="270CDD2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  <w:vAlign w:val="center"/>
          </w:tcPr>
          <w:p w14:paraId="338C7590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3.36 (1.48-7.64)</w:t>
            </w: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14:paraId="2E86D3BB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9E43BF" w:rsidRPr="005C2350" w14:paraId="137169D2" w14:textId="77777777" w:rsidTr="00E83668">
        <w:trPr>
          <w:trHeight w:val="23"/>
        </w:trPr>
        <w:tc>
          <w:tcPr>
            <w:tcW w:w="3529" w:type="dxa"/>
            <w:vAlign w:val="center"/>
          </w:tcPr>
          <w:p w14:paraId="04C3B98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Tip lesion</w:t>
            </w:r>
          </w:p>
        </w:tc>
        <w:tc>
          <w:tcPr>
            <w:tcW w:w="1688" w:type="dxa"/>
            <w:vAlign w:val="center"/>
          </w:tcPr>
          <w:p w14:paraId="63B0B526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1.19 (0.52-2.71)</w:t>
            </w:r>
          </w:p>
        </w:tc>
        <w:tc>
          <w:tcPr>
            <w:tcW w:w="908" w:type="dxa"/>
            <w:tcBorders>
              <w:right w:val="nil"/>
            </w:tcBorders>
            <w:vAlign w:val="center"/>
          </w:tcPr>
          <w:p w14:paraId="0D22557D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 w14:paraId="7936585A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4E85A86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0.81 (0.33-2.03)</w:t>
            </w:r>
          </w:p>
        </w:tc>
        <w:tc>
          <w:tcPr>
            <w:tcW w:w="904" w:type="dxa"/>
            <w:vAlign w:val="center"/>
          </w:tcPr>
          <w:p w14:paraId="50E59AD3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</w:tr>
      <w:tr w:rsidR="009E43BF" w:rsidRPr="005C2350" w14:paraId="3429A688" w14:textId="77777777" w:rsidTr="00E83668">
        <w:trPr>
          <w:trHeight w:val="23"/>
        </w:trPr>
        <w:tc>
          <w:tcPr>
            <w:tcW w:w="3529" w:type="dxa"/>
            <w:vAlign w:val="center"/>
          </w:tcPr>
          <w:p w14:paraId="00F5569D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Adhesion</w:t>
            </w:r>
          </w:p>
        </w:tc>
        <w:tc>
          <w:tcPr>
            <w:tcW w:w="1688" w:type="dxa"/>
            <w:vAlign w:val="center"/>
          </w:tcPr>
          <w:p w14:paraId="5F0876C9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0.49 (0.20-1.21)</w:t>
            </w:r>
          </w:p>
        </w:tc>
        <w:tc>
          <w:tcPr>
            <w:tcW w:w="908" w:type="dxa"/>
            <w:tcBorders>
              <w:right w:val="nil"/>
            </w:tcBorders>
            <w:vAlign w:val="center"/>
          </w:tcPr>
          <w:p w14:paraId="62C1EE3C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 w14:paraId="44DD6AB5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D5385B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0.52 (0.19-1.45)</w:t>
            </w:r>
          </w:p>
        </w:tc>
        <w:tc>
          <w:tcPr>
            <w:tcW w:w="904" w:type="dxa"/>
            <w:vAlign w:val="center"/>
          </w:tcPr>
          <w:p w14:paraId="083D566F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</w:tr>
      <w:tr w:rsidR="009E43BF" w:rsidRPr="005C2350" w14:paraId="73A3904B" w14:textId="77777777" w:rsidTr="00E83668">
        <w:trPr>
          <w:trHeight w:val="23"/>
        </w:trPr>
        <w:tc>
          <w:tcPr>
            <w:tcW w:w="3529" w:type="dxa"/>
            <w:vAlign w:val="center"/>
          </w:tcPr>
          <w:p w14:paraId="3CE690D0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Hyalinosis</w:t>
            </w:r>
          </w:p>
        </w:tc>
        <w:tc>
          <w:tcPr>
            <w:tcW w:w="1688" w:type="dxa"/>
            <w:vAlign w:val="center"/>
          </w:tcPr>
          <w:p w14:paraId="744E5A7E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0.91 (0.38-2.18)</w:t>
            </w:r>
          </w:p>
        </w:tc>
        <w:tc>
          <w:tcPr>
            <w:tcW w:w="908" w:type="dxa"/>
            <w:tcBorders>
              <w:right w:val="nil"/>
            </w:tcBorders>
            <w:vAlign w:val="center"/>
          </w:tcPr>
          <w:p w14:paraId="7CF2994B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 w14:paraId="01EFC677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669D6C37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1.35 (0.50-3.69)</w:t>
            </w:r>
          </w:p>
        </w:tc>
        <w:tc>
          <w:tcPr>
            <w:tcW w:w="904" w:type="dxa"/>
            <w:vAlign w:val="center"/>
          </w:tcPr>
          <w:p w14:paraId="404D6189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</w:tr>
      <w:tr w:rsidR="009E43BF" w:rsidRPr="005C2350" w14:paraId="67BBCF0E" w14:textId="77777777" w:rsidTr="00E83668">
        <w:trPr>
          <w:trHeight w:val="23"/>
        </w:trPr>
        <w:tc>
          <w:tcPr>
            <w:tcW w:w="3529" w:type="dxa"/>
            <w:vAlign w:val="center"/>
          </w:tcPr>
          <w:p w14:paraId="64E3910B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Resorption droplets within podocytes</w:t>
            </w:r>
          </w:p>
        </w:tc>
        <w:tc>
          <w:tcPr>
            <w:tcW w:w="1688" w:type="dxa"/>
            <w:vAlign w:val="center"/>
          </w:tcPr>
          <w:p w14:paraId="09404052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1.19 (0.52-2.72)</w:t>
            </w:r>
          </w:p>
        </w:tc>
        <w:tc>
          <w:tcPr>
            <w:tcW w:w="908" w:type="dxa"/>
            <w:tcBorders>
              <w:right w:val="nil"/>
            </w:tcBorders>
            <w:vAlign w:val="center"/>
          </w:tcPr>
          <w:p w14:paraId="00F03DCB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0.770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 w14:paraId="1B7F4A79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D58C07F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0.55 (0.15-2.03)</w:t>
            </w:r>
          </w:p>
        </w:tc>
        <w:tc>
          <w:tcPr>
            <w:tcW w:w="904" w:type="dxa"/>
            <w:vAlign w:val="center"/>
          </w:tcPr>
          <w:p w14:paraId="50DDCAD9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</w:tr>
      <w:tr w:rsidR="009E43BF" w:rsidRPr="005C2350" w14:paraId="7A8DC0BF" w14:textId="77777777" w:rsidTr="00E83668">
        <w:trPr>
          <w:trHeight w:val="23"/>
        </w:trPr>
        <w:tc>
          <w:tcPr>
            <w:tcW w:w="3529" w:type="dxa"/>
            <w:vAlign w:val="center"/>
          </w:tcPr>
          <w:p w14:paraId="2B033F5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29"/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Perihilar location</w:t>
            </w:r>
            <w:bookmarkEnd w:id="1"/>
          </w:p>
        </w:tc>
        <w:tc>
          <w:tcPr>
            <w:tcW w:w="1688" w:type="dxa"/>
            <w:vAlign w:val="center"/>
          </w:tcPr>
          <w:p w14:paraId="36A13AEE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0.36 (0.11-1.21)</w:t>
            </w:r>
          </w:p>
        </w:tc>
        <w:tc>
          <w:tcPr>
            <w:tcW w:w="908" w:type="dxa"/>
            <w:tcBorders>
              <w:right w:val="nil"/>
            </w:tcBorders>
            <w:vAlign w:val="center"/>
          </w:tcPr>
          <w:p w14:paraId="625E85E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 w14:paraId="5F4355F7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545D247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0.45 (0.11-1.80)</w:t>
            </w:r>
          </w:p>
        </w:tc>
        <w:tc>
          <w:tcPr>
            <w:tcW w:w="904" w:type="dxa"/>
            <w:vAlign w:val="center"/>
          </w:tcPr>
          <w:p w14:paraId="52A0B6B3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9E43BF" w:rsidRPr="005C2350" w14:paraId="594E65E7" w14:textId="77777777" w:rsidTr="00E83668">
        <w:trPr>
          <w:trHeight w:val="23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B2869C8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Endocapillary foam cells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486EE40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1.36 (0.29-6.33)</w:t>
            </w:r>
          </w:p>
        </w:tc>
        <w:tc>
          <w:tcPr>
            <w:tcW w:w="908" w:type="dxa"/>
            <w:tcBorders>
              <w:bottom w:val="single" w:sz="4" w:space="0" w:color="auto"/>
              <w:right w:val="nil"/>
            </w:tcBorders>
            <w:vAlign w:val="center"/>
          </w:tcPr>
          <w:p w14:paraId="612E366E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vAlign w:val="center"/>
          </w:tcPr>
          <w:p w14:paraId="44EB1704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14:paraId="09DED45D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0.92 (0.16-5.18)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485BA71" w14:textId="77777777" w:rsidR="009E43BF" w:rsidRPr="005C2350" w:rsidRDefault="009E43BF" w:rsidP="00E8366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50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</w:p>
        </w:tc>
      </w:tr>
    </w:tbl>
    <w:p w14:paraId="2FA83B7E" w14:textId="77777777" w:rsidR="009E43BF" w:rsidRPr="005C2350" w:rsidRDefault="009E43BF" w:rsidP="009E43B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2350">
        <w:rPr>
          <w:rFonts w:ascii="Times New Roman" w:hAnsi="Times New Roman" w:cs="Times New Roman"/>
          <w:sz w:val="20"/>
          <w:szCs w:val="20"/>
        </w:rPr>
        <w:t>Abbreviations: OR, odds ratio; CI, confidence interval. The outcome variable, high initial proteinuria, was defined as a baseline proteinuria level above the median value.</w:t>
      </w:r>
    </w:p>
    <w:p w14:paraId="63FF0BD1" w14:textId="77777777" w:rsidR="009E43BF" w:rsidRPr="005C2350" w:rsidRDefault="009E43BF" w:rsidP="009E43B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235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C2350">
        <w:rPr>
          <w:rFonts w:ascii="Times New Roman" w:hAnsi="Times New Roman" w:cs="Times New Roman"/>
          <w:sz w:val="20"/>
          <w:szCs w:val="20"/>
        </w:rPr>
        <w:t>Adjusted for podocyte hypertrophy, tip lesion, adhesion, hyalinosis, resorption droplets within podocytes, perihilar location and endocapillary foam cells.</w:t>
      </w:r>
    </w:p>
    <w:p w14:paraId="488A2328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BF"/>
    <w:rsid w:val="001D3053"/>
    <w:rsid w:val="001E3A92"/>
    <w:rsid w:val="00217E67"/>
    <w:rsid w:val="002C7D54"/>
    <w:rsid w:val="0033371E"/>
    <w:rsid w:val="004B7744"/>
    <w:rsid w:val="005C0D39"/>
    <w:rsid w:val="0070406C"/>
    <w:rsid w:val="00724754"/>
    <w:rsid w:val="007B36B1"/>
    <w:rsid w:val="009E43BF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CC3BD"/>
  <w15:chartTrackingRefBased/>
  <w15:docId w15:val="{033B777F-31E3-492A-A42B-A904654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3BF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3B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3B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3BF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3BF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3BF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3BF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3BF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3BF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3BF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3B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E4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3BF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E4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3B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9E4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3BF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9E4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3B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3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43BF"/>
    <w:pPr>
      <w:spacing w:after="0" w:line="240" w:lineRule="auto"/>
    </w:pPr>
    <w:rPr>
      <w:rFonts w:eastAsiaTheme="minorEastAsia"/>
      <w:sz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2026-08-27T07:02:00Z</dcterms:created>
  <dcterms:modified xsi:type="dcterms:W3CDTF">2026-08-27T07:02:00Z</dcterms:modified>
</cp:coreProperties>
</file>