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media/image4.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272FA">
      <w:pPr>
        <w:pStyle w:val="5"/>
        <w:spacing w:before="245" w:line="162" w:lineRule="auto"/>
        <w:ind w:left="2964"/>
      </w:pPr>
      <w:r>
        <w:drawing>
          <wp:anchor distT="0" distB="0" distL="0" distR="0" simplePos="0" relativeHeight="251659264" behindDoc="0" locked="0" layoutInCell="0" allowOverlap="1">
            <wp:simplePos x="0" y="0"/>
            <wp:positionH relativeFrom="page">
              <wp:posOffset>412115</wp:posOffset>
            </wp:positionH>
            <wp:positionV relativeFrom="page">
              <wp:posOffset>260985</wp:posOffset>
            </wp:positionV>
            <wp:extent cx="1357630" cy="42291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357367" cy="423005"/>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8861425</wp:posOffset>
            </wp:positionH>
            <wp:positionV relativeFrom="page">
              <wp:posOffset>235585</wp:posOffset>
            </wp:positionV>
            <wp:extent cx="290830" cy="2901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
                    <a:stretch>
                      <a:fillRect/>
                    </a:stretch>
                  </pic:blipFill>
                  <pic:spPr>
                    <a:xfrm>
                      <a:off x="0" y="0"/>
                      <a:ext cx="290817" cy="290171"/>
                    </a:xfrm>
                    <a:prstGeom prst="rect">
                      <a:avLst/>
                    </a:prstGeom>
                  </pic:spPr>
                </pic:pic>
              </a:graphicData>
            </a:graphic>
          </wp:anchor>
        </w:drawing>
      </w:r>
      <w:r>
        <w:rPr>
          <w:b/>
          <w:bCs/>
          <w:spacing w:val="-13"/>
        </w:rPr>
        <w:t>CARE</w:t>
      </w:r>
      <w:r>
        <w:rPr>
          <w:spacing w:val="-13"/>
        </w:rPr>
        <w:t xml:space="preserve"> </w:t>
      </w:r>
      <w:r>
        <w:rPr>
          <w:b/>
          <w:bCs/>
          <w:spacing w:val="-13"/>
        </w:rPr>
        <w:t>Checklist</w:t>
      </w:r>
      <w:r>
        <w:rPr>
          <w:spacing w:val="-13"/>
        </w:rPr>
        <w:t xml:space="preserve"> </w:t>
      </w:r>
      <w:r>
        <w:rPr>
          <w:b/>
          <w:bCs/>
          <w:spacing w:val="-13"/>
        </w:rPr>
        <w:t>of</w:t>
      </w:r>
      <w:r>
        <w:rPr>
          <w:spacing w:val="-13"/>
        </w:rPr>
        <w:t xml:space="preserve"> </w:t>
      </w:r>
      <w:r>
        <w:rPr>
          <w:b/>
          <w:bCs/>
          <w:spacing w:val="-13"/>
        </w:rPr>
        <w:t>information</w:t>
      </w:r>
      <w:r>
        <w:rPr>
          <w:spacing w:val="-22"/>
        </w:rPr>
        <w:t xml:space="preserve"> </w:t>
      </w:r>
      <w:r>
        <w:rPr>
          <w:b/>
          <w:bCs/>
          <w:spacing w:val="-13"/>
        </w:rPr>
        <w:t>to</w:t>
      </w:r>
      <w:r>
        <w:rPr>
          <w:spacing w:val="-13"/>
        </w:rPr>
        <w:t xml:space="preserve"> </w:t>
      </w:r>
      <w:r>
        <w:rPr>
          <w:b/>
          <w:bCs/>
          <w:spacing w:val="-13"/>
        </w:rPr>
        <w:t>include</w:t>
      </w:r>
      <w:r>
        <w:rPr>
          <w:spacing w:val="-21"/>
        </w:rPr>
        <w:t xml:space="preserve"> </w:t>
      </w:r>
      <w:r>
        <w:rPr>
          <w:b/>
          <w:bCs/>
          <w:spacing w:val="-13"/>
        </w:rPr>
        <w:t>when</w:t>
      </w:r>
      <w:r>
        <w:rPr>
          <w:spacing w:val="-20"/>
        </w:rPr>
        <w:t xml:space="preserve"> </w:t>
      </w:r>
      <w:r>
        <w:rPr>
          <w:b/>
          <w:bCs/>
          <w:spacing w:val="-13"/>
        </w:rPr>
        <w:t>writing</w:t>
      </w:r>
      <w:r>
        <w:rPr>
          <w:spacing w:val="-13"/>
        </w:rPr>
        <w:t xml:space="preserve"> </w:t>
      </w:r>
      <w:r>
        <w:rPr>
          <w:b/>
          <w:bCs/>
          <w:spacing w:val="-13"/>
        </w:rPr>
        <w:t>a</w:t>
      </w:r>
      <w:r>
        <w:rPr>
          <w:spacing w:val="-15"/>
        </w:rPr>
        <w:t xml:space="preserve"> </w:t>
      </w:r>
      <w:r>
        <w:rPr>
          <w:b/>
          <w:bCs/>
          <w:spacing w:val="-13"/>
        </w:rPr>
        <w:t>case</w:t>
      </w:r>
      <w:r>
        <w:rPr>
          <w:spacing w:val="-13"/>
        </w:rPr>
        <w:t xml:space="preserve"> </w:t>
      </w:r>
      <w:r>
        <w:rPr>
          <w:b/>
          <w:bCs/>
          <w:spacing w:val="-13"/>
        </w:rPr>
        <w:t>repo</w:t>
      </w:r>
      <w:r>
        <w:rPr>
          <w:b/>
          <w:bCs/>
          <w:spacing w:val="-14"/>
        </w:rPr>
        <w:t>rt</w:t>
      </w:r>
    </w:p>
    <w:p w14:paraId="3DB7B38A">
      <w:pPr>
        <w:spacing w:line="178" w:lineRule="exact"/>
      </w:pPr>
    </w:p>
    <w:tbl>
      <w:tblPr>
        <w:tblStyle w:val="11"/>
        <w:tblW w:w="14618"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188"/>
        <w:gridCol w:w="720"/>
        <w:gridCol w:w="4061"/>
        <w:gridCol w:w="7649"/>
      </w:tblGrid>
      <w:tr w14:paraId="6233B32D">
        <w:trPr>
          <w:trHeight w:val="376" w:hRule="atLeast"/>
        </w:trPr>
        <w:tc>
          <w:tcPr>
            <w:tcW w:w="2188" w:type="dxa"/>
            <w:tcBorders>
              <w:top w:val="single" w:color="9C2631" w:sz="2" w:space="0"/>
              <w:left w:val="single" w:color="000000" w:sz="2" w:space="0"/>
            </w:tcBorders>
            <w:shd w:val="clear" w:color="auto" w:fill="9C2631"/>
            <w:vAlign w:val="top"/>
          </w:tcPr>
          <w:p w14:paraId="5E72589A">
            <w:pPr>
              <w:spacing w:before="112" w:line="167" w:lineRule="auto"/>
              <w:ind w:left="119"/>
              <w:rPr>
                <w:rFonts w:ascii="PingFang SC" w:hAnsi="PingFang SC" w:eastAsia="PingFang SC" w:cs="PingFang SC"/>
                <w:sz w:val="32"/>
                <w:szCs w:val="32"/>
              </w:rPr>
            </w:pPr>
            <w:r>
              <w:rPr>
                <w:rFonts w:ascii="PingFang SC" w:hAnsi="PingFang SC" w:eastAsia="PingFang SC" w:cs="PingFang SC"/>
                <w:b/>
                <w:bCs/>
                <w:color w:val="FFFFFF"/>
                <w:spacing w:val="4"/>
                <w:sz w:val="32"/>
                <w:szCs w:val="32"/>
              </w:rPr>
              <w:t>Topic</w:t>
            </w:r>
          </w:p>
        </w:tc>
        <w:tc>
          <w:tcPr>
            <w:tcW w:w="720" w:type="dxa"/>
            <w:shd w:val="clear" w:color="auto" w:fill="9C2631"/>
            <w:vAlign w:val="top"/>
          </w:tcPr>
          <w:p w14:paraId="09364F56">
            <w:pPr>
              <w:spacing w:before="112" w:line="167" w:lineRule="auto"/>
              <w:ind w:left="156"/>
              <w:rPr>
                <w:rFonts w:ascii="PingFang SC" w:hAnsi="PingFang SC" w:eastAsia="PingFang SC" w:cs="PingFang SC"/>
                <w:sz w:val="32"/>
                <w:szCs w:val="32"/>
              </w:rPr>
            </w:pPr>
            <w:r>
              <w:rPr>
                <w:rFonts w:ascii="PingFang SC" w:hAnsi="PingFang SC" w:eastAsia="PingFang SC" w:cs="PingFang SC"/>
                <w:b/>
                <w:bCs/>
                <w:color w:val="FFFFFF"/>
                <w:spacing w:val="1"/>
                <w:sz w:val="32"/>
                <w:szCs w:val="32"/>
              </w:rPr>
              <w:t>Item</w:t>
            </w:r>
          </w:p>
        </w:tc>
        <w:tc>
          <w:tcPr>
            <w:tcW w:w="4061" w:type="dxa"/>
            <w:tcBorders>
              <w:top w:val="single" w:color="9C2631" w:sz="34" w:space="0"/>
            </w:tcBorders>
            <w:shd w:val="clear" w:color="auto" w:fill="9C2631"/>
            <w:vAlign w:val="top"/>
          </w:tcPr>
          <w:p w14:paraId="338755C9">
            <w:pPr>
              <w:spacing w:before="50" w:line="208" w:lineRule="auto"/>
              <w:ind w:left="123"/>
              <w:rPr>
                <w:rFonts w:ascii="PingFang SC" w:hAnsi="PingFang SC" w:eastAsia="PingFang SC" w:cs="PingFang SC"/>
                <w:sz w:val="32"/>
                <w:szCs w:val="32"/>
              </w:rPr>
            </w:pPr>
            <w:r>
              <w:rPr>
                <w:rFonts w:ascii="PingFang SC" w:hAnsi="PingFang SC" w:eastAsia="PingFang SC" w:cs="PingFang SC"/>
                <w:b/>
                <w:bCs/>
                <w:color w:val="FFFFFF"/>
                <w:spacing w:val="5"/>
                <w:sz w:val="32"/>
                <w:szCs w:val="32"/>
              </w:rPr>
              <w:t>Checklist</w:t>
            </w:r>
            <w:r>
              <w:rPr>
                <w:rFonts w:ascii="PingFang SC" w:hAnsi="PingFang SC" w:eastAsia="PingFang SC" w:cs="PingFang SC"/>
                <w:color w:val="FFFFFF"/>
                <w:spacing w:val="5"/>
                <w:sz w:val="32"/>
                <w:szCs w:val="32"/>
              </w:rPr>
              <w:t xml:space="preserve"> </w:t>
            </w:r>
            <w:r>
              <w:rPr>
                <w:rFonts w:ascii="PingFang SC" w:hAnsi="PingFang SC" w:eastAsia="PingFang SC" w:cs="PingFang SC"/>
                <w:b/>
                <w:bCs/>
                <w:color w:val="FFFFFF"/>
                <w:spacing w:val="5"/>
                <w:sz w:val="32"/>
                <w:szCs w:val="32"/>
              </w:rPr>
              <w:t>item</w:t>
            </w:r>
            <w:r>
              <w:rPr>
                <w:rFonts w:ascii="PingFang SC" w:hAnsi="PingFang SC" w:eastAsia="PingFang SC" w:cs="PingFang SC"/>
                <w:color w:val="FFFFFF"/>
                <w:spacing w:val="5"/>
                <w:sz w:val="32"/>
                <w:szCs w:val="32"/>
              </w:rPr>
              <w:t xml:space="preserve"> </w:t>
            </w:r>
            <w:r>
              <w:rPr>
                <w:rFonts w:ascii="PingFang SC" w:hAnsi="PingFang SC" w:eastAsia="PingFang SC" w:cs="PingFang SC"/>
                <w:b/>
                <w:bCs/>
                <w:color w:val="FFFFFF"/>
                <w:spacing w:val="5"/>
                <w:sz w:val="32"/>
                <w:szCs w:val="32"/>
              </w:rPr>
              <w:t>description</w:t>
            </w:r>
          </w:p>
        </w:tc>
        <w:tc>
          <w:tcPr>
            <w:tcW w:w="7649" w:type="dxa"/>
            <w:tcBorders>
              <w:top w:val="single" w:color="9C2631" w:sz="34" w:space="0"/>
            </w:tcBorders>
            <w:shd w:val="clear" w:color="auto" w:fill="9C2631"/>
            <w:vAlign w:val="top"/>
          </w:tcPr>
          <w:p w14:paraId="2FD7E132">
            <w:pPr>
              <w:spacing w:before="111" w:line="168" w:lineRule="auto"/>
              <w:ind w:left="125"/>
              <w:rPr>
                <w:rFonts w:ascii="PingFang SC" w:hAnsi="PingFang SC" w:eastAsia="PingFang SC" w:cs="PingFang SC"/>
                <w:sz w:val="32"/>
                <w:szCs w:val="32"/>
              </w:rPr>
            </w:pPr>
            <w:r>
              <w:rPr>
                <w:rFonts w:ascii="PingFang SC" w:hAnsi="PingFang SC" w:eastAsia="PingFang SC" w:cs="PingFang SC"/>
                <w:b/>
                <w:bCs/>
                <w:color w:val="FFFFFF"/>
                <w:spacing w:val="5"/>
                <w:sz w:val="32"/>
                <w:szCs w:val="32"/>
              </w:rPr>
              <w:t>Reported</w:t>
            </w:r>
            <w:r>
              <w:rPr>
                <w:rFonts w:ascii="PingFang SC" w:hAnsi="PingFang SC" w:eastAsia="PingFang SC" w:cs="PingFang SC"/>
                <w:color w:val="FFFFFF"/>
                <w:spacing w:val="5"/>
                <w:sz w:val="32"/>
                <w:szCs w:val="32"/>
              </w:rPr>
              <w:t xml:space="preserve"> </w:t>
            </w:r>
            <w:r>
              <w:rPr>
                <w:rFonts w:ascii="PingFang SC" w:hAnsi="PingFang SC" w:eastAsia="PingFang SC" w:cs="PingFang SC"/>
                <w:b/>
                <w:bCs/>
                <w:color w:val="FFFFFF"/>
                <w:spacing w:val="5"/>
                <w:sz w:val="32"/>
                <w:szCs w:val="32"/>
              </w:rPr>
              <w:t>on</w:t>
            </w:r>
            <w:r>
              <w:rPr>
                <w:rFonts w:ascii="PingFang SC" w:hAnsi="PingFang SC" w:eastAsia="PingFang SC" w:cs="PingFang SC"/>
                <w:color w:val="FFFFFF"/>
                <w:spacing w:val="5"/>
                <w:sz w:val="32"/>
                <w:szCs w:val="32"/>
              </w:rPr>
              <w:t xml:space="preserve"> </w:t>
            </w:r>
            <w:r>
              <w:rPr>
                <w:rFonts w:ascii="PingFang SC" w:hAnsi="PingFang SC" w:eastAsia="PingFang SC" w:cs="PingFang SC"/>
                <w:b/>
                <w:bCs/>
                <w:color w:val="FFFFFF"/>
                <w:spacing w:val="5"/>
                <w:sz w:val="32"/>
                <w:szCs w:val="32"/>
              </w:rPr>
              <w:t>Line</w:t>
            </w:r>
          </w:p>
        </w:tc>
      </w:tr>
      <w:tr w14:paraId="2D09934D">
        <w:trPr>
          <w:trHeight w:val="1469" w:hRule="atLeast"/>
        </w:trPr>
        <w:tc>
          <w:tcPr>
            <w:tcW w:w="2188" w:type="dxa"/>
            <w:vAlign w:val="top"/>
          </w:tcPr>
          <w:p w14:paraId="65A9BC04">
            <w:pPr>
              <w:spacing w:before="129" w:line="170" w:lineRule="auto"/>
              <w:ind w:left="121"/>
              <w:rPr>
                <w:rFonts w:ascii="PingFang SC" w:hAnsi="PingFang SC" w:eastAsia="PingFang SC" w:cs="PingFang SC"/>
                <w:sz w:val="32"/>
                <w:szCs w:val="32"/>
              </w:rPr>
            </w:pPr>
            <w:r>
              <w:rPr>
                <w:rFonts w:ascii="PingFang SC" w:hAnsi="PingFang SC" w:eastAsia="PingFang SC" w:cs="PingFang SC"/>
                <w:b/>
                <w:bCs/>
                <w:spacing w:val="2"/>
                <w:sz w:val="32"/>
                <w:szCs w:val="32"/>
              </w:rPr>
              <w:t>Title</w:t>
            </w:r>
          </w:p>
        </w:tc>
        <w:tc>
          <w:tcPr>
            <w:tcW w:w="720" w:type="dxa"/>
            <w:vAlign w:val="top"/>
          </w:tcPr>
          <w:p w14:paraId="0E1AE7B8">
            <w:pPr>
              <w:spacing w:before="139" w:line="166" w:lineRule="auto"/>
              <w:ind w:left="316"/>
              <w:rPr>
                <w:rFonts w:ascii="PingFang SC" w:hAnsi="PingFang SC" w:eastAsia="PingFang SC" w:cs="PingFang SC"/>
                <w:sz w:val="32"/>
                <w:szCs w:val="32"/>
              </w:rPr>
            </w:pPr>
            <w:r>
              <w:rPr>
                <w:rFonts w:ascii="PingFang SC" w:hAnsi="PingFang SC" w:eastAsia="PingFang SC" w:cs="PingFang SC"/>
                <w:b/>
                <w:bCs/>
                <w:spacing w:val="16"/>
                <w:sz w:val="32"/>
                <w:szCs w:val="32"/>
              </w:rPr>
              <w:t>1</w:t>
            </w:r>
          </w:p>
        </w:tc>
        <w:tc>
          <w:tcPr>
            <w:tcW w:w="4061" w:type="dxa"/>
            <w:vAlign w:val="top"/>
          </w:tcPr>
          <w:p w14:paraId="28A47FAD">
            <w:pPr>
              <w:pStyle w:val="12"/>
              <w:spacing w:before="69" w:line="287" w:lineRule="auto"/>
              <w:ind w:left="101"/>
              <w:rPr>
                <w:sz w:val="32"/>
                <w:szCs w:val="32"/>
              </w:rPr>
            </w:pPr>
            <w:r>
              <w:rPr>
                <w:spacing w:val="-5"/>
                <w:sz w:val="32"/>
                <w:szCs w:val="32"/>
              </w:rPr>
              <w:t>The diagnosis or intervention of primary</w:t>
            </w:r>
            <w:r>
              <w:rPr>
                <w:spacing w:val="2"/>
                <w:sz w:val="32"/>
                <w:szCs w:val="32"/>
              </w:rPr>
              <w:t xml:space="preserve"> </w:t>
            </w:r>
            <w:r>
              <w:rPr>
                <w:spacing w:val="-5"/>
                <w:sz w:val="32"/>
                <w:szCs w:val="32"/>
              </w:rPr>
              <w:t>focus</w:t>
            </w:r>
            <w:r>
              <w:rPr>
                <w:spacing w:val="-12"/>
                <w:sz w:val="32"/>
                <w:szCs w:val="32"/>
              </w:rPr>
              <w:t xml:space="preserve"> </w:t>
            </w:r>
            <w:r>
              <w:rPr>
                <w:spacing w:val="-5"/>
                <w:sz w:val="32"/>
                <w:szCs w:val="32"/>
              </w:rPr>
              <w:t>followed by the</w:t>
            </w:r>
            <w:r>
              <w:rPr>
                <w:spacing w:val="-14"/>
                <w:sz w:val="32"/>
                <w:szCs w:val="32"/>
              </w:rPr>
              <w:t xml:space="preserve"> </w:t>
            </w:r>
            <w:r>
              <w:rPr>
                <w:spacing w:val="-5"/>
                <w:sz w:val="32"/>
                <w:szCs w:val="32"/>
              </w:rPr>
              <w:t>words</w:t>
            </w:r>
            <w:r>
              <w:rPr>
                <w:spacing w:val="-15"/>
                <w:sz w:val="32"/>
                <w:szCs w:val="32"/>
              </w:rPr>
              <w:t xml:space="preserve"> </w:t>
            </w:r>
            <w:r>
              <w:rPr>
                <w:spacing w:val="-5"/>
                <w:sz w:val="32"/>
                <w:szCs w:val="32"/>
              </w:rPr>
              <w:t xml:space="preserve">“case report” </w:t>
            </w:r>
          </w:p>
        </w:tc>
        <w:tc>
          <w:tcPr>
            <w:tcW w:w="7649" w:type="dxa"/>
            <w:vAlign w:val="top"/>
          </w:tcPr>
          <w:p w14:paraId="7A362B44">
            <w:pPr>
              <w:pStyle w:val="12"/>
              <w:rPr>
                <w:sz w:val="32"/>
                <w:szCs w:val="32"/>
                <w:u w:val="none" w:color="auto"/>
              </w:rPr>
            </w:pPr>
            <w:r>
              <w:rPr>
                <w:rFonts w:hint="eastAsia"/>
                <w:sz w:val="32"/>
                <w:szCs w:val="32"/>
                <w:u w:val="none" w:color="auto"/>
              </w:rPr>
              <w:t>a</w:t>
            </w:r>
            <w:r>
              <w:rPr>
                <w:rFonts w:hint="eastAsia"/>
                <w:sz w:val="32"/>
                <w:szCs w:val="32"/>
                <w:u w:val="none" w:color="auto"/>
              </w:rPr>
              <w:t>cute intermittent porphyria</w:t>
            </w:r>
            <w:r>
              <w:rPr>
                <w:rFonts w:hint="eastAsia" w:eastAsia="宋体"/>
                <w:sz w:val="32"/>
                <w:szCs w:val="32"/>
                <w:u w:val="none" w:color="auto"/>
                <w:lang w:eastAsia="zh-CN"/>
              </w:rPr>
              <w:t>；</w:t>
            </w:r>
            <w:r>
              <w:rPr>
                <w:rFonts w:hint="eastAsia" w:eastAsia="宋体"/>
                <w:sz w:val="32"/>
                <w:szCs w:val="32"/>
                <w:u w:val="none" w:color="auto"/>
                <w:lang w:val="en-US" w:eastAsia="zh-CN"/>
              </w:rPr>
              <w:t>case report</w:t>
            </w:r>
          </w:p>
          <w:p w14:paraId="2AA6DCCF">
            <w:pPr>
              <w:pStyle w:val="12"/>
              <w:rPr>
                <w:sz w:val="32"/>
                <w:szCs w:val="32"/>
                <w:u w:val="none" w:color="auto"/>
              </w:rPr>
            </w:pPr>
          </w:p>
          <w:p w14:paraId="364BCD48">
            <w:pPr>
              <w:pStyle w:val="12"/>
              <w:rPr>
                <w:sz w:val="32"/>
                <w:szCs w:val="32"/>
              </w:rPr>
            </w:pPr>
          </w:p>
        </w:tc>
      </w:tr>
      <w:tr w14:paraId="7982B006">
        <w:trPr>
          <w:trHeight w:val="325" w:hRule="atLeast"/>
        </w:trPr>
        <w:tc>
          <w:tcPr>
            <w:tcW w:w="2188" w:type="dxa"/>
            <w:vAlign w:val="top"/>
          </w:tcPr>
          <w:p w14:paraId="052F1794">
            <w:pPr>
              <w:spacing w:before="115" w:line="200" w:lineRule="exact"/>
              <w:ind w:left="119"/>
              <w:rPr>
                <w:rFonts w:ascii="PingFang SC" w:hAnsi="PingFang SC" w:eastAsia="PingFang SC" w:cs="PingFang SC"/>
                <w:b/>
                <w:bCs/>
                <w:spacing w:val="7"/>
                <w:position w:val="1"/>
                <w:sz w:val="32"/>
                <w:szCs w:val="32"/>
              </w:rPr>
            </w:pPr>
          </w:p>
          <w:p w14:paraId="47913D8B">
            <w:pPr>
              <w:spacing w:before="115" w:line="200" w:lineRule="exact"/>
              <w:ind w:left="119"/>
              <w:rPr>
                <w:rFonts w:ascii="PingFang SC" w:hAnsi="PingFang SC" w:eastAsia="PingFang SC" w:cs="PingFang SC"/>
                <w:sz w:val="32"/>
                <w:szCs w:val="32"/>
              </w:rPr>
            </w:pPr>
            <w:r>
              <w:rPr>
                <w:rFonts w:ascii="PingFang SC" w:hAnsi="PingFang SC" w:eastAsia="PingFang SC" w:cs="PingFang SC"/>
                <w:b/>
                <w:bCs/>
                <w:spacing w:val="7"/>
                <w:position w:val="1"/>
                <w:sz w:val="32"/>
                <w:szCs w:val="32"/>
              </w:rPr>
              <w:t>Key</w:t>
            </w:r>
            <w:r>
              <w:rPr>
                <w:rFonts w:ascii="PingFang SC" w:hAnsi="PingFang SC" w:eastAsia="PingFang SC" w:cs="PingFang SC"/>
                <w:spacing w:val="-4"/>
                <w:position w:val="1"/>
                <w:sz w:val="32"/>
                <w:szCs w:val="32"/>
              </w:rPr>
              <w:t xml:space="preserve"> </w:t>
            </w:r>
            <w:r>
              <w:rPr>
                <w:rFonts w:ascii="PingFang SC" w:hAnsi="PingFang SC" w:eastAsia="PingFang SC" w:cs="PingFang SC"/>
                <w:b/>
                <w:bCs/>
                <w:spacing w:val="7"/>
                <w:position w:val="1"/>
                <w:sz w:val="32"/>
                <w:szCs w:val="32"/>
              </w:rPr>
              <w:t>Words</w:t>
            </w:r>
          </w:p>
        </w:tc>
        <w:tc>
          <w:tcPr>
            <w:tcW w:w="720" w:type="dxa"/>
            <w:vAlign w:val="top"/>
          </w:tcPr>
          <w:p w14:paraId="6C8A1A57">
            <w:pPr>
              <w:spacing w:before="93" w:line="222" w:lineRule="exact"/>
              <w:ind w:left="305"/>
              <w:rPr>
                <w:rFonts w:ascii="PingFang SC" w:hAnsi="PingFang SC" w:eastAsia="PingFang SC" w:cs="PingFang SC"/>
                <w:sz w:val="32"/>
                <w:szCs w:val="32"/>
              </w:rPr>
            </w:pPr>
            <w:r>
              <w:rPr>
                <w:rFonts w:ascii="PingFang SC" w:hAnsi="PingFang SC" w:eastAsia="PingFang SC" w:cs="PingFang SC"/>
                <w:b/>
                <w:bCs/>
                <w:spacing w:val="-3"/>
                <w:position w:val="-1"/>
                <w:sz w:val="32"/>
                <w:szCs w:val="32"/>
              </w:rPr>
              <w:t>2</w:t>
            </w:r>
          </w:p>
        </w:tc>
        <w:tc>
          <w:tcPr>
            <w:tcW w:w="4061" w:type="dxa"/>
            <w:vAlign w:val="top"/>
          </w:tcPr>
          <w:p w14:paraId="13920D7F">
            <w:pPr>
              <w:pStyle w:val="12"/>
              <w:spacing w:before="32" w:line="287" w:lineRule="auto"/>
              <w:ind w:left="115"/>
              <w:rPr>
                <w:spacing w:val="17"/>
                <w:sz w:val="32"/>
                <w:szCs w:val="32"/>
              </w:rPr>
            </w:pPr>
            <w:r>
              <w:rPr>
                <w:spacing w:val="17"/>
                <w:sz w:val="32"/>
                <w:szCs w:val="32"/>
              </w:rPr>
              <w:t xml:space="preserve">2 </w:t>
            </w:r>
            <w:r>
              <w:rPr>
                <w:sz w:val="32"/>
                <w:szCs w:val="32"/>
              </w:rPr>
              <w:t>to</w:t>
            </w:r>
            <w:r>
              <w:rPr>
                <w:spacing w:val="17"/>
                <w:sz w:val="32"/>
                <w:szCs w:val="32"/>
              </w:rPr>
              <w:t xml:space="preserve"> 5</w:t>
            </w:r>
            <w:r>
              <w:rPr>
                <w:spacing w:val="19"/>
                <w:sz w:val="32"/>
                <w:szCs w:val="32"/>
              </w:rPr>
              <w:t xml:space="preserve"> </w:t>
            </w:r>
            <w:r>
              <w:rPr>
                <w:sz w:val="32"/>
                <w:szCs w:val="32"/>
              </w:rPr>
              <w:t>key</w:t>
            </w:r>
            <w:r>
              <w:rPr>
                <w:spacing w:val="17"/>
                <w:sz w:val="32"/>
                <w:szCs w:val="32"/>
              </w:rPr>
              <w:t xml:space="preserve"> </w:t>
            </w:r>
            <w:r>
              <w:rPr>
                <w:sz w:val="32"/>
                <w:szCs w:val="32"/>
              </w:rPr>
              <w:t>words</w:t>
            </w:r>
            <w:r>
              <w:rPr>
                <w:spacing w:val="17"/>
                <w:sz w:val="32"/>
                <w:szCs w:val="32"/>
              </w:rPr>
              <w:t xml:space="preserve"> </w:t>
            </w:r>
            <w:r>
              <w:rPr>
                <w:sz w:val="32"/>
                <w:szCs w:val="32"/>
              </w:rPr>
              <w:t>that</w:t>
            </w:r>
            <w:r>
              <w:rPr>
                <w:spacing w:val="17"/>
                <w:w w:val="101"/>
                <w:sz w:val="32"/>
                <w:szCs w:val="32"/>
              </w:rPr>
              <w:t xml:space="preserve"> </w:t>
            </w:r>
            <w:r>
              <w:rPr>
                <w:sz w:val="32"/>
                <w:szCs w:val="32"/>
              </w:rPr>
              <w:t>identify</w:t>
            </w:r>
            <w:r>
              <w:rPr>
                <w:spacing w:val="17"/>
                <w:sz w:val="32"/>
                <w:szCs w:val="32"/>
              </w:rPr>
              <w:t xml:space="preserve"> </w:t>
            </w:r>
            <w:r>
              <w:rPr>
                <w:sz w:val="32"/>
                <w:szCs w:val="32"/>
              </w:rPr>
              <w:t>diagnoses</w:t>
            </w:r>
            <w:r>
              <w:rPr>
                <w:spacing w:val="17"/>
                <w:sz w:val="32"/>
                <w:szCs w:val="32"/>
              </w:rPr>
              <w:t xml:space="preserve"> </w:t>
            </w:r>
            <w:r>
              <w:rPr>
                <w:sz w:val="32"/>
                <w:szCs w:val="32"/>
              </w:rPr>
              <w:t>or</w:t>
            </w:r>
            <w:r>
              <w:rPr>
                <w:spacing w:val="14"/>
                <w:w w:val="101"/>
                <w:sz w:val="32"/>
                <w:szCs w:val="32"/>
              </w:rPr>
              <w:t xml:space="preserve"> </w:t>
            </w:r>
            <w:r>
              <w:rPr>
                <w:sz w:val="32"/>
                <w:szCs w:val="32"/>
              </w:rPr>
              <w:t>interventions</w:t>
            </w:r>
            <w:r>
              <w:rPr>
                <w:spacing w:val="18"/>
                <w:w w:val="101"/>
                <w:sz w:val="32"/>
                <w:szCs w:val="32"/>
              </w:rPr>
              <w:t xml:space="preserve"> </w:t>
            </w:r>
            <w:r>
              <w:rPr>
                <w:sz w:val="32"/>
                <w:szCs w:val="32"/>
              </w:rPr>
              <w:t>in</w:t>
            </w:r>
            <w:r>
              <w:rPr>
                <w:spacing w:val="8"/>
                <w:sz w:val="32"/>
                <w:szCs w:val="32"/>
              </w:rPr>
              <w:t xml:space="preserve"> </w:t>
            </w:r>
            <w:r>
              <w:rPr>
                <w:sz w:val="32"/>
                <w:szCs w:val="32"/>
              </w:rPr>
              <w:t>this</w:t>
            </w:r>
            <w:r>
              <w:rPr>
                <w:spacing w:val="13"/>
                <w:sz w:val="32"/>
                <w:szCs w:val="32"/>
              </w:rPr>
              <w:t xml:space="preserve"> </w:t>
            </w:r>
            <w:r>
              <w:rPr>
                <w:sz w:val="32"/>
                <w:szCs w:val="32"/>
              </w:rPr>
              <w:t>case</w:t>
            </w:r>
            <w:r>
              <w:rPr>
                <w:spacing w:val="18"/>
                <w:sz w:val="32"/>
                <w:szCs w:val="32"/>
              </w:rPr>
              <w:t xml:space="preserve"> </w:t>
            </w:r>
            <w:r>
              <w:rPr>
                <w:sz w:val="32"/>
                <w:szCs w:val="32"/>
              </w:rPr>
              <w:t>report</w:t>
            </w:r>
            <w:r>
              <w:rPr>
                <w:spacing w:val="17"/>
                <w:sz w:val="32"/>
                <w:szCs w:val="32"/>
              </w:rPr>
              <w:t>,</w:t>
            </w:r>
            <w:r>
              <w:rPr>
                <w:spacing w:val="17"/>
                <w:w w:val="101"/>
                <w:sz w:val="32"/>
                <w:szCs w:val="32"/>
              </w:rPr>
              <w:t xml:space="preserve"> </w:t>
            </w:r>
            <w:r>
              <w:rPr>
                <w:sz w:val="32"/>
                <w:szCs w:val="32"/>
              </w:rPr>
              <w:t>including</w:t>
            </w:r>
            <w:r>
              <w:rPr>
                <w:spacing w:val="13"/>
                <w:sz w:val="32"/>
                <w:szCs w:val="32"/>
              </w:rPr>
              <w:t xml:space="preserve"> </w:t>
            </w:r>
            <w:r>
              <w:rPr>
                <w:spacing w:val="17"/>
                <w:sz w:val="32"/>
                <w:szCs w:val="32"/>
              </w:rPr>
              <w:t>"</w:t>
            </w:r>
            <w:r>
              <w:rPr>
                <w:sz w:val="32"/>
                <w:szCs w:val="32"/>
              </w:rPr>
              <w:t>case</w:t>
            </w:r>
            <w:r>
              <w:rPr>
                <w:spacing w:val="17"/>
                <w:w w:val="101"/>
                <w:sz w:val="32"/>
                <w:szCs w:val="32"/>
              </w:rPr>
              <w:t xml:space="preserve"> </w:t>
            </w:r>
            <w:r>
              <w:rPr>
                <w:sz w:val="32"/>
                <w:szCs w:val="32"/>
              </w:rPr>
              <w:t>report</w:t>
            </w:r>
            <w:r>
              <w:rPr>
                <w:spacing w:val="17"/>
                <w:sz w:val="32"/>
                <w:szCs w:val="32"/>
              </w:rPr>
              <w:t xml:space="preserve">" </w:t>
            </w:r>
          </w:p>
          <w:p w14:paraId="29EA81AB">
            <w:pPr>
              <w:pStyle w:val="12"/>
              <w:spacing w:before="32" w:line="287" w:lineRule="auto"/>
              <w:ind w:left="115"/>
              <w:rPr>
                <w:sz w:val="32"/>
                <w:szCs w:val="32"/>
              </w:rPr>
            </w:pPr>
          </w:p>
        </w:tc>
        <w:tc>
          <w:tcPr>
            <w:tcW w:w="7649" w:type="dxa"/>
            <w:tcBorders>
              <w:bottom w:val="single" w:color="000000" w:sz="2" w:space="0"/>
            </w:tcBorders>
            <w:vAlign w:val="top"/>
          </w:tcPr>
          <w:p w14:paraId="77355ABB">
            <w:pPr>
              <w:pStyle w:val="12"/>
              <w:rPr>
                <w:sz w:val="32"/>
                <w:szCs w:val="32"/>
              </w:rPr>
            </w:pPr>
            <w:r>
              <w:rPr>
                <w:rFonts w:hint="eastAsia"/>
                <w:sz w:val="32"/>
                <w:szCs w:val="32"/>
                <w:u w:val="none" w:color="auto"/>
              </w:rPr>
              <w:t>acute intermittent porphyria, HMBS gene, osmotic demyelination syndrome, central and peripheral neuropathy, genetic diagnosis.</w:t>
            </w:r>
            <w:r>
              <w:rPr>
                <w:rFonts w:hint="eastAsia" w:eastAsia="宋体"/>
                <w:sz w:val="32"/>
                <w:szCs w:val="32"/>
                <w:u w:val="none" w:color="auto"/>
                <w:lang w:val="en-US" w:eastAsia="zh-CN"/>
              </w:rPr>
              <w:t>case report；</w:t>
            </w:r>
            <w:r>
              <w:rPr>
                <w:sz w:val="32"/>
                <w:szCs w:val="32"/>
                <w:u w:val="none" w:color="auto"/>
              </w:rPr>
              <w:t xml:space="preserve">    </w:t>
            </w:r>
          </w:p>
        </w:tc>
      </w:tr>
      <w:tr w14:paraId="33AC1ED5">
        <w:trPr>
          <w:trHeight w:val="305" w:hRule="atLeast"/>
        </w:trPr>
        <w:tc>
          <w:tcPr>
            <w:tcW w:w="2188" w:type="dxa"/>
            <w:vMerge w:val="restart"/>
            <w:vAlign w:val="top"/>
          </w:tcPr>
          <w:p w14:paraId="3667E6E0">
            <w:pPr>
              <w:spacing w:before="106" w:line="189" w:lineRule="exact"/>
              <w:ind w:left="120"/>
              <w:rPr>
                <w:rFonts w:ascii="PingFang SC" w:hAnsi="PingFang SC" w:eastAsia="PingFang SC" w:cs="PingFang SC"/>
                <w:b/>
                <w:bCs/>
                <w:spacing w:val="6"/>
                <w:position w:val="-1"/>
                <w:sz w:val="32"/>
                <w:szCs w:val="32"/>
              </w:rPr>
            </w:pPr>
            <w:r>
              <w:rPr>
                <w:rFonts w:ascii="PingFang SC" w:hAnsi="PingFang SC" w:eastAsia="PingFang SC" w:cs="PingFang SC"/>
                <w:b/>
                <w:bCs/>
                <w:spacing w:val="6"/>
                <w:position w:val="-1"/>
                <w:sz w:val="32"/>
                <w:szCs w:val="32"/>
              </w:rPr>
              <w:t>Abstract</w:t>
            </w:r>
          </w:p>
          <w:p w14:paraId="29855B38">
            <w:pPr>
              <w:spacing w:line="236" w:lineRule="auto"/>
              <w:ind w:left="131"/>
              <w:rPr>
                <w:rFonts w:ascii="PingFang SC" w:hAnsi="PingFang SC" w:eastAsia="PingFang SC" w:cs="PingFang SC"/>
                <w:sz w:val="32"/>
                <w:szCs w:val="32"/>
              </w:rPr>
            </w:pPr>
            <w:r>
              <w:rPr>
                <w:rFonts w:ascii="PingFang SC" w:hAnsi="PingFang SC" w:eastAsia="PingFang SC" w:cs="PingFang SC"/>
                <w:b/>
                <w:bCs/>
                <w:spacing w:val="12"/>
                <w:sz w:val="32"/>
                <w:szCs w:val="32"/>
              </w:rPr>
              <w:t>(</w:t>
            </w:r>
            <w:r>
              <w:rPr>
                <w:rFonts w:ascii="PingFang SC" w:hAnsi="PingFang SC" w:eastAsia="PingFang SC" w:cs="PingFang SC"/>
                <w:b/>
                <w:bCs/>
                <w:sz w:val="32"/>
                <w:szCs w:val="32"/>
              </w:rPr>
              <w:t>no</w:t>
            </w:r>
            <w:r>
              <w:rPr>
                <w:rFonts w:ascii="PingFang SC" w:hAnsi="PingFang SC" w:eastAsia="PingFang SC" w:cs="PingFang SC"/>
                <w:spacing w:val="12"/>
                <w:sz w:val="32"/>
                <w:szCs w:val="32"/>
              </w:rPr>
              <w:t xml:space="preserve"> </w:t>
            </w:r>
            <w:r>
              <w:rPr>
                <w:rFonts w:ascii="PingFang SC" w:hAnsi="PingFang SC" w:eastAsia="PingFang SC" w:cs="PingFang SC"/>
                <w:b/>
                <w:bCs/>
                <w:sz w:val="32"/>
                <w:szCs w:val="32"/>
              </w:rPr>
              <w:t>references</w:t>
            </w:r>
            <w:r>
              <w:rPr>
                <w:rFonts w:ascii="PingFang SC" w:hAnsi="PingFang SC" w:eastAsia="PingFang SC" w:cs="PingFang SC"/>
                <w:b/>
                <w:bCs/>
                <w:spacing w:val="12"/>
                <w:sz w:val="32"/>
                <w:szCs w:val="32"/>
              </w:rPr>
              <w:t>)</w:t>
            </w:r>
          </w:p>
        </w:tc>
        <w:tc>
          <w:tcPr>
            <w:tcW w:w="720" w:type="dxa"/>
            <w:vAlign w:val="top"/>
          </w:tcPr>
          <w:p w14:paraId="01C3B060">
            <w:pPr>
              <w:spacing w:before="104" w:line="191" w:lineRule="exact"/>
              <w:ind w:left="249"/>
              <w:rPr>
                <w:rFonts w:ascii="PingFang SC" w:hAnsi="PingFang SC" w:eastAsia="PingFang SC" w:cs="PingFang SC"/>
                <w:sz w:val="32"/>
                <w:szCs w:val="32"/>
              </w:rPr>
            </w:pPr>
            <w:r>
              <w:rPr>
                <w:rFonts w:ascii="PingFang SC" w:hAnsi="PingFang SC" w:eastAsia="PingFang SC" w:cs="PingFang SC"/>
                <w:b/>
                <w:bCs/>
                <w:spacing w:val="-5"/>
                <w:position w:val="-1"/>
                <w:sz w:val="32"/>
                <w:szCs w:val="32"/>
              </w:rPr>
              <w:t>3a</w:t>
            </w:r>
          </w:p>
        </w:tc>
        <w:tc>
          <w:tcPr>
            <w:tcW w:w="4061" w:type="dxa"/>
            <w:vAlign w:val="top"/>
          </w:tcPr>
          <w:p w14:paraId="031EF2F5">
            <w:pPr>
              <w:pStyle w:val="12"/>
              <w:spacing w:before="16" w:line="289" w:lineRule="auto"/>
              <w:ind w:left="132"/>
              <w:rPr>
                <w:spacing w:val="-4"/>
                <w:sz w:val="32"/>
                <w:szCs w:val="32"/>
              </w:rPr>
            </w:pPr>
            <w:r>
              <w:rPr>
                <w:spacing w:val="-3"/>
                <w:sz w:val="32"/>
                <w:szCs w:val="32"/>
              </w:rPr>
              <w:t>Introduction: What is unique about</w:t>
            </w:r>
            <w:r>
              <w:rPr>
                <w:spacing w:val="-4"/>
                <w:sz w:val="32"/>
                <w:szCs w:val="32"/>
              </w:rPr>
              <w:t xml:space="preserve"> this case and what does it add to the scientific literature? </w:t>
            </w:r>
          </w:p>
          <w:p w14:paraId="0F3D781D">
            <w:pPr>
              <w:pStyle w:val="12"/>
              <w:spacing w:before="16" w:line="289" w:lineRule="auto"/>
              <w:ind w:left="132"/>
              <w:rPr>
                <w:sz w:val="32"/>
                <w:szCs w:val="32"/>
              </w:rPr>
            </w:pPr>
          </w:p>
        </w:tc>
        <w:tc>
          <w:tcPr>
            <w:tcW w:w="7649" w:type="dxa"/>
            <w:tcBorders>
              <w:top w:val="single" w:color="000000" w:sz="2" w:space="0"/>
              <w:bottom w:val="single" w:color="000000" w:sz="2" w:space="0"/>
            </w:tcBorders>
            <w:vAlign w:val="top"/>
          </w:tcPr>
          <w:p w14:paraId="0331BCF7">
            <w:pPr>
              <w:pStyle w:val="12"/>
              <w:spacing w:before="16" w:line="289" w:lineRule="auto"/>
              <w:ind w:left="132"/>
              <w:rPr>
                <w:rFonts w:hint="default"/>
                <w:spacing w:val="-4"/>
                <w:sz w:val="32"/>
                <w:szCs w:val="32"/>
                <w:u w:val="none" w:color="auto"/>
              </w:rPr>
            </w:pPr>
            <w:r>
              <w:rPr>
                <w:spacing w:val="-4"/>
                <w:sz w:val="32"/>
                <w:szCs w:val="32"/>
                <w:u w:val="none" w:color="auto"/>
              </w:rPr>
              <w:t xml:space="preserve"> </w:t>
            </w:r>
            <w:r>
              <w:rPr>
                <w:rFonts w:hint="default"/>
                <w:spacing w:val="-4"/>
                <w:sz w:val="32"/>
                <w:szCs w:val="32"/>
                <w:u w:val="none" w:color="auto"/>
                <w:lang w:val="en-US"/>
              </w:rPr>
              <w:t>T</w:t>
            </w:r>
            <w:r>
              <w:rPr>
                <w:rFonts w:hint="default"/>
                <w:spacing w:val="-4"/>
                <w:sz w:val="32"/>
                <w:szCs w:val="32"/>
                <w:u w:val="none" w:color="auto"/>
              </w:rPr>
              <w:t>his</w:t>
            </w:r>
            <w:r>
              <w:rPr>
                <w:rFonts w:hint="eastAsia" w:eastAsia="宋体"/>
                <w:spacing w:val="-4"/>
                <w:sz w:val="32"/>
                <w:szCs w:val="32"/>
                <w:u w:val="none" w:color="auto"/>
                <w:lang w:val="en-US" w:eastAsia="zh-CN"/>
              </w:rPr>
              <w:t xml:space="preserve"> case</w:t>
            </w:r>
            <w:r>
              <w:rPr>
                <w:rFonts w:hint="default"/>
                <w:spacing w:val="-4"/>
                <w:sz w:val="32"/>
                <w:szCs w:val="32"/>
                <w:u w:val="none" w:color="auto"/>
              </w:rPr>
              <w:t xml:space="preserve"> is a unique and instructive case of acute intermittent porphyria (AIP)</w:t>
            </w:r>
            <w:r>
              <w:rPr>
                <w:rFonts w:hint="eastAsia" w:eastAsia="宋体"/>
                <w:spacing w:val="-4"/>
                <w:sz w:val="32"/>
                <w:szCs w:val="32"/>
                <w:u w:val="none" w:color="auto"/>
                <w:lang w:eastAsia="zh-CN"/>
              </w:rPr>
              <w:t>，</w:t>
            </w:r>
            <w:r>
              <w:rPr>
                <w:rFonts w:hint="eastAsia" w:eastAsia="宋体"/>
                <w:spacing w:val="-4"/>
                <w:sz w:val="32"/>
                <w:szCs w:val="32"/>
                <w:u w:val="none" w:color="auto"/>
                <w:lang w:val="en-US" w:eastAsia="zh-CN"/>
              </w:rPr>
              <w:t xml:space="preserve">and </w:t>
            </w:r>
            <w:r>
              <w:rPr>
                <w:rFonts w:hint="default"/>
                <w:spacing w:val="-4"/>
                <w:sz w:val="32"/>
                <w:szCs w:val="32"/>
                <w:u w:val="none" w:color="auto"/>
              </w:rPr>
              <w:t>the first report of the HMBS c.770T&gt;C (p.Leu257Pro) mutation in a Chinese individual,</w:t>
            </w:r>
            <w:r>
              <w:rPr>
                <w:spacing w:val="-4"/>
                <w:sz w:val="32"/>
                <w:szCs w:val="32"/>
                <w:u w:val="none" w:color="auto"/>
              </w:rPr>
              <w:t xml:space="preserve"> </w:t>
            </w:r>
            <w:r>
              <w:rPr>
                <w:rFonts w:hint="default"/>
                <w:spacing w:val="-4"/>
                <w:sz w:val="32"/>
                <w:szCs w:val="32"/>
                <w:u w:val="none" w:color="auto"/>
              </w:rPr>
              <w:t>expanding the known genetic and phenotypic spectrum of AIP in Asian populations.</w:t>
            </w:r>
          </w:p>
          <w:p w14:paraId="264AA64D">
            <w:pPr>
              <w:pStyle w:val="12"/>
              <w:rPr>
                <w:sz w:val="32"/>
                <w:szCs w:val="32"/>
                <w:u w:val="none" w:color="auto"/>
              </w:rPr>
            </w:pPr>
          </w:p>
        </w:tc>
      </w:tr>
      <w:tr w14:paraId="6E296DDD">
        <w:trPr>
          <w:trHeight w:val="90" w:hRule="atLeast"/>
        </w:trPr>
        <w:tc>
          <w:tcPr>
            <w:tcW w:w="2188" w:type="dxa"/>
            <w:vMerge w:val="continue"/>
            <w:tcBorders/>
            <w:vAlign w:val="top"/>
          </w:tcPr>
          <w:p w14:paraId="26FA6900">
            <w:pPr>
              <w:spacing w:line="236" w:lineRule="auto"/>
              <w:ind w:left="131"/>
              <w:rPr>
                <w:rFonts w:ascii="PingFang SC" w:hAnsi="PingFang SC" w:eastAsia="PingFang SC" w:cs="PingFang SC"/>
                <w:sz w:val="32"/>
                <w:szCs w:val="32"/>
              </w:rPr>
            </w:pPr>
          </w:p>
        </w:tc>
        <w:tc>
          <w:tcPr>
            <w:tcW w:w="720" w:type="dxa"/>
            <w:vAlign w:val="top"/>
          </w:tcPr>
          <w:p w14:paraId="6B9D37AF">
            <w:pPr>
              <w:spacing w:before="130" w:line="170" w:lineRule="auto"/>
              <w:ind w:left="243"/>
              <w:rPr>
                <w:rFonts w:ascii="PingFang SC" w:hAnsi="PingFang SC" w:eastAsia="PingFang SC" w:cs="PingFang SC"/>
                <w:sz w:val="32"/>
                <w:szCs w:val="32"/>
              </w:rPr>
            </w:pPr>
            <w:r>
              <w:rPr>
                <w:rFonts w:ascii="PingFang SC" w:hAnsi="PingFang SC" w:eastAsia="PingFang SC" w:cs="PingFang SC"/>
                <w:b/>
                <w:bCs/>
                <w:spacing w:val="-3"/>
                <w:sz w:val="32"/>
                <w:szCs w:val="32"/>
              </w:rPr>
              <w:t>3b</w:t>
            </w:r>
          </w:p>
        </w:tc>
        <w:tc>
          <w:tcPr>
            <w:tcW w:w="4061" w:type="dxa"/>
            <w:vAlign w:val="top"/>
          </w:tcPr>
          <w:p w14:paraId="2258B6D1">
            <w:pPr>
              <w:pStyle w:val="12"/>
              <w:spacing w:before="90" w:line="287" w:lineRule="auto"/>
              <w:ind w:left="128"/>
              <w:rPr>
                <w:spacing w:val="-6"/>
                <w:sz w:val="32"/>
                <w:szCs w:val="32"/>
              </w:rPr>
            </w:pPr>
            <w:r>
              <w:rPr>
                <w:spacing w:val="-5"/>
                <w:sz w:val="32"/>
                <w:szCs w:val="32"/>
              </w:rPr>
              <w:t>Main symptoms and/or important clin</w:t>
            </w:r>
            <w:r>
              <w:rPr>
                <w:spacing w:val="-6"/>
                <w:sz w:val="32"/>
                <w:szCs w:val="32"/>
              </w:rPr>
              <w:t>ical</w:t>
            </w:r>
            <w:r>
              <w:rPr>
                <w:spacing w:val="-15"/>
                <w:sz w:val="32"/>
                <w:szCs w:val="32"/>
              </w:rPr>
              <w:t xml:space="preserve"> </w:t>
            </w:r>
            <w:r>
              <w:rPr>
                <w:spacing w:val="-6"/>
                <w:sz w:val="32"/>
                <w:szCs w:val="32"/>
              </w:rPr>
              <w:t xml:space="preserve">findings </w:t>
            </w:r>
          </w:p>
          <w:p w14:paraId="07E2A6FC">
            <w:pPr>
              <w:pStyle w:val="12"/>
              <w:spacing w:before="90" w:line="287" w:lineRule="auto"/>
              <w:rPr>
                <w:sz w:val="32"/>
                <w:szCs w:val="32"/>
              </w:rPr>
            </w:pPr>
          </w:p>
        </w:tc>
        <w:tc>
          <w:tcPr>
            <w:tcW w:w="7649" w:type="dxa"/>
            <w:tcBorders>
              <w:top w:val="single" w:color="000000" w:sz="2" w:space="0"/>
            </w:tcBorders>
            <w:vAlign w:val="top"/>
          </w:tcPr>
          <w:p w14:paraId="210218FB">
            <w:pPr>
              <w:pStyle w:val="12"/>
              <w:rPr>
                <w:sz w:val="32"/>
                <w:szCs w:val="32"/>
                <w:u w:val="none" w:color="auto"/>
              </w:rPr>
            </w:pPr>
            <w:r>
              <w:rPr>
                <w:rFonts w:hint="eastAsia"/>
                <w:sz w:val="32"/>
                <w:szCs w:val="32"/>
                <w:u w:val="none" w:color="auto"/>
              </w:rPr>
              <w:t>abdominal pain</w:t>
            </w:r>
            <w:r>
              <w:rPr>
                <w:rFonts w:hint="eastAsia" w:eastAsia="宋体"/>
                <w:sz w:val="32"/>
                <w:szCs w:val="32"/>
                <w:u w:val="none" w:color="auto"/>
                <w:lang w:eastAsia="zh-CN"/>
              </w:rPr>
              <w:t>，identified a heterozygous mutation in the HMBS gene (c.770T&gt;C, p.Leu257Pro)</w:t>
            </w:r>
            <w:r>
              <w:rPr>
                <w:sz w:val="32"/>
                <w:szCs w:val="32"/>
                <w:u w:val="none" w:color="auto"/>
              </w:rPr>
              <w:t xml:space="preserve">  </w:t>
            </w:r>
          </w:p>
        </w:tc>
      </w:tr>
      <w:tr w14:paraId="1899338B">
        <w:trPr>
          <w:trHeight w:val="90" w:hRule="atLeast"/>
        </w:trPr>
        <w:tc>
          <w:tcPr>
            <w:tcW w:w="2188" w:type="dxa"/>
            <w:vMerge w:val="continue"/>
            <w:tcBorders/>
            <w:vAlign w:val="top"/>
          </w:tcPr>
          <w:p w14:paraId="62D6C1F9">
            <w:pPr>
              <w:pStyle w:val="12"/>
              <w:rPr>
                <w:sz w:val="32"/>
                <w:szCs w:val="32"/>
              </w:rPr>
            </w:pPr>
          </w:p>
        </w:tc>
        <w:tc>
          <w:tcPr>
            <w:tcW w:w="720" w:type="dxa"/>
            <w:vAlign w:val="top"/>
          </w:tcPr>
          <w:p w14:paraId="0DB6A707">
            <w:pPr>
              <w:spacing w:before="59" w:line="165" w:lineRule="auto"/>
              <w:ind w:left="249"/>
              <w:rPr>
                <w:rFonts w:ascii="PingFang SC" w:hAnsi="PingFang SC" w:eastAsia="PingFang SC" w:cs="PingFang SC"/>
                <w:sz w:val="32"/>
                <w:szCs w:val="32"/>
              </w:rPr>
            </w:pPr>
            <w:r>
              <w:rPr>
                <w:rFonts w:ascii="PingFang SC" w:hAnsi="PingFang SC" w:eastAsia="PingFang SC" w:cs="PingFang SC"/>
                <w:b/>
                <w:bCs/>
                <w:spacing w:val="-4"/>
                <w:sz w:val="32"/>
                <w:szCs w:val="32"/>
              </w:rPr>
              <w:t>3c</w:t>
            </w:r>
          </w:p>
        </w:tc>
        <w:tc>
          <w:tcPr>
            <w:tcW w:w="4061" w:type="dxa"/>
            <w:vAlign w:val="top"/>
          </w:tcPr>
          <w:p w14:paraId="6CFA2C9D">
            <w:pPr>
              <w:pStyle w:val="12"/>
              <w:spacing w:before="1" w:line="240" w:lineRule="auto"/>
              <w:rPr>
                <w:spacing w:val="-10"/>
                <w:position w:val="3"/>
                <w:sz w:val="32"/>
                <w:szCs w:val="32"/>
              </w:rPr>
            </w:pPr>
            <w:r>
              <w:rPr>
                <w:spacing w:val="-9"/>
                <w:position w:val="3"/>
                <w:sz w:val="32"/>
                <w:szCs w:val="32"/>
              </w:rPr>
              <w:t xml:space="preserve">The main diagnoses, therapeutic interventions, and outcomes </w:t>
            </w:r>
          </w:p>
          <w:p w14:paraId="4EC973D4">
            <w:pPr>
              <w:pStyle w:val="12"/>
              <w:spacing w:before="1" w:line="274" w:lineRule="exact"/>
              <w:ind w:left="118"/>
              <w:rPr>
                <w:spacing w:val="-10"/>
                <w:position w:val="3"/>
                <w:sz w:val="32"/>
                <w:szCs w:val="32"/>
              </w:rPr>
            </w:pPr>
          </w:p>
        </w:tc>
        <w:tc>
          <w:tcPr>
            <w:tcW w:w="7649" w:type="dxa"/>
            <w:vAlign w:val="top"/>
          </w:tcPr>
          <w:p w14:paraId="3871CEB0">
            <w:pPr>
              <w:pStyle w:val="12"/>
              <w:rPr>
                <w:rFonts w:hint="default"/>
                <w:sz w:val="32"/>
                <w:szCs w:val="32"/>
                <w:lang w:val="en-US"/>
              </w:rPr>
            </w:pPr>
            <w:r>
              <w:rPr>
                <w:rFonts w:hint="default"/>
                <w:sz w:val="32"/>
                <w:szCs w:val="32"/>
                <w:lang w:val="en-US"/>
              </w:rPr>
              <w:t>Acute intermittent porphyria (AIP)</w:t>
            </w:r>
            <w:r>
              <w:rPr>
                <w:rFonts w:hint="eastAsia" w:eastAsia="宋体"/>
                <w:sz w:val="32"/>
                <w:szCs w:val="32"/>
                <w:lang w:val="en-US" w:eastAsia="zh-CN"/>
              </w:rPr>
              <w:t>；</w:t>
            </w:r>
            <w:r>
              <w:rPr>
                <w:rFonts w:hint="default" w:eastAsia="宋体"/>
                <w:sz w:val="32"/>
                <w:szCs w:val="32"/>
                <w:lang w:val="en-US" w:eastAsia="zh-CN"/>
              </w:rPr>
              <w:t>The main therapeutic include blood transfusions, high-carbohydrate therapy, and mechanical ventilation, along with comprehensive rehabilitation,</w:t>
            </w:r>
          </w:p>
        </w:tc>
      </w:tr>
      <w:tr w14:paraId="3879063A">
        <w:trPr>
          <w:trHeight w:val="2189" w:hRule="atLeast"/>
        </w:trPr>
        <w:tc>
          <w:tcPr>
            <w:tcW w:w="2188" w:type="dxa"/>
            <w:vMerge w:val="continue"/>
            <w:tcBorders/>
            <w:vAlign w:val="top"/>
          </w:tcPr>
          <w:p w14:paraId="4A8BA81A">
            <w:pPr>
              <w:pStyle w:val="12"/>
              <w:rPr>
                <w:sz w:val="32"/>
                <w:szCs w:val="32"/>
              </w:rPr>
            </w:pPr>
          </w:p>
        </w:tc>
        <w:tc>
          <w:tcPr>
            <w:tcW w:w="720" w:type="dxa"/>
            <w:vAlign w:val="top"/>
          </w:tcPr>
          <w:p w14:paraId="66001407">
            <w:pPr>
              <w:spacing w:before="81" w:line="219" w:lineRule="exact"/>
              <w:ind w:left="243"/>
              <w:rPr>
                <w:rFonts w:ascii="PingFang SC" w:hAnsi="PingFang SC" w:eastAsia="PingFang SC" w:cs="PingFang SC"/>
                <w:sz w:val="32"/>
                <w:szCs w:val="32"/>
              </w:rPr>
            </w:pPr>
            <w:r>
              <w:rPr>
                <w:rFonts w:ascii="PingFang SC" w:hAnsi="PingFang SC" w:eastAsia="PingFang SC" w:cs="PingFang SC"/>
                <w:b/>
                <w:bCs/>
                <w:spacing w:val="-3"/>
                <w:position w:val="-1"/>
                <w:sz w:val="32"/>
                <w:szCs w:val="32"/>
              </w:rPr>
              <w:t>3d</w:t>
            </w:r>
          </w:p>
        </w:tc>
        <w:tc>
          <w:tcPr>
            <w:tcW w:w="4061" w:type="dxa"/>
            <w:vAlign w:val="top"/>
          </w:tcPr>
          <w:p w14:paraId="6B93E2D1">
            <w:pPr>
              <w:pStyle w:val="12"/>
              <w:spacing w:before="17" w:line="287" w:lineRule="auto"/>
              <w:ind w:left="123"/>
              <w:rPr>
                <w:sz w:val="32"/>
                <w:szCs w:val="32"/>
              </w:rPr>
            </w:pPr>
            <w:r>
              <w:rPr>
                <w:spacing w:val="-4"/>
                <w:sz w:val="32"/>
                <w:szCs w:val="32"/>
              </w:rPr>
              <w:t>Conclusion—What is</w:t>
            </w:r>
            <w:r>
              <w:rPr>
                <w:spacing w:val="-12"/>
                <w:sz w:val="32"/>
                <w:szCs w:val="32"/>
              </w:rPr>
              <w:t xml:space="preserve"> </w:t>
            </w:r>
            <w:r>
              <w:rPr>
                <w:spacing w:val="-4"/>
                <w:sz w:val="32"/>
                <w:szCs w:val="32"/>
              </w:rPr>
              <w:t>the main “take-away”</w:t>
            </w:r>
            <w:r>
              <w:rPr>
                <w:spacing w:val="-11"/>
                <w:sz w:val="32"/>
                <w:szCs w:val="32"/>
              </w:rPr>
              <w:t xml:space="preserve"> </w:t>
            </w:r>
            <w:r>
              <w:rPr>
                <w:spacing w:val="-4"/>
                <w:sz w:val="32"/>
                <w:szCs w:val="32"/>
              </w:rPr>
              <w:t>lesson(s)</w:t>
            </w:r>
            <w:r>
              <w:rPr>
                <w:spacing w:val="-14"/>
                <w:sz w:val="32"/>
                <w:szCs w:val="32"/>
              </w:rPr>
              <w:t xml:space="preserve"> </w:t>
            </w:r>
            <w:r>
              <w:rPr>
                <w:spacing w:val="-4"/>
                <w:sz w:val="32"/>
                <w:szCs w:val="32"/>
              </w:rPr>
              <w:t>f</w:t>
            </w:r>
            <w:r>
              <w:rPr>
                <w:spacing w:val="-5"/>
                <w:sz w:val="32"/>
                <w:szCs w:val="32"/>
              </w:rPr>
              <w:t>rom this case?</w:t>
            </w:r>
          </w:p>
        </w:tc>
        <w:tc>
          <w:tcPr>
            <w:tcW w:w="7649" w:type="dxa"/>
            <w:tcBorders>
              <w:bottom w:val="single" w:color="000000" w:sz="2" w:space="0"/>
            </w:tcBorders>
            <w:vAlign w:val="top"/>
          </w:tcPr>
          <w:p w14:paraId="34FFC869">
            <w:pPr>
              <w:pStyle w:val="12"/>
              <w:rPr>
                <w:sz w:val="32"/>
                <w:szCs w:val="32"/>
              </w:rPr>
            </w:pPr>
            <w:r>
              <w:rPr>
                <w:sz w:val="32"/>
                <w:szCs w:val="32"/>
                <w:lang w:val="en-US" w:eastAsia="zh-CN"/>
              </w:rPr>
              <w:t>Clinicians must maintain high suspicion of acute intermittent porphyria (AIP) for patients with unexplained recurrent abdominal pain, neuropsychiatric symptoms and hyponatremia, as the disease often mimics surgical emergencies and causes unnecessary invasive surgeries.</w:t>
            </w:r>
          </w:p>
          <w:p w14:paraId="689B1819">
            <w:pPr>
              <w:pStyle w:val="12"/>
              <w:rPr>
                <w:sz w:val="32"/>
                <w:szCs w:val="32"/>
              </w:rPr>
            </w:pPr>
          </w:p>
        </w:tc>
      </w:tr>
      <w:tr w14:paraId="4786A751">
        <w:trPr>
          <w:trHeight w:val="364" w:hRule="atLeast"/>
        </w:trPr>
        <w:tc>
          <w:tcPr>
            <w:tcW w:w="2188" w:type="dxa"/>
            <w:vAlign w:val="top"/>
          </w:tcPr>
          <w:p w14:paraId="716F63AF">
            <w:pPr>
              <w:spacing w:before="102" w:line="166" w:lineRule="auto"/>
              <w:ind w:left="131"/>
              <w:rPr>
                <w:rFonts w:ascii="PingFang SC" w:hAnsi="PingFang SC" w:eastAsia="PingFang SC" w:cs="PingFang SC"/>
                <w:sz w:val="32"/>
                <w:szCs w:val="32"/>
              </w:rPr>
            </w:pPr>
            <w:r>
              <w:rPr>
                <w:rFonts w:ascii="PingFang SC" w:hAnsi="PingFang SC" w:eastAsia="PingFang SC" w:cs="PingFang SC"/>
                <w:b/>
                <w:bCs/>
                <w:spacing w:val="6"/>
                <w:sz w:val="32"/>
                <w:szCs w:val="32"/>
              </w:rPr>
              <w:t>Introduction</w:t>
            </w:r>
          </w:p>
        </w:tc>
        <w:tc>
          <w:tcPr>
            <w:tcW w:w="720" w:type="dxa"/>
            <w:vAlign w:val="top"/>
          </w:tcPr>
          <w:p w14:paraId="73813E6F">
            <w:pPr>
              <w:spacing w:before="100" w:line="167" w:lineRule="auto"/>
              <w:ind w:left="304"/>
              <w:rPr>
                <w:rFonts w:ascii="PingFang SC" w:hAnsi="PingFang SC" w:eastAsia="PingFang SC" w:cs="PingFang SC"/>
                <w:sz w:val="32"/>
                <w:szCs w:val="32"/>
              </w:rPr>
            </w:pPr>
            <w:r>
              <w:rPr>
                <w:rFonts w:ascii="PingFang SC" w:hAnsi="PingFang SC" w:eastAsia="PingFang SC" w:cs="PingFang SC"/>
                <w:b/>
                <w:bCs/>
                <w:spacing w:val="-3"/>
                <w:sz w:val="32"/>
                <w:szCs w:val="32"/>
              </w:rPr>
              <w:t>4</w:t>
            </w:r>
          </w:p>
        </w:tc>
        <w:tc>
          <w:tcPr>
            <w:tcW w:w="4061" w:type="dxa"/>
            <w:vAlign w:val="top"/>
          </w:tcPr>
          <w:p w14:paraId="0B792AC3">
            <w:pPr>
              <w:pStyle w:val="12"/>
              <w:spacing w:before="41" w:line="206" w:lineRule="auto"/>
              <w:ind w:left="123"/>
              <w:rPr>
                <w:sz w:val="32"/>
                <w:szCs w:val="32"/>
              </w:rPr>
            </w:pPr>
            <w:r>
              <w:rPr>
                <w:spacing w:val="4"/>
                <w:sz w:val="32"/>
                <w:szCs w:val="32"/>
              </w:rPr>
              <w:t>One or two</w:t>
            </w:r>
            <w:r>
              <w:rPr>
                <w:spacing w:val="36"/>
                <w:w w:val="101"/>
                <w:sz w:val="32"/>
                <w:szCs w:val="32"/>
              </w:rPr>
              <w:t xml:space="preserve"> </w:t>
            </w:r>
            <w:r>
              <w:rPr>
                <w:spacing w:val="4"/>
                <w:sz w:val="32"/>
                <w:szCs w:val="32"/>
              </w:rPr>
              <w:t>paragraphs summarizing why this case</w:t>
            </w:r>
            <w:r>
              <w:rPr>
                <w:spacing w:val="18"/>
                <w:w w:val="101"/>
                <w:sz w:val="32"/>
                <w:szCs w:val="32"/>
              </w:rPr>
              <w:t xml:space="preserve"> </w:t>
            </w:r>
            <w:r>
              <w:rPr>
                <w:spacing w:val="4"/>
                <w:sz w:val="32"/>
                <w:szCs w:val="32"/>
              </w:rPr>
              <w:t>is</w:t>
            </w:r>
            <w:r>
              <w:rPr>
                <w:spacing w:val="17"/>
                <w:w w:val="101"/>
                <w:sz w:val="32"/>
                <w:szCs w:val="32"/>
              </w:rPr>
              <w:t xml:space="preserve"> </w:t>
            </w:r>
            <w:r>
              <w:rPr>
                <w:spacing w:val="4"/>
                <w:sz w:val="32"/>
                <w:szCs w:val="32"/>
              </w:rPr>
              <w:t>unique (</w:t>
            </w:r>
            <w:r>
              <w:rPr>
                <w:rFonts w:ascii="PingFang SC" w:hAnsi="PingFang SC" w:eastAsia="PingFang SC" w:cs="PingFang SC"/>
                <w:b/>
                <w:bCs/>
                <w:spacing w:val="4"/>
                <w:sz w:val="32"/>
                <w:szCs w:val="32"/>
              </w:rPr>
              <w:t>may</w:t>
            </w:r>
            <w:r>
              <w:rPr>
                <w:rFonts w:ascii="PingFang SC" w:hAnsi="PingFang SC" w:eastAsia="PingFang SC" w:cs="PingFang SC"/>
                <w:spacing w:val="4"/>
                <w:sz w:val="32"/>
                <w:szCs w:val="32"/>
              </w:rPr>
              <w:t xml:space="preserve"> </w:t>
            </w:r>
            <w:r>
              <w:rPr>
                <w:rFonts w:ascii="PingFang SC" w:hAnsi="PingFang SC" w:eastAsia="PingFang SC" w:cs="PingFang SC"/>
                <w:b/>
                <w:bCs/>
                <w:spacing w:val="4"/>
                <w:sz w:val="32"/>
                <w:szCs w:val="32"/>
              </w:rPr>
              <w:t>include</w:t>
            </w:r>
            <w:r>
              <w:rPr>
                <w:rFonts w:ascii="PingFang SC" w:hAnsi="PingFang SC" w:eastAsia="PingFang SC" w:cs="PingFang SC"/>
                <w:spacing w:val="-11"/>
                <w:sz w:val="32"/>
                <w:szCs w:val="32"/>
              </w:rPr>
              <w:t xml:space="preserve"> </w:t>
            </w:r>
            <w:r>
              <w:rPr>
                <w:rFonts w:ascii="PingFang SC" w:hAnsi="PingFang SC" w:eastAsia="PingFang SC" w:cs="PingFang SC"/>
                <w:b/>
                <w:bCs/>
                <w:spacing w:val="4"/>
                <w:sz w:val="32"/>
                <w:szCs w:val="32"/>
              </w:rPr>
              <w:t>references</w:t>
            </w:r>
            <w:r>
              <w:rPr>
                <w:spacing w:val="4"/>
                <w:sz w:val="32"/>
                <w:szCs w:val="32"/>
              </w:rPr>
              <w:t>)</w:t>
            </w:r>
            <w:r>
              <w:rPr>
                <w:spacing w:val="23"/>
                <w:w w:val="101"/>
                <w:sz w:val="32"/>
                <w:szCs w:val="32"/>
              </w:rPr>
              <w:t xml:space="preserve"> </w:t>
            </w:r>
          </w:p>
        </w:tc>
        <w:tc>
          <w:tcPr>
            <w:tcW w:w="7649" w:type="dxa"/>
            <w:tcBorders>
              <w:top w:val="single" w:color="000000" w:sz="2" w:space="0"/>
            </w:tcBorders>
            <w:vAlign w:val="top"/>
          </w:tcPr>
          <w:p w14:paraId="37126C8A">
            <w:pPr>
              <w:keepNext w:val="0"/>
              <w:keepLines w:val="0"/>
              <w:widowControl/>
              <w:suppressLineNumbers w:val="0"/>
              <w:jc w:val="left"/>
              <w:rPr>
                <w:rFonts w:ascii="Arial" w:hAnsi="Arial" w:eastAsia="Arial" w:cs="Arial"/>
                <w:snapToGrid w:val="0"/>
                <w:color w:val="000000"/>
                <w:spacing w:val="4"/>
                <w:kern w:val="0"/>
                <w:sz w:val="32"/>
                <w:szCs w:val="32"/>
                <w:lang w:val="en-US" w:eastAsia="en-US" w:bidi="ar-SA"/>
              </w:rPr>
            </w:pPr>
            <w:r>
              <w:rPr>
                <w:rFonts w:ascii="Arial" w:hAnsi="Arial" w:eastAsia="Arial" w:cs="Arial"/>
                <w:snapToGrid w:val="0"/>
                <w:color w:val="000000"/>
                <w:spacing w:val="4"/>
                <w:kern w:val="0"/>
                <w:sz w:val="32"/>
                <w:szCs w:val="32"/>
                <w:lang w:val="en-US" w:eastAsia="zh-CN" w:bidi="ar-SA"/>
              </w:rPr>
              <w:t>This case is unique as it is the first Chinese report of HMBS c.770T&gt;C (p.Leu257Pro), a variant previously only found in Russian patients (Pischik et al., 2005). Unlike prior cases with isolated polyneu</w:t>
            </w:r>
            <w:r>
              <w:rPr>
                <w:rFonts w:ascii="Arial" w:hAnsi="Arial" w:eastAsia="Arial" w:cs="Arial"/>
                <w:snapToGrid w:val="0"/>
                <w:color w:val="000000"/>
                <w:spacing w:val="4"/>
                <w:kern w:val="0"/>
                <w:sz w:val="32"/>
                <w:szCs w:val="32"/>
                <w:lang w:val="en-US" w:eastAsia="zh-CN" w:bidi="ar-SA"/>
              </w:rPr>
              <w:t>ropathy, our patient suffered concurrent central and peripheral nervous system damage. It also proves AIP-related ALA neurotoxicity alone can trigger osmotic demyelination, not just improper sodium correction, and illustrates frequent misdiagnosis mimicking surgical abdomen and Guillain-Barré syndrome.</w:t>
            </w:r>
          </w:p>
          <w:p w14:paraId="4D51AD99">
            <w:pPr>
              <w:keepNext w:val="0"/>
              <w:keepLines w:val="0"/>
              <w:widowControl/>
              <w:suppressLineNumbers w:val="0"/>
              <w:jc w:val="left"/>
            </w:pPr>
          </w:p>
          <w:p w14:paraId="60C84A67">
            <w:pPr>
              <w:pStyle w:val="12"/>
              <w:rPr>
                <w:sz w:val="32"/>
                <w:szCs w:val="32"/>
              </w:rPr>
            </w:pPr>
          </w:p>
        </w:tc>
      </w:tr>
      <w:tr w14:paraId="0A058C3C">
        <w:trPr>
          <w:trHeight w:val="338" w:hRule="atLeast"/>
        </w:trPr>
        <w:tc>
          <w:tcPr>
            <w:tcW w:w="2188" w:type="dxa"/>
            <w:vMerge w:val="restart"/>
            <w:tcBorders>
              <w:bottom w:val="nil"/>
            </w:tcBorders>
            <w:vAlign w:val="top"/>
          </w:tcPr>
          <w:p w14:paraId="1BC16092">
            <w:pPr>
              <w:spacing w:before="71" w:line="171" w:lineRule="auto"/>
              <w:ind w:left="132"/>
              <w:rPr>
                <w:rFonts w:ascii="PingFang SC" w:hAnsi="PingFang SC" w:eastAsia="PingFang SC" w:cs="PingFang SC"/>
                <w:sz w:val="32"/>
                <w:szCs w:val="32"/>
              </w:rPr>
            </w:pPr>
            <w:r>
              <w:rPr>
                <w:rFonts w:ascii="PingFang SC" w:hAnsi="PingFang SC" w:eastAsia="PingFang SC" w:cs="PingFang SC"/>
                <w:b/>
                <w:bCs/>
                <w:spacing w:val="4"/>
                <w:sz w:val="32"/>
                <w:szCs w:val="32"/>
              </w:rPr>
              <w:t>Patient</w:t>
            </w:r>
            <w:r>
              <w:rPr>
                <w:rFonts w:ascii="PingFang SC" w:hAnsi="PingFang SC" w:eastAsia="PingFang SC" w:cs="PingFang SC"/>
                <w:spacing w:val="4"/>
                <w:sz w:val="32"/>
                <w:szCs w:val="32"/>
              </w:rPr>
              <w:t xml:space="preserve"> </w:t>
            </w:r>
            <w:r>
              <w:rPr>
                <w:rFonts w:ascii="PingFang SC" w:hAnsi="PingFang SC" w:eastAsia="PingFang SC" w:cs="PingFang SC"/>
                <w:b/>
                <w:bCs/>
                <w:spacing w:val="4"/>
                <w:sz w:val="32"/>
                <w:szCs w:val="32"/>
              </w:rPr>
              <w:t>Information</w:t>
            </w:r>
          </w:p>
        </w:tc>
        <w:tc>
          <w:tcPr>
            <w:tcW w:w="720" w:type="dxa"/>
            <w:vAlign w:val="top"/>
          </w:tcPr>
          <w:p w14:paraId="14D37597">
            <w:pPr>
              <w:spacing w:before="76" w:line="166" w:lineRule="auto"/>
              <w:ind w:left="250"/>
              <w:rPr>
                <w:rFonts w:ascii="PingFang SC" w:hAnsi="PingFang SC" w:eastAsia="PingFang SC" w:cs="PingFang SC"/>
                <w:sz w:val="32"/>
                <w:szCs w:val="32"/>
              </w:rPr>
            </w:pPr>
            <w:r>
              <w:rPr>
                <w:rFonts w:ascii="PingFang SC" w:hAnsi="PingFang SC" w:eastAsia="PingFang SC" w:cs="PingFang SC"/>
                <w:b/>
                <w:bCs/>
                <w:spacing w:val="-5"/>
                <w:sz w:val="32"/>
                <w:szCs w:val="32"/>
              </w:rPr>
              <w:t>5a</w:t>
            </w:r>
          </w:p>
        </w:tc>
        <w:tc>
          <w:tcPr>
            <w:tcW w:w="4061" w:type="dxa"/>
            <w:vAlign w:val="top"/>
          </w:tcPr>
          <w:p w14:paraId="594834EC">
            <w:pPr>
              <w:pStyle w:val="12"/>
              <w:spacing w:before="14" w:line="289" w:lineRule="auto"/>
              <w:ind w:left="129"/>
              <w:rPr>
                <w:sz w:val="32"/>
                <w:szCs w:val="32"/>
              </w:rPr>
            </w:pPr>
            <w:r>
              <w:rPr>
                <w:spacing w:val="3"/>
                <w:sz w:val="32"/>
                <w:szCs w:val="32"/>
              </w:rPr>
              <w:t>De-identified</w:t>
            </w:r>
            <w:r>
              <w:rPr>
                <w:spacing w:val="20"/>
                <w:sz w:val="32"/>
                <w:szCs w:val="32"/>
              </w:rPr>
              <w:t xml:space="preserve"> </w:t>
            </w:r>
            <w:r>
              <w:rPr>
                <w:spacing w:val="3"/>
                <w:sz w:val="32"/>
                <w:szCs w:val="32"/>
              </w:rPr>
              <w:t>patient specific</w:t>
            </w:r>
            <w:r>
              <w:rPr>
                <w:spacing w:val="19"/>
                <w:sz w:val="32"/>
                <w:szCs w:val="32"/>
              </w:rPr>
              <w:t xml:space="preserve"> </w:t>
            </w:r>
            <w:r>
              <w:rPr>
                <w:spacing w:val="3"/>
                <w:sz w:val="32"/>
                <w:szCs w:val="32"/>
              </w:rPr>
              <w:t>information</w:t>
            </w:r>
          </w:p>
        </w:tc>
        <w:tc>
          <w:tcPr>
            <w:tcW w:w="7649" w:type="dxa"/>
            <w:vAlign w:val="top"/>
          </w:tcPr>
          <w:p w14:paraId="2E746E1A">
            <w:pPr>
              <w:keepNext w:val="0"/>
              <w:keepLines w:val="0"/>
              <w:widowControl/>
              <w:suppressLineNumbers w:val="0"/>
              <w:jc w:val="left"/>
              <w:rPr>
                <w:rFonts w:ascii="Arial" w:hAnsi="Arial" w:eastAsia="Arial" w:cs="Arial"/>
                <w:snapToGrid w:val="0"/>
                <w:color w:val="000000"/>
                <w:spacing w:val="3"/>
                <w:kern w:val="0"/>
                <w:sz w:val="32"/>
                <w:szCs w:val="32"/>
                <w:lang w:val="en-US" w:eastAsia="en-US" w:bidi="ar-SA"/>
              </w:rPr>
            </w:pPr>
            <w:r>
              <w:rPr>
                <w:rFonts w:ascii="Arial" w:hAnsi="Arial" w:eastAsia="Arial" w:cs="Arial"/>
                <w:snapToGrid w:val="0"/>
                <w:color w:val="000000"/>
                <w:spacing w:val="3"/>
                <w:kern w:val="0"/>
                <w:sz w:val="32"/>
                <w:szCs w:val="32"/>
                <w:lang w:val="en-US" w:eastAsia="zh-CN" w:bidi="ar-SA"/>
              </w:rPr>
              <w:t>This report involves a 20-year-old female with all personal identifiers fully removed. No names, ID numbers, admission numbers, contact details or address are provided. All clinical records, lab values and disease courses are anonymized to eliminate risks of personal identification and protect patient privacy.</w:t>
            </w:r>
          </w:p>
          <w:p w14:paraId="2691E4E0">
            <w:pPr>
              <w:pStyle w:val="12"/>
              <w:rPr>
                <w:sz w:val="32"/>
                <w:szCs w:val="32"/>
              </w:rPr>
            </w:pPr>
          </w:p>
        </w:tc>
      </w:tr>
      <w:tr w14:paraId="7EF59465">
        <w:trPr>
          <w:trHeight w:val="295" w:hRule="atLeast"/>
        </w:trPr>
        <w:tc>
          <w:tcPr>
            <w:tcW w:w="2188" w:type="dxa"/>
            <w:vMerge w:val="continue"/>
            <w:tcBorders>
              <w:top w:val="nil"/>
              <w:bottom w:val="nil"/>
            </w:tcBorders>
            <w:vAlign w:val="top"/>
          </w:tcPr>
          <w:p w14:paraId="4F71ACBB">
            <w:pPr>
              <w:pStyle w:val="12"/>
              <w:rPr>
                <w:sz w:val="32"/>
                <w:szCs w:val="32"/>
              </w:rPr>
            </w:pPr>
          </w:p>
        </w:tc>
        <w:tc>
          <w:tcPr>
            <w:tcW w:w="720" w:type="dxa"/>
            <w:vAlign w:val="top"/>
          </w:tcPr>
          <w:p w14:paraId="7549DEAE">
            <w:pPr>
              <w:spacing w:before="76" w:line="209" w:lineRule="exact"/>
              <w:ind w:left="245"/>
              <w:rPr>
                <w:rFonts w:ascii="PingFang SC" w:hAnsi="PingFang SC" w:eastAsia="PingFang SC" w:cs="PingFang SC"/>
                <w:sz w:val="32"/>
                <w:szCs w:val="32"/>
              </w:rPr>
            </w:pPr>
            <w:r>
              <w:rPr>
                <w:rFonts w:ascii="PingFang SC" w:hAnsi="PingFang SC" w:eastAsia="PingFang SC" w:cs="PingFang SC"/>
                <w:b/>
                <w:bCs/>
                <w:spacing w:val="-3"/>
                <w:position w:val="-1"/>
                <w:sz w:val="32"/>
                <w:szCs w:val="32"/>
              </w:rPr>
              <w:t>5b</w:t>
            </w:r>
          </w:p>
        </w:tc>
        <w:tc>
          <w:tcPr>
            <w:tcW w:w="4061" w:type="dxa"/>
            <w:vAlign w:val="top"/>
          </w:tcPr>
          <w:p w14:paraId="7A77816F">
            <w:pPr>
              <w:pStyle w:val="12"/>
              <w:spacing w:before="16" w:line="280" w:lineRule="auto"/>
              <w:ind w:left="129"/>
              <w:rPr>
                <w:sz w:val="32"/>
                <w:szCs w:val="32"/>
              </w:rPr>
            </w:pPr>
            <w:r>
              <w:rPr>
                <w:spacing w:val="4"/>
                <w:sz w:val="32"/>
                <w:szCs w:val="32"/>
              </w:rPr>
              <w:t>Primary concerns and symptom</w:t>
            </w:r>
            <w:r>
              <w:rPr>
                <w:spacing w:val="3"/>
                <w:sz w:val="32"/>
                <w:szCs w:val="32"/>
              </w:rPr>
              <w:t>s</w:t>
            </w:r>
            <w:r>
              <w:rPr>
                <w:spacing w:val="11"/>
                <w:sz w:val="32"/>
                <w:szCs w:val="32"/>
              </w:rPr>
              <w:t xml:space="preserve"> </w:t>
            </w:r>
            <w:r>
              <w:rPr>
                <w:spacing w:val="3"/>
                <w:sz w:val="32"/>
                <w:szCs w:val="32"/>
              </w:rPr>
              <w:t>of the</w:t>
            </w:r>
            <w:r>
              <w:rPr>
                <w:spacing w:val="18"/>
                <w:w w:val="101"/>
                <w:sz w:val="32"/>
                <w:szCs w:val="32"/>
              </w:rPr>
              <w:t xml:space="preserve"> </w:t>
            </w:r>
            <w:r>
              <w:rPr>
                <w:spacing w:val="3"/>
                <w:sz w:val="32"/>
                <w:szCs w:val="32"/>
              </w:rPr>
              <w:t>patient</w:t>
            </w:r>
          </w:p>
        </w:tc>
        <w:tc>
          <w:tcPr>
            <w:tcW w:w="7649" w:type="dxa"/>
            <w:tcBorders>
              <w:bottom w:val="single" w:color="000000" w:sz="2" w:space="0"/>
            </w:tcBorders>
            <w:vAlign w:val="top"/>
          </w:tcPr>
          <w:p w14:paraId="10FD54D9">
            <w:pPr>
              <w:pStyle w:val="12"/>
              <w:rPr>
                <w:rFonts w:hint="eastAsia" w:eastAsia="宋体"/>
                <w:sz w:val="32"/>
                <w:szCs w:val="32"/>
                <w:lang w:val="en-US" w:eastAsia="zh-CN"/>
              </w:rPr>
            </w:pPr>
            <w:r>
              <w:rPr>
                <w:rFonts w:hint="eastAsia" w:eastAsia="宋体"/>
                <w:sz w:val="32"/>
                <w:szCs w:val="32"/>
                <w:lang w:val="en-US" w:eastAsia="zh-CN"/>
              </w:rPr>
              <w:t>recurrent severe abdominal pain, progressive quadriplegia, delirium, hallucinations, 15kg weight loss, hyponatremia and reddish urine with neuropsychiatric disturbances.</w:t>
            </w:r>
          </w:p>
          <w:p w14:paraId="52B186EC">
            <w:pPr>
              <w:pStyle w:val="12"/>
              <w:rPr>
                <w:rFonts w:hint="eastAsia" w:eastAsia="宋体"/>
                <w:sz w:val="32"/>
                <w:szCs w:val="32"/>
                <w:lang w:val="en-US" w:eastAsia="zh-CN"/>
              </w:rPr>
            </w:pPr>
          </w:p>
        </w:tc>
      </w:tr>
      <w:tr w14:paraId="488E46B5">
        <w:trPr>
          <w:trHeight w:val="331" w:hRule="atLeast"/>
        </w:trPr>
        <w:tc>
          <w:tcPr>
            <w:tcW w:w="2188" w:type="dxa"/>
            <w:vMerge w:val="continue"/>
            <w:tcBorders>
              <w:top w:val="nil"/>
              <w:bottom w:val="nil"/>
            </w:tcBorders>
            <w:vAlign w:val="top"/>
          </w:tcPr>
          <w:p w14:paraId="583CDDE9">
            <w:pPr>
              <w:pStyle w:val="12"/>
              <w:rPr>
                <w:sz w:val="32"/>
                <w:szCs w:val="32"/>
              </w:rPr>
            </w:pPr>
          </w:p>
        </w:tc>
        <w:tc>
          <w:tcPr>
            <w:tcW w:w="720" w:type="dxa"/>
            <w:vAlign w:val="top"/>
          </w:tcPr>
          <w:p w14:paraId="1F607870">
            <w:pPr>
              <w:spacing w:before="114" w:line="206" w:lineRule="exact"/>
              <w:ind w:left="250"/>
              <w:rPr>
                <w:rFonts w:ascii="PingFang SC" w:hAnsi="PingFang SC" w:eastAsia="PingFang SC" w:cs="PingFang SC"/>
                <w:sz w:val="32"/>
                <w:szCs w:val="32"/>
              </w:rPr>
            </w:pPr>
            <w:r>
              <w:rPr>
                <w:rFonts w:ascii="PingFang SC" w:hAnsi="PingFang SC" w:eastAsia="PingFang SC" w:cs="PingFang SC"/>
                <w:b/>
                <w:bCs/>
                <w:spacing w:val="-4"/>
                <w:position w:val="-1"/>
                <w:sz w:val="32"/>
                <w:szCs w:val="32"/>
              </w:rPr>
              <w:t>5c</w:t>
            </w:r>
          </w:p>
        </w:tc>
        <w:tc>
          <w:tcPr>
            <w:tcW w:w="4061" w:type="dxa"/>
            <w:vAlign w:val="top"/>
          </w:tcPr>
          <w:p w14:paraId="09FA12E0">
            <w:pPr>
              <w:pStyle w:val="12"/>
              <w:spacing w:before="52" w:line="280" w:lineRule="auto"/>
              <w:ind w:left="128"/>
              <w:rPr>
                <w:sz w:val="32"/>
                <w:szCs w:val="32"/>
              </w:rPr>
            </w:pPr>
            <w:r>
              <w:rPr>
                <w:spacing w:val="4"/>
                <w:sz w:val="32"/>
                <w:szCs w:val="32"/>
              </w:rPr>
              <w:t>Medical, family, and</w:t>
            </w:r>
            <w:r>
              <w:rPr>
                <w:spacing w:val="18"/>
                <w:w w:val="101"/>
                <w:sz w:val="32"/>
                <w:szCs w:val="32"/>
              </w:rPr>
              <w:t xml:space="preserve"> </w:t>
            </w:r>
            <w:r>
              <w:rPr>
                <w:spacing w:val="4"/>
                <w:sz w:val="32"/>
                <w:szCs w:val="32"/>
              </w:rPr>
              <w:t>psycho-social</w:t>
            </w:r>
            <w:r>
              <w:rPr>
                <w:spacing w:val="17"/>
                <w:sz w:val="32"/>
                <w:szCs w:val="32"/>
              </w:rPr>
              <w:t xml:space="preserve"> </w:t>
            </w:r>
            <w:r>
              <w:rPr>
                <w:spacing w:val="4"/>
                <w:sz w:val="32"/>
                <w:szCs w:val="32"/>
              </w:rPr>
              <w:t>history</w:t>
            </w:r>
            <w:r>
              <w:rPr>
                <w:spacing w:val="17"/>
                <w:w w:val="101"/>
                <w:sz w:val="32"/>
                <w:szCs w:val="32"/>
              </w:rPr>
              <w:t xml:space="preserve"> </w:t>
            </w:r>
            <w:r>
              <w:rPr>
                <w:spacing w:val="4"/>
                <w:sz w:val="32"/>
                <w:szCs w:val="32"/>
              </w:rPr>
              <w:t>including</w:t>
            </w:r>
            <w:r>
              <w:rPr>
                <w:spacing w:val="18"/>
                <w:sz w:val="32"/>
                <w:szCs w:val="32"/>
              </w:rPr>
              <w:t xml:space="preserve"> </w:t>
            </w:r>
            <w:r>
              <w:rPr>
                <w:spacing w:val="4"/>
                <w:sz w:val="32"/>
                <w:szCs w:val="32"/>
              </w:rPr>
              <w:t>relevant g</w:t>
            </w:r>
            <w:r>
              <w:rPr>
                <w:spacing w:val="3"/>
                <w:sz w:val="32"/>
                <w:szCs w:val="32"/>
              </w:rPr>
              <w:t>enetic</w:t>
            </w:r>
            <w:r>
              <w:rPr>
                <w:spacing w:val="18"/>
                <w:w w:val="101"/>
                <w:sz w:val="32"/>
                <w:szCs w:val="32"/>
              </w:rPr>
              <w:t xml:space="preserve"> </w:t>
            </w:r>
            <w:r>
              <w:rPr>
                <w:spacing w:val="3"/>
                <w:sz w:val="32"/>
                <w:szCs w:val="32"/>
              </w:rPr>
              <w:t>information</w:t>
            </w:r>
            <w:r>
              <w:rPr>
                <w:spacing w:val="23"/>
                <w:sz w:val="32"/>
                <w:szCs w:val="32"/>
                <w:lang w:val="en-US"/>
              </w:rPr>
              <w:t xml:space="preserve"> </w:t>
            </w:r>
          </w:p>
        </w:tc>
        <w:tc>
          <w:tcPr>
            <w:tcW w:w="7649" w:type="dxa"/>
            <w:tcBorders>
              <w:top w:val="single" w:color="000000" w:sz="2" w:space="0"/>
              <w:bottom w:val="single" w:color="000000" w:sz="2" w:space="0"/>
            </w:tcBorders>
            <w:vAlign w:val="top"/>
          </w:tcPr>
          <w:p w14:paraId="4E0C6120">
            <w:pPr>
              <w:pStyle w:val="12"/>
              <w:rPr>
                <w:sz w:val="32"/>
                <w:szCs w:val="32"/>
              </w:rPr>
            </w:pPr>
            <w:r>
              <w:rPr>
                <w:sz w:val="32"/>
                <w:szCs w:val="32"/>
                <w:lang w:val="en-US" w:eastAsia="zh-CN"/>
              </w:rPr>
              <w:t>The patient denied relevant medical, psychosocial or familial disease history. No contributory historical information was identified, and these data are not clinically relevant to the current presentation, so further elaboration is omitted.</w:t>
            </w:r>
          </w:p>
          <w:p w14:paraId="439367CD">
            <w:pPr>
              <w:pStyle w:val="12"/>
              <w:rPr>
                <w:sz w:val="32"/>
                <w:szCs w:val="32"/>
              </w:rPr>
            </w:pPr>
          </w:p>
        </w:tc>
      </w:tr>
      <w:tr w14:paraId="2F5E684A">
        <w:trPr>
          <w:trHeight w:val="362" w:hRule="atLeast"/>
        </w:trPr>
        <w:tc>
          <w:tcPr>
            <w:tcW w:w="2188" w:type="dxa"/>
            <w:vMerge w:val="continue"/>
            <w:tcBorders>
              <w:top w:val="nil"/>
            </w:tcBorders>
            <w:vAlign w:val="top"/>
          </w:tcPr>
          <w:p w14:paraId="5F01BB01">
            <w:pPr>
              <w:pStyle w:val="12"/>
              <w:rPr>
                <w:sz w:val="32"/>
                <w:szCs w:val="32"/>
              </w:rPr>
            </w:pPr>
          </w:p>
        </w:tc>
        <w:tc>
          <w:tcPr>
            <w:tcW w:w="720" w:type="dxa"/>
            <w:vAlign w:val="top"/>
          </w:tcPr>
          <w:p w14:paraId="0A01B644">
            <w:pPr>
              <w:spacing w:before="112" w:line="158" w:lineRule="auto"/>
              <w:ind w:left="245"/>
              <w:rPr>
                <w:rFonts w:ascii="PingFang SC" w:hAnsi="PingFang SC" w:eastAsia="PingFang SC" w:cs="PingFang SC"/>
                <w:sz w:val="32"/>
                <w:szCs w:val="32"/>
              </w:rPr>
            </w:pPr>
            <w:r>
              <w:rPr>
                <w:rFonts w:ascii="PingFang SC" w:hAnsi="PingFang SC" w:eastAsia="PingFang SC" w:cs="PingFang SC"/>
                <w:b/>
                <w:bCs/>
                <w:spacing w:val="-3"/>
                <w:sz w:val="32"/>
                <w:szCs w:val="32"/>
              </w:rPr>
              <w:t>5d</w:t>
            </w:r>
          </w:p>
        </w:tc>
        <w:tc>
          <w:tcPr>
            <w:tcW w:w="4061" w:type="dxa"/>
            <w:vAlign w:val="top"/>
          </w:tcPr>
          <w:p w14:paraId="21B06224">
            <w:pPr>
              <w:pStyle w:val="12"/>
              <w:rPr>
                <w:sz w:val="32"/>
                <w:szCs w:val="32"/>
                <w:lang w:val="en-US" w:eastAsia="zh-CN"/>
              </w:rPr>
            </w:pPr>
            <w:r>
              <w:rPr>
                <w:sz w:val="32"/>
                <w:szCs w:val="32"/>
                <w:lang w:val="en-US" w:eastAsia="zh-CN"/>
              </w:rPr>
              <w:t xml:space="preserve">Relevant past interventions with outcomes </w:t>
            </w:r>
          </w:p>
        </w:tc>
        <w:tc>
          <w:tcPr>
            <w:tcW w:w="7649" w:type="dxa"/>
            <w:tcBorders>
              <w:top w:val="single" w:color="000000" w:sz="2" w:space="0"/>
            </w:tcBorders>
            <w:vAlign w:val="top"/>
          </w:tcPr>
          <w:p w14:paraId="70CEF881">
            <w:pPr>
              <w:pStyle w:val="12"/>
              <w:rPr>
                <w:sz w:val="32"/>
                <w:szCs w:val="32"/>
                <w:lang w:val="en-US" w:eastAsia="zh-CN"/>
              </w:rPr>
            </w:pPr>
            <w:r>
              <w:rPr>
                <w:rFonts w:hint="default"/>
                <w:sz w:val="32"/>
                <w:szCs w:val="32"/>
                <w:lang w:val="en-US" w:eastAsia="zh-CN"/>
              </w:rPr>
              <w:t>T</w:t>
            </w:r>
            <w:r>
              <w:rPr>
                <w:rFonts w:hint="eastAsia"/>
                <w:sz w:val="32"/>
                <w:szCs w:val="32"/>
                <w:lang w:val="en-US" w:eastAsia="zh-CN"/>
              </w:rPr>
              <w:t>he patient</w:t>
            </w:r>
            <w:r>
              <w:rPr>
                <w:sz w:val="32"/>
                <w:szCs w:val="32"/>
                <w:lang w:val="en-US" w:eastAsia="zh-CN"/>
              </w:rPr>
              <w:t xml:space="preserve"> received appendectomy and intestinal obstruction treatment for abdominal pain, then IVIG, steroids for suspected GBS, all ineffective. Later heme infusion, high-carb diet and rehabilitation yielded obvious neurological improvement.</w:t>
            </w:r>
          </w:p>
          <w:p w14:paraId="384AA0C5">
            <w:pPr>
              <w:pStyle w:val="12"/>
              <w:rPr>
                <w:sz w:val="32"/>
                <w:szCs w:val="32"/>
                <w:lang w:val="en-US" w:eastAsia="zh-CN"/>
              </w:rPr>
            </w:pPr>
          </w:p>
        </w:tc>
      </w:tr>
      <w:tr w14:paraId="7A9B2C27">
        <w:trPr>
          <w:trHeight w:val="341" w:hRule="atLeast"/>
        </w:trPr>
        <w:tc>
          <w:tcPr>
            <w:tcW w:w="2188" w:type="dxa"/>
            <w:vAlign w:val="top"/>
          </w:tcPr>
          <w:p w14:paraId="2AD864DA">
            <w:pPr>
              <w:spacing w:before="59" w:line="172" w:lineRule="auto"/>
              <w:ind w:left="85"/>
              <w:rPr>
                <w:rFonts w:ascii="PingFang SC" w:hAnsi="PingFang SC" w:eastAsia="PingFang SC" w:cs="PingFang SC"/>
                <w:sz w:val="32"/>
                <w:szCs w:val="32"/>
              </w:rPr>
            </w:pPr>
            <w:r>
              <w:rPr>
                <w:rFonts w:ascii="PingFang SC" w:hAnsi="PingFang SC" w:eastAsia="PingFang SC" w:cs="PingFang SC"/>
                <w:b/>
                <w:bCs/>
                <w:spacing w:val="7"/>
                <w:sz w:val="32"/>
                <w:szCs w:val="32"/>
              </w:rPr>
              <w:t>Clinical</w:t>
            </w:r>
            <w:r>
              <w:rPr>
                <w:rFonts w:ascii="PingFang SC" w:hAnsi="PingFang SC" w:eastAsia="PingFang SC" w:cs="PingFang SC"/>
                <w:spacing w:val="7"/>
                <w:sz w:val="32"/>
                <w:szCs w:val="32"/>
              </w:rPr>
              <w:t xml:space="preserve"> </w:t>
            </w:r>
            <w:r>
              <w:rPr>
                <w:rFonts w:ascii="PingFang SC" w:hAnsi="PingFang SC" w:eastAsia="PingFang SC" w:cs="PingFang SC"/>
                <w:b/>
                <w:bCs/>
                <w:spacing w:val="7"/>
                <w:sz w:val="32"/>
                <w:szCs w:val="32"/>
              </w:rPr>
              <w:t>Findings</w:t>
            </w:r>
          </w:p>
        </w:tc>
        <w:tc>
          <w:tcPr>
            <w:tcW w:w="720" w:type="dxa"/>
            <w:vAlign w:val="top"/>
          </w:tcPr>
          <w:p w14:paraId="4E6E26AC">
            <w:pPr>
              <w:spacing w:before="85" w:line="162" w:lineRule="auto"/>
              <w:ind w:left="308"/>
              <w:rPr>
                <w:rFonts w:ascii="PingFang SC" w:hAnsi="PingFang SC" w:eastAsia="PingFang SC" w:cs="PingFang SC"/>
                <w:sz w:val="32"/>
                <w:szCs w:val="32"/>
              </w:rPr>
            </w:pPr>
            <w:r>
              <w:rPr>
                <w:rFonts w:ascii="PingFang SC" w:hAnsi="PingFang SC" w:eastAsia="PingFang SC" w:cs="PingFang SC"/>
                <w:b/>
                <w:bCs/>
                <w:spacing w:val="-3"/>
                <w:sz w:val="32"/>
                <w:szCs w:val="32"/>
              </w:rPr>
              <w:t>6</w:t>
            </w:r>
          </w:p>
        </w:tc>
        <w:tc>
          <w:tcPr>
            <w:tcW w:w="4061" w:type="dxa"/>
            <w:vAlign w:val="top"/>
          </w:tcPr>
          <w:p w14:paraId="067B4D20">
            <w:pPr>
              <w:pStyle w:val="12"/>
              <w:spacing w:before="26" w:line="287" w:lineRule="auto"/>
              <w:ind w:left="129"/>
              <w:rPr>
                <w:sz w:val="32"/>
                <w:szCs w:val="32"/>
              </w:rPr>
            </w:pPr>
            <w:r>
              <w:rPr>
                <w:spacing w:val="4"/>
                <w:sz w:val="32"/>
                <w:szCs w:val="32"/>
              </w:rPr>
              <w:t>Describe significant</w:t>
            </w:r>
            <w:r>
              <w:rPr>
                <w:spacing w:val="21"/>
                <w:w w:val="101"/>
                <w:sz w:val="32"/>
                <w:szCs w:val="32"/>
              </w:rPr>
              <w:t xml:space="preserve"> </w:t>
            </w:r>
            <w:r>
              <w:rPr>
                <w:spacing w:val="4"/>
                <w:sz w:val="32"/>
                <w:szCs w:val="32"/>
              </w:rPr>
              <w:t>physical examination</w:t>
            </w:r>
            <w:r>
              <w:rPr>
                <w:spacing w:val="17"/>
                <w:sz w:val="32"/>
                <w:szCs w:val="32"/>
              </w:rPr>
              <w:t xml:space="preserve"> </w:t>
            </w:r>
            <w:r>
              <w:rPr>
                <w:spacing w:val="4"/>
                <w:sz w:val="32"/>
                <w:szCs w:val="32"/>
              </w:rPr>
              <w:t>(PE) and</w:t>
            </w:r>
            <w:r>
              <w:rPr>
                <w:spacing w:val="18"/>
                <w:w w:val="101"/>
                <w:sz w:val="32"/>
                <w:szCs w:val="32"/>
              </w:rPr>
              <w:t xml:space="preserve"> </w:t>
            </w:r>
            <w:r>
              <w:rPr>
                <w:spacing w:val="4"/>
                <w:sz w:val="32"/>
                <w:szCs w:val="32"/>
              </w:rPr>
              <w:t>important clinical findings</w:t>
            </w:r>
          </w:p>
        </w:tc>
        <w:tc>
          <w:tcPr>
            <w:tcW w:w="7649" w:type="dxa"/>
            <w:vAlign w:val="top"/>
          </w:tcPr>
          <w:p w14:paraId="6D8E0270">
            <w:pPr>
              <w:keepNext w:val="0"/>
              <w:keepLines w:val="0"/>
              <w:widowControl/>
              <w:suppressLineNumbers w:val="0"/>
              <w:jc w:val="left"/>
            </w:pPr>
            <w:r>
              <w:rPr>
                <w:rFonts w:hint="default"/>
                <w:sz w:val="32"/>
                <w:szCs w:val="32"/>
                <w:lang w:val="en-US" w:eastAsia="zh-CN"/>
              </w:rPr>
              <w:t>T</w:t>
            </w:r>
            <w:r>
              <w:rPr>
                <w:rFonts w:hint="eastAsia"/>
                <w:sz w:val="32"/>
                <w:szCs w:val="32"/>
                <w:lang w:val="en-US" w:eastAsia="zh-CN"/>
              </w:rPr>
              <w:t>he</w:t>
            </w:r>
            <w:r>
              <w:rPr>
                <w:rFonts w:hint="eastAsia" w:ascii="Arial" w:hAnsi="Arial" w:eastAsia="Arial" w:cs="Arial"/>
                <w:snapToGrid w:val="0"/>
                <w:color w:val="000000"/>
                <w:kern w:val="0"/>
                <w:sz w:val="32"/>
                <w:szCs w:val="32"/>
                <w:lang w:val="en-US" w:eastAsia="zh-CN" w:bidi="ar-SA"/>
              </w:rPr>
              <w:t xml:space="preserve"> patient</w:t>
            </w:r>
            <w:r>
              <w:rPr>
                <w:rFonts w:hint="default" w:ascii="Arial" w:hAnsi="Arial" w:eastAsia="Arial" w:cs="Arial"/>
                <w:snapToGrid w:val="0"/>
                <w:color w:val="000000"/>
                <w:kern w:val="0"/>
                <w:sz w:val="32"/>
                <w:szCs w:val="32"/>
                <w:lang w:val="en-US" w:eastAsia="zh-CN" w:bidi="ar-SA"/>
              </w:rPr>
              <w:t xml:space="preserve"> had bilateral facial weakness, absent pharyngeal reflex, complete quadriparesis, reduced limb tone and lost lower limb tendon reflexes, plus hyponatremia and typical symmetric demyelinating lesions on brain MRI.</w:t>
            </w:r>
          </w:p>
          <w:p w14:paraId="709AF5C6">
            <w:pPr>
              <w:pStyle w:val="12"/>
              <w:rPr>
                <w:sz w:val="32"/>
                <w:szCs w:val="32"/>
              </w:rPr>
            </w:pPr>
          </w:p>
        </w:tc>
      </w:tr>
      <w:tr w14:paraId="6039E4F8">
        <w:trPr>
          <w:trHeight w:val="1283" w:hRule="atLeast"/>
        </w:trPr>
        <w:tc>
          <w:tcPr>
            <w:tcW w:w="2188" w:type="dxa"/>
            <w:vAlign w:val="top"/>
          </w:tcPr>
          <w:p w14:paraId="0C2353BD">
            <w:pPr>
              <w:spacing w:before="61" w:line="166" w:lineRule="auto"/>
              <w:ind w:left="80"/>
              <w:rPr>
                <w:rFonts w:ascii="PingFang SC" w:hAnsi="PingFang SC" w:eastAsia="PingFang SC" w:cs="PingFang SC"/>
                <w:sz w:val="32"/>
                <w:szCs w:val="32"/>
              </w:rPr>
            </w:pPr>
            <w:r>
              <w:rPr>
                <w:rFonts w:ascii="PingFang SC" w:hAnsi="PingFang SC" w:eastAsia="PingFang SC" w:cs="PingFang SC"/>
                <w:b/>
                <w:bCs/>
                <w:spacing w:val="6"/>
                <w:sz w:val="32"/>
                <w:szCs w:val="32"/>
              </w:rPr>
              <w:t>Timeline</w:t>
            </w:r>
          </w:p>
        </w:tc>
        <w:tc>
          <w:tcPr>
            <w:tcW w:w="720" w:type="dxa"/>
            <w:vAlign w:val="top"/>
          </w:tcPr>
          <w:p w14:paraId="6F08B233">
            <w:pPr>
              <w:spacing w:before="88" w:line="224" w:lineRule="exact"/>
              <w:ind w:left="308"/>
              <w:rPr>
                <w:rFonts w:ascii="PingFang SC" w:hAnsi="PingFang SC" w:eastAsia="PingFang SC" w:cs="PingFang SC"/>
                <w:sz w:val="32"/>
                <w:szCs w:val="32"/>
              </w:rPr>
            </w:pPr>
            <w:r>
              <w:rPr>
                <w:rFonts w:ascii="PingFang SC" w:hAnsi="PingFang SC" w:eastAsia="PingFang SC" w:cs="PingFang SC"/>
                <w:b/>
                <w:bCs/>
                <w:spacing w:val="-3"/>
                <w:sz w:val="32"/>
                <w:szCs w:val="32"/>
              </w:rPr>
              <w:t>7</w:t>
            </w:r>
          </w:p>
        </w:tc>
        <w:tc>
          <w:tcPr>
            <w:tcW w:w="4061" w:type="dxa"/>
            <w:vAlign w:val="top"/>
          </w:tcPr>
          <w:p w14:paraId="5353D05C">
            <w:pPr>
              <w:pStyle w:val="12"/>
              <w:spacing w:before="74" w:line="249" w:lineRule="auto"/>
              <w:ind w:left="130"/>
              <w:rPr>
                <w:sz w:val="32"/>
                <w:szCs w:val="32"/>
              </w:rPr>
            </w:pPr>
            <w:r>
              <w:rPr>
                <w:spacing w:val="3"/>
                <w:sz w:val="32"/>
                <w:szCs w:val="32"/>
              </w:rPr>
              <w:t>Historical and current</w:t>
            </w:r>
            <w:r>
              <w:rPr>
                <w:spacing w:val="18"/>
                <w:w w:val="101"/>
                <w:sz w:val="32"/>
                <w:szCs w:val="32"/>
              </w:rPr>
              <w:t xml:space="preserve"> </w:t>
            </w:r>
            <w:r>
              <w:rPr>
                <w:spacing w:val="3"/>
                <w:sz w:val="32"/>
                <w:szCs w:val="32"/>
              </w:rPr>
              <w:t>information from this episode of care</w:t>
            </w:r>
            <w:r>
              <w:rPr>
                <w:spacing w:val="11"/>
                <w:sz w:val="32"/>
                <w:szCs w:val="32"/>
              </w:rPr>
              <w:t xml:space="preserve"> </w:t>
            </w:r>
            <w:r>
              <w:rPr>
                <w:spacing w:val="3"/>
                <w:sz w:val="32"/>
                <w:szCs w:val="32"/>
              </w:rPr>
              <w:t>organized</w:t>
            </w:r>
            <w:r>
              <w:rPr>
                <w:spacing w:val="13"/>
                <w:sz w:val="32"/>
                <w:szCs w:val="32"/>
              </w:rPr>
              <w:t xml:space="preserve"> </w:t>
            </w:r>
            <w:r>
              <w:rPr>
                <w:spacing w:val="3"/>
                <w:sz w:val="32"/>
                <w:szCs w:val="32"/>
              </w:rPr>
              <w:t>as</w:t>
            </w:r>
            <w:r>
              <w:rPr>
                <w:spacing w:val="12"/>
                <w:sz w:val="32"/>
                <w:szCs w:val="32"/>
              </w:rPr>
              <w:t xml:space="preserve"> </w:t>
            </w:r>
            <w:r>
              <w:rPr>
                <w:spacing w:val="3"/>
                <w:sz w:val="32"/>
                <w:szCs w:val="32"/>
              </w:rPr>
              <w:t>a</w:t>
            </w:r>
            <w:r>
              <w:rPr>
                <w:spacing w:val="8"/>
                <w:sz w:val="32"/>
                <w:szCs w:val="32"/>
              </w:rPr>
              <w:t xml:space="preserve"> </w:t>
            </w:r>
            <w:r>
              <w:rPr>
                <w:spacing w:val="3"/>
                <w:sz w:val="32"/>
                <w:szCs w:val="32"/>
              </w:rPr>
              <w:t>timeline</w:t>
            </w:r>
          </w:p>
        </w:tc>
        <w:tc>
          <w:tcPr>
            <w:tcW w:w="7649" w:type="dxa"/>
            <w:tcBorders>
              <w:bottom w:val="single" w:color="000000" w:sz="2" w:space="0"/>
            </w:tcBorders>
            <w:vAlign w:val="top"/>
          </w:tcPr>
          <w:p w14:paraId="1D035492">
            <w:pPr>
              <w:pStyle w:val="12"/>
              <w:rPr>
                <w:rFonts w:hint="eastAsia" w:eastAsia="宋体"/>
                <w:sz w:val="32"/>
                <w:szCs w:val="32"/>
                <w:lang w:val="en-US" w:eastAsia="zh-CN"/>
              </w:rPr>
            </w:pPr>
            <w:r>
              <w:rPr>
                <w:rFonts w:hint="eastAsia" w:eastAsia="宋体"/>
                <w:sz w:val="32"/>
                <w:szCs w:val="32"/>
                <w:lang w:val="en-US" w:eastAsia="zh-CN"/>
              </w:rPr>
              <w:t>1.3 months prior to admission: Recurrent severe abdominal pain; patient underwent appendectomy and intestinal obstruction therapy without relief</w:t>
            </w:r>
          </w:p>
          <w:p w14:paraId="5F4F9771">
            <w:pPr>
              <w:pStyle w:val="12"/>
              <w:rPr>
                <w:rFonts w:hint="eastAsia" w:eastAsia="宋体"/>
                <w:sz w:val="32"/>
                <w:szCs w:val="32"/>
                <w:lang w:val="en-US" w:eastAsia="zh-CN"/>
              </w:rPr>
            </w:pPr>
            <w:r>
              <w:rPr>
                <w:rFonts w:hint="eastAsia" w:eastAsia="宋体"/>
                <w:sz w:val="32"/>
                <w:szCs w:val="32"/>
                <w:lang w:val="en-US" w:eastAsia="zh-CN"/>
              </w:rPr>
              <w:t>2.5 days before admission: Progressive limb weakness, delirium, hallucinations and 15 kg weight loss developed.</w:t>
            </w:r>
          </w:p>
          <w:p w14:paraId="6CC853B5">
            <w:pPr>
              <w:keepNext w:val="0"/>
              <w:keepLines w:val="0"/>
              <w:widowControl/>
              <w:suppressLineNumbers w:val="0"/>
              <w:jc w:val="left"/>
              <w:rPr>
                <w:rFonts w:hint="eastAsia" w:eastAsia="宋体"/>
                <w:sz w:val="32"/>
                <w:szCs w:val="32"/>
                <w:lang w:val="en-US" w:eastAsia="zh-CN"/>
              </w:rPr>
            </w:pPr>
            <w:r>
              <w:rPr>
                <w:rFonts w:hint="eastAsia" w:eastAsia="宋体"/>
                <w:sz w:val="32"/>
                <w:szCs w:val="32"/>
                <w:lang w:val="en-US" w:eastAsia="zh-CN"/>
              </w:rPr>
              <w:t>3</w:t>
            </w:r>
            <w:r>
              <w:rPr>
                <w:rFonts w:hint="eastAsia" w:ascii="Arial" w:hAnsi="Arial" w:eastAsia="宋体" w:cs="Arial"/>
                <w:snapToGrid w:val="0"/>
                <w:color w:val="000000"/>
                <w:kern w:val="0"/>
                <w:sz w:val="32"/>
                <w:szCs w:val="32"/>
                <w:lang w:val="en-US" w:eastAsia="zh-CN" w:bidi="ar-SA"/>
              </w:rPr>
              <w:t>.Admission day: Exam showed complete quadriparesis, hyponatremia; initial misdiagnosis of Guillain-Barré syndrome, treated with IVIG and steroids.</w:t>
            </w:r>
          </w:p>
          <w:p w14:paraId="170B2C85">
            <w:pPr>
              <w:pStyle w:val="12"/>
              <w:rPr>
                <w:rFonts w:hint="eastAsia" w:eastAsia="宋体"/>
                <w:sz w:val="32"/>
                <w:szCs w:val="32"/>
                <w:lang w:val="en-US" w:eastAsia="zh-CN"/>
              </w:rPr>
            </w:pPr>
            <w:r>
              <w:rPr>
                <w:rFonts w:hint="eastAsia" w:eastAsia="宋体"/>
                <w:sz w:val="32"/>
                <w:szCs w:val="32"/>
                <w:lang w:val="en-US" w:eastAsia="zh-CN"/>
              </w:rPr>
              <w:t>4.Day 4 post-admission: Follow-up brain MRI revealed symmetrical osmotic demyelination lesions</w:t>
            </w:r>
          </w:p>
          <w:p w14:paraId="5EE5BF9E">
            <w:pPr>
              <w:pStyle w:val="12"/>
              <w:rPr>
                <w:rFonts w:hint="eastAsia" w:eastAsia="宋体"/>
                <w:sz w:val="32"/>
                <w:szCs w:val="32"/>
                <w:lang w:val="en-US" w:eastAsia="zh-CN"/>
              </w:rPr>
            </w:pPr>
            <w:r>
              <w:rPr>
                <w:rFonts w:hint="eastAsia" w:eastAsia="宋体"/>
                <w:sz w:val="32"/>
                <w:szCs w:val="32"/>
                <w:lang w:val="en-US" w:eastAsia="zh-CN"/>
              </w:rPr>
              <w:t>5.Hospitalization period: Reddish urine appeared; whole-exome sequencing confirmed pathogenic HMBS variant. Heme infusion, high-carbohydrate diet and rehabilitation were initiated</w:t>
            </w:r>
          </w:p>
          <w:p w14:paraId="3A1B975F">
            <w:pPr>
              <w:pStyle w:val="12"/>
              <w:rPr>
                <w:rFonts w:hint="eastAsia" w:eastAsia="宋体"/>
                <w:sz w:val="32"/>
                <w:szCs w:val="32"/>
                <w:lang w:val="en-US" w:eastAsia="zh-CN"/>
              </w:rPr>
            </w:pPr>
            <w:r>
              <w:rPr>
                <w:rFonts w:hint="eastAsia" w:eastAsia="宋体"/>
                <w:sz w:val="32"/>
                <w:szCs w:val="32"/>
                <w:lang w:val="en-US" w:eastAsia="zh-CN"/>
              </w:rPr>
              <w:t>6.Discharge: Mental status recovered; limb muscle strength partially improved.</w:t>
            </w:r>
          </w:p>
          <w:p w14:paraId="7F672628">
            <w:pPr>
              <w:pStyle w:val="12"/>
              <w:rPr>
                <w:rFonts w:hint="default" w:eastAsia="宋体"/>
                <w:sz w:val="32"/>
                <w:szCs w:val="32"/>
                <w:lang w:val="en-US" w:eastAsia="zh-CN"/>
              </w:rPr>
            </w:pPr>
            <w:r>
              <w:rPr>
                <w:rFonts w:hint="eastAsia" w:eastAsia="宋体"/>
                <w:sz w:val="32"/>
                <w:szCs w:val="32"/>
                <w:lang w:val="en-US" w:eastAsia="zh-CN"/>
              </w:rPr>
              <w:t>7.6-month follow-up: Acute porphyria relapse with psychiatric and limb weakness symptoms; liver transplantation is under consideration.</w:t>
            </w:r>
          </w:p>
        </w:tc>
      </w:tr>
      <w:tr w14:paraId="79E9A95E">
        <w:trPr>
          <w:trHeight w:val="295" w:hRule="atLeast"/>
        </w:trPr>
        <w:tc>
          <w:tcPr>
            <w:tcW w:w="2188" w:type="dxa"/>
            <w:vAlign w:val="top"/>
          </w:tcPr>
          <w:p w14:paraId="65AB238C">
            <w:pPr>
              <w:spacing w:before="69" w:line="216" w:lineRule="exact"/>
              <w:ind w:left="90"/>
              <w:rPr>
                <w:rFonts w:ascii="PingFang SC" w:hAnsi="PingFang SC" w:eastAsia="PingFang SC" w:cs="PingFang SC"/>
                <w:sz w:val="32"/>
                <w:szCs w:val="32"/>
              </w:rPr>
            </w:pPr>
            <w:r>
              <w:rPr>
                <w:rFonts w:ascii="PingFang SC" w:hAnsi="PingFang SC" w:eastAsia="PingFang SC" w:cs="PingFang SC"/>
                <w:b/>
                <w:bCs/>
                <w:spacing w:val="5"/>
                <w:position w:val="1"/>
                <w:sz w:val="32"/>
                <w:szCs w:val="32"/>
              </w:rPr>
              <w:t>Diagnostic</w:t>
            </w:r>
          </w:p>
        </w:tc>
        <w:tc>
          <w:tcPr>
            <w:tcW w:w="720" w:type="dxa"/>
            <w:vAlign w:val="top"/>
          </w:tcPr>
          <w:p w14:paraId="6D7CC704">
            <w:pPr>
              <w:spacing w:before="93" w:line="192" w:lineRule="exact"/>
              <w:ind w:left="250"/>
              <w:rPr>
                <w:rFonts w:ascii="PingFang SC" w:hAnsi="PingFang SC" w:eastAsia="PingFang SC" w:cs="PingFang SC"/>
                <w:sz w:val="32"/>
                <w:szCs w:val="32"/>
              </w:rPr>
            </w:pPr>
            <w:r>
              <w:rPr>
                <w:rFonts w:ascii="PingFang SC" w:hAnsi="PingFang SC" w:eastAsia="PingFang SC" w:cs="PingFang SC"/>
                <w:b/>
                <w:bCs/>
                <w:spacing w:val="-5"/>
                <w:position w:val="-1"/>
                <w:sz w:val="32"/>
                <w:szCs w:val="32"/>
              </w:rPr>
              <w:t>8a</w:t>
            </w:r>
          </w:p>
        </w:tc>
        <w:tc>
          <w:tcPr>
            <w:tcW w:w="4061" w:type="dxa"/>
            <w:vAlign w:val="top"/>
          </w:tcPr>
          <w:p w14:paraId="390CE03E">
            <w:pPr>
              <w:pStyle w:val="12"/>
              <w:spacing w:before="34" w:line="261" w:lineRule="auto"/>
              <w:ind w:left="129"/>
              <w:rPr>
                <w:sz w:val="32"/>
                <w:szCs w:val="32"/>
              </w:rPr>
            </w:pPr>
            <w:r>
              <w:rPr>
                <w:spacing w:val="4"/>
                <w:sz w:val="32"/>
                <w:szCs w:val="32"/>
              </w:rPr>
              <w:t>Diagnostic testing</w:t>
            </w:r>
            <w:r>
              <w:rPr>
                <w:spacing w:val="17"/>
                <w:w w:val="101"/>
                <w:sz w:val="32"/>
                <w:szCs w:val="32"/>
              </w:rPr>
              <w:t xml:space="preserve"> </w:t>
            </w:r>
            <w:r>
              <w:rPr>
                <w:spacing w:val="4"/>
                <w:sz w:val="32"/>
                <w:szCs w:val="32"/>
              </w:rPr>
              <w:t>(such as</w:t>
            </w:r>
            <w:r>
              <w:rPr>
                <w:spacing w:val="20"/>
                <w:w w:val="101"/>
                <w:sz w:val="32"/>
                <w:szCs w:val="32"/>
              </w:rPr>
              <w:t xml:space="preserve"> </w:t>
            </w:r>
            <w:r>
              <w:rPr>
                <w:spacing w:val="4"/>
                <w:sz w:val="32"/>
                <w:szCs w:val="32"/>
              </w:rPr>
              <w:t>PE,</w:t>
            </w:r>
            <w:r>
              <w:rPr>
                <w:spacing w:val="17"/>
                <w:sz w:val="32"/>
                <w:szCs w:val="32"/>
              </w:rPr>
              <w:t xml:space="preserve"> </w:t>
            </w:r>
            <w:r>
              <w:rPr>
                <w:spacing w:val="4"/>
                <w:sz w:val="32"/>
                <w:szCs w:val="32"/>
              </w:rPr>
              <w:t>laboratory testing,</w:t>
            </w:r>
            <w:r>
              <w:rPr>
                <w:spacing w:val="17"/>
                <w:w w:val="101"/>
                <w:sz w:val="32"/>
                <w:szCs w:val="32"/>
              </w:rPr>
              <w:t xml:space="preserve"> </w:t>
            </w:r>
            <w:r>
              <w:rPr>
                <w:spacing w:val="4"/>
                <w:sz w:val="32"/>
                <w:szCs w:val="32"/>
              </w:rPr>
              <w:t>imaging, sur</w:t>
            </w:r>
            <w:r>
              <w:rPr>
                <w:spacing w:val="3"/>
                <w:sz w:val="32"/>
                <w:szCs w:val="32"/>
              </w:rPr>
              <w:t>veys)</w:t>
            </w:r>
            <w:r>
              <w:rPr>
                <w:spacing w:val="-37"/>
                <w:sz w:val="32"/>
                <w:szCs w:val="32"/>
              </w:rPr>
              <w:t xml:space="preserve"> </w:t>
            </w:r>
          </w:p>
        </w:tc>
        <w:tc>
          <w:tcPr>
            <w:tcW w:w="7649" w:type="dxa"/>
            <w:tcBorders>
              <w:top w:val="single" w:color="000000" w:sz="2" w:space="0"/>
              <w:bottom w:val="single" w:color="000000" w:sz="2" w:space="0"/>
            </w:tcBorders>
            <w:vAlign w:val="top"/>
          </w:tcPr>
          <w:p w14:paraId="6F844E03">
            <w:pPr>
              <w:pStyle w:val="12"/>
              <w:rPr>
                <w:sz w:val="32"/>
                <w:szCs w:val="32"/>
              </w:rPr>
            </w:pPr>
            <w:r>
              <w:rPr>
                <w:sz w:val="32"/>
                <w:szCs w:val="32"/>
                <w:lang w:val="en-US" w:eastAsia="zh-CN"/>
              </w:rPr>
              <w:t>Physical examination revealed quadriparesis and cranial nerve impairment. Lab tests showed hyponatremia and reddish urine. Brain MRI displayed symmetric demyelinating lesions. EMG indicated axonal neuropathy, and whole-exome sequencing identified the pathogenic HMBS variant.</w:t>
            </w:r>
          </w:p>
          <w:p w14:paraId="5FF3835F">
            <w:pPr>
              <w:pStyle w:val="12"/>
              <w:rPr>
                <w:sz w:val="32"/>
                <w:szCs w:val="32"/>
              </w:rPr>
            </w:pPr>
          </w:p>
        </w:tc>
      </w:tr>
      <w:tr w14:paraId="36533DF0">
        <w:trPr>
          <w:trHeight w:val="397" w:hRule="atLeast"/>
        </w:trPr>
        <w:tc>
          <w:tcPr>
            <w:tcW w:w="2188" w:type="dxa"/>
            <w:vMerge w:val="restart"/>
            <w:tcBorders>
              <w:bottom w:val="nil"/>
            </w:tcBorders>
            <w:vAlign w:val="top"/>
          </w:tcPr>
          <w:p w14:paraId="2853317C">
            <w:pPr>
              <w:spacing w:before="9" w:line="170" w:lineRule="auto"/>
              <w:ind w:left="75"/>
              <w:rPr>
                <w:rFonts w:ascii="PingFang SC" w:hAnsi="PingFang SC" w:eastAsia="PingFang SC" w:cs="PingFang SC"/>
                <w:sz w:val="32"/>
                <w:szCs w:val="32"/>
              </w:rPr>
            </w:pPr>
            <w:r>
              <w:rPr>
                <w:rFonts w:ascii="PingFang SC" w:hAnsi="PingFang SC" w:eastAsia="PingFang SC" w:cs="PingFang SC"/>
                <w:b/>
                <w:bCs/>
                <w:spacing w:val="10"/>
                <w:sz w:val="32"/>
                <w:szCs w:val="32"/>
              </w:rPr>
              <w:t>Assessment</w:t>
            </w:r>
          </w:p>
        </w:tc>
        <w:tc>
          <w:tcPr>
            <w:tcW w:w="720" w:type="dxa"/>
            <w:vAlign w:val="top"/>
          </w:tcPr>
          <w:p w14:paraId="48D0F711">
            <w:pPr>
              <w:spacing w:before="129" w:line="170" w:lineRule="auto"/>
              <w:ind w:left="244"/>
              <w:rPr>
                <w:rFonts w:ascii="PingFang SC" w:hAnsi="PingFang SC" w:eastAsia="PingFang SC" w:cs="PingFang SC"/>
                <w:sz w:val="32"/>
                <w:szCs w:val="32"/>
              </w:rPr>
            </w:pPr>
            <w:r>
              <w:rPr>
                <w:rFonts w:ascii="PingFang SC" w:hAnsi="PingFang SC" w:eastAsia="PingFang SC" w:cs="PingFang SC"/>
                <w:b/>
                <w:bCs/>
                <w:spacing w:val="-3"/>
                <w:sz w:val="32"/>
                <w:szCs w:val="32"/>
              </w:rPr>
              <w:t>8b</w:t>
            </w:r>
          </w:p>
        </w:tc>
        <w:tc>
          <w:tcPr>
            <w:tcW w:w="4061" w:type="dxa"/>
            <w:vAlign w:val="top"/>
          </w:tcPr>
          <w:p w14:paraId="367127AC">
            <w:pPr>
              <w:pStyle w:val="12"/>
              <w:spacing w:before="70" w:line="287" w:lineRule="auto"/>
              <w:ind w:left="129"/>
              <w:rPr>
                <w:sz w:val="32"/>
                <w:szCs w:val="32"/>
              </w:rPr>
            </w:pPr>
            <w:r>
              <w:rPr>
                <w:spacing w:val="4"/>
                <w:sz w:val="32"/>
                <w:szCs w:val="32"/>
              </w:rPr>
              <w:t>Diagnostic challenges</w:t>
            </w:r>
            <w:r>
              <w:rPr>
                <w:spacing w:val="17"/>
                <w:w w:val="101"/>
                <w:sz w:val="32"/>
                <w:szCs w:val="32"/>
              </w:rPr>
              <w:t xml:space="preserve"> </w:t>
            </w:r>
            <w:r>
              <w:rPr>
                <w:spacing w:val="4"/>
                <w:sz w:val="32"/>
                <w:szCs w:val="32"/>
              </w:rPr>
              <w:t>(such as access to testing, financial,</w:t>
            </w:r>
            <w:r>
              <w:rPr>
                <w:spacing w:val="10"/>
                <w:sz w:val="32"/>
                <w:szCs w:val="32"/>
              </w:rPr>
              <w:t xml:space="preserve"> </w:t>
            </w:r>
            <w:r>
              <w:rPr>
                <w:spacing w:val="4"/>
                <w:sz w:val="32"/>
                <w:szCs w:val="32"/>
              </w:rPr>
              <w:t>or</w:t>
            </w:r>
            <w:r>
              <w:rPr>
                <w:spacing w:val="10"/>
                <w:sz w:val="32"/>
                <w:szCs w:val="32"/>
              </w:rPr>
              <w:t xml:space="preserve"> </w:t>
            </w:r>
            <w:r>
              <w:rPr>
                <w:spacing w:val="4"/>
                <w:sz w:val="32"/>
                <w:szCs w:val="32"/>
              </w:rPr>
              <w:t>cultur</w:t>
            </w:r>
            <w:r>
              <w:rPr>
                <w:spacing w:val="3"/>
                <w:sz w:val="32"/>
                <w:szCs w:val="32"/>
              </w:rPr>
              <w:t>al)</w:t>
            </w:r>
            <w:r>
              <w:rPr>
                <w:spacing w:val="13"/>
                <w:sz w:val="32"/>
                <w:szCs w:val="32"/>
              </w:rPr>
              <w:t xml:space="preserve"> </w:t>
            </w:r>
          </w:p>
        </w:tc>
        <w:tc>
          <w:tcPr>
            <w:tcW w:w="7649" w:type="dxa"/>
            <w:tcBorders>
              <w:top w:val="single" w:color="000000" w:sz="2" w:space="0"/>
            </w:tcBorders>
            <w:vAlign w:val="top"/>
          </w:tcPr>
          <w:p w14:paraId="015857D0">
            <w:pPr>
              <w:pStyle w:val="12"/>
              <w:rPr>
                <w:sz w:val="32"/>
                <w:szCs w:val="32"/>
              </w:rPr>
            </w:pPr>
            <w:r>
              <w:rPr>
                <w:sz w:val="32"/>
                <w:szCs w:val="32"/>
                <w:lang w:val="en-US" w:eastAsia="zh-CN"/>
              </w:rPr>
              <w:t xml:space="preserve">No financial, cultural or testing-access barriers existed in this case. </w:t>
            </w:r>
          </w:p>
          <w:p w14:paraId="757DBB23">
            <w:pPr>
              <w:pStyle w:val="12"/>
              <w:rPr>
                <w:sz w:val="32"/>
                <w:szCs w:val="32"/>
              </w:rPr>
            </w:pPr>
          </w:p>
        </w:tc>
      </w:tr>
      <w:tr w14:paraId="22650F17">
        <w:trPr>
          <w:trHeight w:val="338" w:hRule="atLeast"/>
        </w:trPr>
        <w:tc>
          <w:tcPr>
            <w:tcW w:w="2188" w:type="dxa"/>
            <w:vMerge w:val="continue"/>
            <w:tcBorders>
              <w:top w:val="nil"/>
              <w:bottom w:val="nil"/>
            </w:tcBorders>
            <w:vAlign w:val="top"/>
          </w:tcPr>
          <w:p w14:paraId="359D804A">
            <w:pPr>
              <w:pStyle w:val="12"/>
              <w:rPr>
                <w:sz w:val="32"/>
                <w:szCs w:val="32"/>
              </w:rPr>
            </w:pPr>
          </w:p>
        </w:tc>
        <w:tc>
          <w:tcPr>
            <w:tcW w:w="720" w:type="dxa"/>
            <w:vAlign w:val="top"/>
          </w:tcPr>
          <w:p w14:paraId="12C0B7D1">
            <w:pPr>
              <w:spacing w:before="73" w:line="168" w:lineRule="auto"/>
              <w:ind w:left="250"/>
              <w:rPr>
                <w:rFonts w:ascii="PingFang SC" w:hAnsi="PingFang SC" w:eastAsia="PingFang SC" w:cs="PingFang SC"/>
                <w:sz w:val="32"/>
                <w:szCs w:val="32"/>
              </w:rPr>
            </w:pPr>
            <w:r>
              <w:rPr>
                <w:rFonts w:ascii="PingFang SC" w:hAnsi="PingFang SC" w:eastAsia="PingFang SC" w:cs="PingFang SC"/>
                <w:b/>
                <w:bCs/>
                <w:spacing w:val="-4"/>
                <w:sz w:val="32"/>
                <w:szCs w:val="32"/>
              </w:rPr>
              <w:t>8c</w:t>
            </w:r>
          </w:p>
        </w:tc>
        <w:tc>
          <w:tcPr>
            <w:tcW w:w="4061" w:type="dxa"/>
            <w:vAlign w:val="top"/>
          </w:tcPr>
          <w:p w14:paraId="68337EC6">
            <w:pPr>
              <w:pStyle w:val="12"/>
              <w:spacing w:before="14" w:line="287" w:lineRule="auto"/>
              <w:ind w:left="129"/>
              <w:rPr>
                <w:sz w:val="32"/>
                <w:szCs w:val="32"/>
              </w:rPr>
            </w:pPr>
            <w:r>
              <w:rPr>
                <w:spacing w:val="5"/>
                <w:sz w:val="32"/>
                <w:szCs w:val="32"/>
              </w:rPr>
              <w:t>Diagnosis</w:t>
            </w:r>
            <w:r>
              <w:rPr>
                <w:spacing w:val="18"/>
                <w:sz w:val="32"/>
                <w:szCs w:val="32"/>
              </w:rPr>
              <w:t xml:space="preserve"> </w:t>
            </w:r>
            <w:r>
              <w:rPr>
                <w:spacing w:val="5"/>
                <w:sz w:val="32"/>
                <w:szCs w:val="32"/>
              </w:rPr>
              <w:t>(including other diag</w:t>
            </w:r>
            <w:r>
              <w:rPr>
                <w:spacing w:val="4"/>
                <w:sz w:val="32"/>
                <w:szCs w:val="32"/>
              </w:rPr>
              <w:t>noses considered)</w:t>
            </w:r>
            <w:r>
              <w:rPr>
                <w:spacing w:val="23"/>
                <w:w w:val="101"/>
                <w:sz w:val="32"/>
                <w:szCs w:val="32"/>
                <w:lang w:val="en-US"/>
              </w:rPr>
              <w:t xml:space="preserve"> </w:t>
            </w:r>
          </w:p>
        </w:tc>
        <w:tc>
          <w:tcPr>
            <w:tcW w:w="7649" w:type="dxa"/>
            <w:vAlign w:val="top"/>
          </w:tcPr>
          <w:p w14:paraId="1E249694">
            <w:pPr>
              <w:pStyle w:val="12"/>
              <w:rPr>
                <w:sz w:val="32"/>
                <w:szCs w:val="32"/>
              </w:rPr>
            </w:pPr>
            <w:r>
              <w:rPr>
                <w:sz w:val="32"/>
                <w:szCs w:val="32"/>
                <w:lang w:val="en-US" w:eastAsia="zh-CN"/>
              </w:rPr>
              <w:t>Final diagnosis: Acute intermittent porphyria carrying heterozygous HMBS c.770T&gt;C variant. Tentative differential diagnoses included intestinal obstruction, appendicitis, Guillain-Barré syndrome and autoimmune encephalitis</w:t>
            </w:r>
          </w:p>
          <w:p w14:paraId="172A98AE">
            <w:pPr>
              <w:pStyle w:val="12"/>
              <w:rPr>
                <w:sz w:val="32"/>
                <w:szCs w:val="32"/>
              </w:rPr>
            </w:pPr>
          </w:p>
        </w:tc>
      </w:tr>
      <w:tr w14:paraId="0CAEB0E1">
        <w:trPr>
          <w:trHeight w:val="296" w:hRule="atLeast"/>
        </w:trPr>
        <w:tc>
          <w:tcPr>
            <w:tcW w:w="2188" w:type="dxa"/>
            <w:vMerge w:val="continue"/>
            <w:tcBorders>
              <w:top w:val="nil"/>
            </w:tcBorders>
            <w:vAlign w:val="top"/>
          </w:tcPr>
          <w:p w14:paraId="65CCFD89">
            <w:pPr>
              <w:pStyle w:val="12"/>
              <w:rPr>
                <w:sz w:val="32"/>
                <w:szCs w:val="32"/>
              </w:rPr>
            </w:pPr>
          </w:p>
        </w:tc>
        <w:tc>
          <w:tcPr>
            <w:tcW w:w="720" w:type="dxa"/>
            <w:vAlign w:val="top"/>
          </w:tcPr>
          <w:p w14:paraId="3BD581CD">
            <w:pPr>
              <w:spacing w:before="71" w:line="215" w:lineRule="exact"/>
              <w:ind w:left="244"/>
              <w:rPr>
                <w:rFonts w:ascii="PingFang SC" w:hAnsi="PingFang SC" w:eastAsia="PingFang SC" w:cs="PingFang SC"/>
                <w:sz w:val="32"/>
                <w:szCs w:val="32"/>
              </w:rPr>
            </w:pPr>
            <w:r>
              <w:rPr>
                <w:rFonts w:ascii="PingFang SC" w:hAnsi="PingFang SC" w:eastAsia="PingFang SC" w:cs="PingFang SC"/>
                <w:b/>
                <w:bCs/>
                <w:spacing w:val="-3"/>
                <w:position w:val="-1"/>
                <w:sz w:val="32"/>
                <w:szCs w:val="32"/>
              </w:rPr>
              <w:t>8d</w:t>
            </w:r>
          </w:p>
        </w:tc>
        <w:tc>
          <w:tcPr>
            <w:tcW w:w="4061" w:type="dxa"/>
            <w:vAlign w:val="top"/>
          </w:tcPr>
          <w:p w14:paraId="1AEF6D74">
            <w:pPr>
              <w:pStyle w:val="12"/>
              <w:spacing w:before="11" w:line="286" w:lineRule="auto"/>
              <w:ind w:left="129"/>
              <w:rPr>
                <w:sz w:val="32"/>
                <w:szCs w:val="32"/>
              </w:rPr>
            </w:pPr>
            <w:r>
              <w:rPr>
                <w:spacing w:val="4"/>
                <w:sz w:val="32"/>
                <w:szCs w:val="32"/>
              </w:rPr>
              <w:t>Prognosis</w:t>
            </w:r>
            <w:r>
              <w:rPr>
                <w:spacing w:val="17"/>
                <w:sz w:val="32"/>
                <w:szCs w:val="32"/>
              </w:rPr>
              <w:t xml:space="preserve"> </w:t>
            </w:r>
            <w:r>
              <w:rPr>
                <w:spacing w:val="4"/>
                <w:sz w:val="32"/>
                <w:szCs w:val="32"/>
              </w:rPr>
              <w:t>(such as staging</w:t>
            </w:r>
            <w:r>
              <w:rPr>
                <w:spacing w:val="20"/>
                <w:w w:val="101"/>
                <w:sz w:val="32"/>
                <w:szCs w:val="32"/>
              </w:rPr>
              <w:t xml:space="preserve"> </w:t>
            </w:r>
            <w:r>
              <w:rPr>
                <w:spacing w:val="4"/>
                <w:sz w:val="32"/>
                <w:szCs w:val="32"/>
              </w:rPr>
              <w:t>in oncology</w:t>
            </w:r>
            <w:r>
              <w:rPr>
                <w:spacing w:val="3"/>
                <w:sz w:val="32"/>
                <w:szCs w:val="32"/>
              </w:rPr>
              <w:t>) where applicable</w:t>
            </w:r>
            <w:r>
              <w:rPr>
                <w:spacing w:val="23"/>
                <w:w w:val="101"/>
                <w:sz w:val="32"/>
                <w:szCs w:val="32"/>
              </w:rPr>
              <w:t xml:space="preserve"> </w:t>
            </w:r>
          </w:p>
        </w:tc>
        <w:tc>
          <w:tcPr>
            <w:tcW w:w="7649" w:type="dxa"/>
            <w:tcBorders>
              <w:bottom w:val="single" w:color="000000" w:sz="2" w:space="0"/>
            </w:tcBorders>
            <w:vAlign w:val="top"/>
          </w:tcPr>
          <w:p w14:paraId="34620207">
            <w:pPr>
              <w:pStyle w:val="12"/>
              <w:rPr>
                <w:sz w:val="32"/>
                <w:szCs w:val="32"/>
                <w:lang w:val="en-US" w:eastAsia="zh-CN"/>
              </w:rPr>
            </w:pPr>
            <w:r>
              <w:rPr>
                <w:sz w:val="32"/>
                <w:szCs w:val="32"/>
                <w:lang w:val="en-US" w:eastAsia="zh-CN"/>
              </w:rPr>
              <w:t>The patient had partial motor recovery after treatment but experienced disease relapse at 6-month follow-up. AIP carries a high recurrence risk, and liver transplantation is being evaluated for long-term disease control.</w:t>
            </w:r>
          </w:p>
          <w:p w14:paraId="75AA0E22">
            <w:pPr>
              <w:pStyle w:val="12"/>
              <w:rPr>
                <w:sz w:val="32"/>
                <w:szCs w:val="32"/>
                <w:lang w:val="en-US" w:eastAsia="zh-CN"/>
              </w:rPr>
            </w:pPr>
          </w:p>
        </w:tc>
      </w:tr>
      <w:tr w14:paraId="42644B82">
        <w:trPr>
          <w:trHeight w:val="311" w:hRule="atLeast"/>
        </w:trPr>
        <w:tc>
          <w:tcPr>
            <w:tcW w:w="2188" w:type="dxa"/>
            <w:vAlign w:val="top"/>
          </w:tcPr>
          <w:p w14:paraId="7E7FBBCC">
            <w:pPr>
              <w:spacing w:before="82" w:line="219" w:lineRule="exact"/>
              <w:ind w:left="80"/>
              <w:rPr>
                <w:rFonts w:ascii="PingFang SC" w:hAnsi="PingFang SC" w:eastAsia="PingFang SC" w:cs="PingFang SC"/>
                <w:sz w:val="32"/>
                <w:szCs w:val="32"/>
              </w:rPr>
            </w:pPr>
            <w:r>
              <w:rPr>
                <w:rFonts w:ascii="PingFang SC" w:hAnsi="PingFang SC" w:eastAsia="PingFang SC" w:cs="PingFang SC"/>
                <w:b/>
                <w:bCs/>
                <w:spacing w:val="5"/>
                <w:position w:val="1"/>
                <w:sz w:val="32"/>
                <w:szCs w:val="32"/>
              </w:rPr>
              <w:t>Therapeutic</w:t>
            </w:r>
          </w:p>
        </w:tc>
        <w:tc>
          <w:tcPr>
            <w:tcW w:w="720" w:type="dxa"/>
            <w:vAlign w:val="top"/>
          </w:tcPr>
          <w:p w14:paraId="1662E353">
            <w:pPr>
              <w:spacing w:before="106" w:line="195" w:lineRule="exact"/>
              <w:ind w:left="248"/>
              <w:rPr>
                <w:rFonts w:ascii="PingFang SC" w:hAnsi="PingFang SC" w:eastAsia="PingFang SC" w:cs="PingFang SC"/>
                <w:sz w:val="32"/>
                <w:szCs w:val="32"/>
              </w:rPr>
            </w:pPr>
            <w:r>
              <w:rPr>
                <w:rFonts w:ascii="PingFang SC" w:hAnsi="PingFang SC" w:eastAsia="PingFang SC" w:cs="PingFang SC"/>
                <w:b/>
                <w:bCs/>
                <w:spacing w:val="-4"/>
                <w:position w:val="-1"/>
                <w:sz w:val="32"/>
                <w:szCs w:val="32"/>
              </w:rPr>
              <w:t>9a</w:t>
            </w:r>
          </w:p>
        </w:tc>
        <w:tc>
          <w:tcPr>
            <w:tcW w:w="4061" w:type="dxa"/>
            <w:vAlign w:val="top"/>
          </w:tcPr>
          <w:p w14:paraId="7101FB73">
            <w:pPr>
              <w:pStyle w:val="12"/>
              <w:spacing w:before="47" w:line="265" w:lineRule="auto"/>
              <w:ind w:left="118"/>
              <w:rPr>
                <w:sz w:val="32"/>
                <w:szCs w:val="32"/>
              </w:rPr>
            </w:pPr>
            <w:r>
              <w:rPr>
                <w:spacing w:val="-4"/>
                <w:sz w:val="32"/>
                <w:szCs w:val="32"/>
              </w:rPr>
              <w:t>Types of</w:t>
            </w:r>
            <w:r>
              <w:rPr>
                <w:spacing w:val="-20"/>
                <w:sz w:val="32"/>
                <w:szCs w:val="32"/>
              </w:rPr>
              <w:t xml:space="preserve"> </w:t>
            </w:r>
            <w:r>
              <w:rPr>
                <w:spacing w:val="-4"/>
                <w:sz w:val="32"/>
                <w:szCs w:val="32"/>
              </w:rPr>
              <w:t>therapeutic intervention (such as pharmacologic, surg</w:t>
            </w:r>
            <w:r>
              <w:rPr>
                <w:spacing w:val="-5"/>
                <w:sz w:val="32"/>
                <w:szCs w:val="32"/>
              </w:rPr>
              <w:t xml:space="preserve">ical, preventive, self-care) </w:t>
            </w:r>
          </w:p>
        </w:tc>
        <w:tc>
          <w:tcPr>
            <w:tcW w:w="7649" w:type="dxa"/>
            <w:tcBorders>
              <w:top w:val="single" w:color="000000" w:sz="2" w:space="0"/>
              <w:bottom w:val="single" w:color="000000" w:sz="2" w:space="0"/>
            </w:tcBorders>
            <w:vAlign w:val="top"/>
          </w:tcPr>
          <w:p w14:paraId="05B6CF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color w:val="000000"/>
                <w:sz w:val="32"/>
                <w:szCs w:val="32"/>
              </w:rPr>
            </w:pPr>
            <w:r>
              <w:rPr>
                <w:rFonts w:hint="eastAsia" w:eastAsia="宋体"/>
                <w:color w:val="000000"/>
                <w:sz w:val="32"/>
                <w:szCs w:val="32"/>
                <w:bdr w:val="none" w:color="auto" w:sz="0" w:space="0"/>
                <w:lang w:val="en-US" w:eastAsia="zh-CN"/>
              </w:rPr>
              <w:t>1.</w:t>
            </w:r>
            <w:r>
              <w:rPr>
                <w:color w:val="000000"/>
                <w:sz w:val="32"/>
                <w:szCs w:val="32"/>
                <w:bdr w:val="none" w:color="auto" w:sz="0" w:space="0"/>
              </w:rPr>
              <w:t>Pharmacologic: Heme infusion, intravenous immunoglobulin, glucocorticoids, B vitamins.</w:t>
            </w:r>
          </w:p>
          <w:p w14:paraId="4985A4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color w:val="000000"/>
                <w:sz w:val="32"/>
                <w:szCs w:val="32"/>
              </w:rPr>
            </w:pPr>
            <w:r>
              <w:rPr>
                <w:rFonts w:hint="eastAsia" w:eastAsia="宋体"/>
                <w:color w:val="000000"/>
                <w:sz w:val="32"/>
                <w:szCs w:val="32"/>
                <w:bdr w:val="none" w:color="auto" w:sz="0" w:space="0"/>
                <w:lang w:val="en-US" w:eastAsia="zh-CN"/>
              </w:rPr>
              <w:t>2.</w:t>
            </w:r>
            <w:r>
              <w:rPr>
                <w:color w:val="000000"/>
                <w:sz w:val="32"/>
                <w:szCs w:val="32"/>
                <w:bdr w:val="none" w:color="auto" w:sz="0" w:space="0"/>
              </w:rPr>
              <w:t>Nutritional therapy: High-carbohydrate diet.</w:t>
            </w:r>
          </w:p>
          <w:p w14:paraId="04A502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color w:val="000000"/>
                <w:sz w:val="32"/>
                <w:szCs w:val="32"/>
              </w:rPr>
            </w:pPr>
            <w:r>
              <w:rPr>
                <w:rFonts w:hint="eastAsia" w:eastAsia="宋体"/>
                <w:color w:val="000000"/>
                <w:sz w:val="32"/>
                <w:szCs w:val="32"/>
                <w:bdr w:val="none" w:color="auto" w:sz="0" w:space="0"/>
                <w:lang w:val="en-US" w:eastAsia="zh-CN"/>
              </w:rPr>
              <w:t>3.</w:t>
            </w:r>
            <w:r>
              <w:rPr>
                <w:color w:val="000000"/>
                <w:sz w:val="32"/>
                <w:szCs w:val="32"/>
                <w:bdr w:val="none" w:color="auto" w:sz="0" w:space="0"/>
              </w:rPr>
              <w:t>Rehabilitation: Structured motor rehabilitation training.</w:t>
            </w:r>
          </w:p>
          <w:p w14:paraId="2FE984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color w:val="000000"/>
                <w:sz w:val="32"/>
                <w:szCs w:val="32"/>
              </w:rPr>
            </w:pPr>
            <w:r>
              <w:rPr>
                <w:rFonts w:hint="eastAsia" w:eastAsia="宋体"/>
                <w:color w:val="000000"/>
                <w:sz w:val="32"/>
                <w:szCs w:val="32"/>
                <w:bdr w:val="none" w:color="auto" w:sz="0" w:space="0"/>
                <w:lang w:val="en-US" w:eastAsia="zh-CN"/>
              </w:rPr>
              <w:t>4.</w:t>
            </w:r>
            <w:r>
              <w:rPr>
                <w:color w:val="000000"/>
                <w:sz w:val="32"/>
                <w:szCs w:val="32"/>
                <w:bdr w:val="none" w:color="auto" w:sz="0" w:space="0"/>
              </w:rPr>
              <w:t>Surgical: Previous appendectomy for misdiagnosed abdominal pain.</w:t>
            </w:r>
          </w:p>
          <w:p w14:paraId="2DDDF7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left"/>
              <w:rPr>
                <w:color w:val="000000"/>
                <w:sz w:val="32"/>
                <w:szCs w:val="32"/>
              </w:rPr>
            </w:pPr>
            <w:r>
              <w:rPr>
                <w:rFonts w:hint="eastAsia" w:eastAsia="宋体"/>
                <w:color w:val="000000"/>
                <w:sz w:val="32"/>
                <w:szCs w:val="32"/>
                <w:bdr w:val="none" w:color="auto" w:sz="0" w:space="0"/>
                <w:lang w:val="en-US" w:eastAsia="zh-CN"/>
              </w:rPr>
              <w:t>5.</w:t>
            </w:r>
            <w:r>
              <w:rPr>
                <w:color w:val="000000"/>
                <w:sz w:val="32"/>
                <w:szCs w:val="32"/>
                <w:bdr w:val="none" w:color="auto" w:sz="0" w:space="0"/>
              </w:rPr>
              <w:t>Preventive: Long-term regular follow-up to avoid recurrent attacks.</w:t>
            </w:r>
          </w:p>
          <w:p w14:paraId="33299A35">
            <w:pPr>
              <w:pStyle w:val="12"/>
              <w:rPr>
                <w:sz w:val="32"/>
                <w:szCs w:val="32"/>
              </w:rPr>
            </w:pPr>
          </w:p>
        </w:tc>
      </w:tr>
      <w:tr w14:paraId="37B0340E">
        <w:trPr>
          <w:trHeight w:val="391" w:hRule="atLeast"/>
        </w:trPr>
        <w:tc>
          <w:tcPr>
            <w:tcW w:w="2188" w:type="dxa"/>
            <w:vMerge w:val="restart"/>
            <w:tcBorders>
              <w:bottom w:val="nil"/>
            </w:tcBorders>
            <w:vAlign w:val="top"/>
          </w:tcPr>
          <w:p w14:paraId="68A23112">
            <w:pPr>
              <w:spacing w:before="10" w:line="170" w:lineRule="auto"/>
              <w:ind w:left="89"/>
              <w:rPr>
                <w:rFonts w:ascii="PingFang SC" w:hAnsi="PingFang SC" w:eastAsia="PingFang SC" w:cs="PingFang SC"/>
                <w:sz w:val="32"/>
                <w:szCs w:val="32"/>
              </w:rPr>
            </w:pPr>
            <w:r>
              <w:rPr>
                <w:rFonts w:ascii="PingFang SC" w:hAnsi="PingFang SC" w:eastAsia="PingFang SC" w:cs="PingFang SC"/>
                <w:b/>
                <w:bCs/>
                <w:spacing w:val="5"/>
                <w:sz w:val="32"/>
                <w:szCs w:val="32"/>
              </w:rPr>
              <w:t>Intervention</w:t>
            </w:r>
          </w:p>
        </w:tc>
        <w:tc>
          <w:tcPr>
            <w:tcW w:w="720" w:type="dxa"/>
            <w:vAlign w:val="top"/>
          </w:tcPr>
          <w:p w14:paraId="537604B7">
            <w:pPr>
              <w:spacing w:before="130" w:line="165" w:lineRule="auto"/>
              <w:ind w:left="242"/>
              <w:rPr>
                <w:rFonts w:ascii="PingFang SC" w:hAnsi="PingFang SC" w:eastAsia="PingFang SC" w:cs="PingFang SC"/>
                <w:sz w:val="32"/>
                <w:szCs w:val="32"/>
              </w:rPr>
            </w:pPr>
            <w:r>
              <w:rPr>
                <w:rFonts w:ascii="PingFang SC" w:hAnsi="PingFang SC" w:eastAsia="PingFang SC" w:cs="PingFang SC"/>
                <w:b/>
                <w:bCs/>
                <w:spacing w:val="-3"/>
                <w:sz w:val="32"/>
                <w:szCs w:val="32"/>
              </w:rPr>
              <w:t>9b</w:t>
            </w:r>
          </w:p>
        </w:tc>
        <w:tc>
          <w:tcPr>
            <w:tcW w:w="4061" w:type="dxa"/>
            <w:vAlign w:val="top"/>
          </w:tcPr>
          <w:p w14:paraId="490E3FE5">
            <w:pPr>
              <w:pStyle w:val="12"/>
              <w:spacing w:before="67" w:line="287" w:lineRule="auto"/>
              <w:ind w:left="113"/>
              <w:rPr>
                <w:sz w:val="32"/>
                <w:szCs w:val="32"/>
              </w:rPr>
            </w:pPr>
            <w:r>
              <w:rPr>
                <w:spacing w:val="-4"/>
                <w:sz w:val="32"/>
                <w:szCs w:val="32"/>
              </w:rPr>
              <w:t>Administration of</w:t>
            </w:r>
            <w:r>
              <w:rPr>
                <w:spacing w:val="-19"/>
                <w:sz w:val="32"/>
                <w:szCs w:val="32"/>
              </w:rPr>
              <w:t xml:space="preserve"> </w:t>
            </w:r>
            <w:r>
              <w:rPr>
                <w:spacing w:val="-4"/>
                <w:sz w:val="32"/>
                <w:szCs w:val="32"/>
              </w:rPr>
              <w:t>therap</w:t>
            </w:r>
            <w:r>
              <w:rPr>
                <w:spacing w:val="-5"/>
                <w:sz w:val="32"/>
                <w:szCs w:val="32"/>
              </w:rPr>
              <w:t xml:space="preserve">eutic intervention (such as dosage, strength, duration)  </w:t>
            </w:r>
          </w:p>
        </w:tc>
        <w:tc>
          <w:tcPr>
            <w:tcW w:w="7649" w:type="dxa"/>
            <w:tcBorders>
              <w:top w:val="single" w:color="000000" w:sz="2" w:space="0"/>
            </w:tcBorders>
            <w:vAlign w:val="top"/>
          </w:tcPr>
          <w:p w14:paraId="69757B49">
            <w:pPr>
              <w:pStyle w:val="12"/>
              <w:rPr>
                <w:sz w:val="32"/>
                <w:szCs w:val="32"/>
              </w:rPr>
            </w:pPr>
            <w:r>
              <w:rPr>
                <w:sz w:val="32"/>
                <w:szCs w:val="32"/>
                <w:lang w:val="en-US" w:eastAsia="zh-CN"/>
              </w:rPr>
              <w:t>Standard-dose heme arginate and high-carbohydrate intake were delivered during hospitalization. IVIG and glucocorticoids were given for several days before AIP confirmation. Rehabilitation was performed daily throughout admission, and long-term follow-up was arranged after discharge.</w:t>
            </w:r>
          </w:p>
          <w:p w14:paraId="2DDB4B3F">
            <w:pPr>
              <w:pStyle w:val="12"/>
              <w:rPr>
                <w:sz w:val="32"/>
                <w:szCs w:val="32"/>
              </w:rPr>
            </w:pPr>
          </w:p>
        </w:tc>
      </w:tr>
      <w:tr w14:paraId="2F56B138">
        <w:trPr>
          <w:trHeight w:val="326" w:hRule="atLeast"/>
        </w:trPr>
        <w:tc>
          <w:tcPr>
            <w:tcW w:w="2188" w:type="dxa"/>
            <w:vMerge w:val="continue"/>
            <w:tcBorders>
              <w:top w:val="nil"/>
            </w:tcBorders>
            <w:vAlign w:val="top"/>
          </w:tcPr>
          <w:p w14:paraId="00C22793">
            <w:pPr>
              <w:pStyle w:val="12"/>
              <w:rPr>
                <w:sz w:val="32"/>
                <w:szCs w:val="32"/>
              </w:rPr>
            </w:pPr>
          </w:p>
        </w:tc>
        <w:tc>
          <w:tcPr>
            <w:tcW w:w="720" w:type="dxa"/>
            <w:vAlign w:val="top"/>
          </w:tcPr>
          <w:p w14:paraId="54A3995A">
            <w:pPr>
              <w:spacing w:before="76" w:line="158" w:lineRule="auto"/>
              <w:ind w:left="248"/>
              <w:rPr>
                <w:rFonts w:ascii="PingFang SC" w:hAnsi="PingFang SC" w:eastAsia="PingFang SC" w:cs="PingFang SC"/>
                <w:sz w:val="32"/>
                <w:szCs w:val="32"/>
              </w:rPr>
            </w:pPr>
            <w:r>
              <w:rPr>
                <w:rFonts w:ascii="PingFang SC" w:hAnsi="PingFang SC" w:eastAsia="PingFang SC" w:cs="PingFang SC"/>
                <w:b/>
                <w:bCs/>
                <w:spacing w:val="-4"/>
                <w:sz w:val="32"/>
                <w:szCs w:val="32"/>
              </w:rPr>
              <w:t>9c</w:t>
            </w:r>
          </w:p>
        </w:tc>
        <w:tc>
          <w:tcPr>
            <w:tcW w:w="4061" w:type="dxa"/>
            <w:vAlign w:val="top"/>
          </w:tcPr>
          <w:p w14:paraId="7A28967B">
            <w:pPr>
              <w:pStyle w:val="12"/>
              <w:spacing w:before="12" w:line="287" w:lineRule="auto"/>
              <w:ind w:left="123"/>
              <w:rPr>
                <w:sz w:val="32"/>
                <w:szCs w:val="32"/>
              </w:rPr>
            </w:pPr>
            <w:r>
              <w:rPr>
                <w:spacing w:val="-4"/>
                <w:sz w:val="32"/>
                <w:szCs w:val="32"/>
              </w:rPr>
              <w:t>Changes in therapeuti</w:t>
            </w:r>
            <w:r>
              <w:rPr>
                <w:spacing w:val="-5"/>
                <w:sz w:val="32"/>
                <w:szCs w:val="32"/>
              </w:rPr>
              <w:t>c intervention (with rationale)</w:t>
            </w:r>
            <w:r>
              <w:rPr>
                <w:spacing w:val="-5"/>
                <w:sz w:val="32"/>
                <w:szCs w:val="32"/>
                <w:lang w:val="en-US"/>
              </w:rPr>
              <w:t xml:space="preserve"> </w:t>
            </w:r>
          </w:p>
        </w:tc>
        <w:tc>
          <w:tcPr>
            <w:tcW w:w="7649" w:type="dxa"/>
            <w:vAlign w:val="top"/>
          </w:tcPr>
          <w:p w14:paraId="13FDA352">
            <w:pPr>
              <w:pStyle w:val="12"/>
              <w:rPr>
                <w:sz w:val="32"/>
                <w:szCs w:val="32"/>
              </w:rPr>
            </w:pPr>
            <w:r>
              <w:rPr>
                <w:sz w:val="32"/>
                <w:szCs w:val="32"/>
                <w:lang w:val="en-US" w:eastAsia="zh-CN"/>
              </w:rPr>
              <w:t>Initial IVIG and glucocorticoids were discontinued after AIP was genetically confirmed, as these treatments are ineffective for porphyric neuropathy. Hme infusion and high-carbohydrate diet were initiated to suppress toxic precursor production, plus daily rehabilitation to restore impaired motor function.</w:t>
            </w:r>
          </w:p>
          <w:p w14:paraId="2DCC46E6">
            <w:pPr>
              <w:pStyle w:val="12"/>
              <w:rPr>
                <w:sz w:val="32"/>
                <w:szCs w:val="32"/>
              </w:rPr>
            </w:pPr>
          </w:p>
        </w:tc>
      </w:tr>
      <w:tr w14:paraId="34F36C1C">
        <w:trPr>
          <w:trHeight w:val="289" w:hRule="atLeast"/>
        </w:trPr>
        <w:tc>
          <w:tcPr>
            <w:tcW w:w="2188" w:type="dxa"/>
            <w:vAlign w:val="top"/>
          </w:tcPr>
          <w:p w14:paraId="0AC8D124">
            <w:pPr>
              <w:spacing w:before="62" w:line="240" w:lineRule="auto"/>
              <w:ind w:left="91"/>
              <w:rPr>
                <w:rFonts w:ascii="PingFang SC" w:hAnsi="PingFang SC" w:eastAsia="PingFang SC" w:cs="PingFang SC"/>
                <w:sz w:val="32"/>
                <w:szCs w:val="32"/>
              </w:rPr>
            </w:pPr>
            <w:r>
              <w:rPr>
                <w:rFonts w:ascii="PingFang SC" w:hAnsi="PingFang SC" w:eastAsia="PingFang SC" w:cs="PingFang SC"/>
                <w:b/>
                <w:bCs/>
                <w:position w:val="1"/>
                <w:sz w:val="32"/>
                <w:szCs w:val="32"/>
              </w:rPr>
              <w:t>Follow</w:t>
            </w:r>
            <w:r>
              <w:rPr>
                <w:rFonts w:ascii="PingFang SC" w:hAnsi="PingFang SC" w:eastAsia="PingFang SC" w:cs="PingFang SC"/>
                <w:b/>
                <w:bCs/>
                <w:spacing w:val="13"/>
                <w:position w:val="1"/>
                <w:sz w:val="32"/>
                <w:szCs w:val="32"/>
              </w:rPr>
              <w:t>-</w:t>
            </w:r>
            <w:r>
              <w:rPr>
                <w:rFonts w:ascii="PingFang SC" w:hAnsi="PingFang SC" w:eastAsia="PingFang SC" w:cs="PingFang SC"/>
                <w:b/>
                <w:bCs/>
                <w:position w:val="1"/>
                <w:sz w:val="32"/>
                <w:szCs w:val="32"/>
              </w:rPr>
              <w:t>up</w:t>
            </w:r>
            <w:r>
              <w:rPr>
                <w:rFonts w:ascii="PingFang SC" w:hAnsi="PingFang SC" w:eastAsia="PingFang SC" w:cs="PingFang SC"/>
                <w:spacing w:val="13"/>
                <w:position w:val="1"/>
                <w:sz w:val="32"/>
                <w:szCs w:val="32"/>
              </w:rPr>
              <w:t xml:space="preserve"> </w:t>
            </w:r>
            <w:r>
              <w:rPr>
                <w:rFonts w:ascii="PingFang SC" w:hAnsi="PingFang SC" w:eastAsia="PingFang SC" w:cs="PingFang SC"/>
                <w:b/>
                <w:bCs/>
                <w:position w:val="1"/>
                <w:sz w:val="32"/>
                <w:szCs w:val="32"/>
              </w:rPr>
              <w:t>and</w:t>
            </w:r>
          </w:p>
        </w:tc>
        <w:tc>
          <w:tcPr>
            <w:tcW w:w="720" w:type="dxa"/>
            <w:vAlign w:val="top"/>
          </w:tcPr>
          <w:p w14:paraId="2F02F1A8">
            <w:pPr>
              <w:spacing w:before="86" w:line="192" w:lineRule="exact"/>
              <w:ind w:left="199"/>
              <w:rPr>
                <w:rFonts w:ascii="PingFang SC" w:hAnsi="PingFang SC" w:eastAsia="PingFang SC" w:cs="PingFang SC"/>
                <w:sz w:val="32"/>
                <w:szCs w:val="32"/>
              </w:rPr>
            </w:pPr>
            <w:r>
              <w:rPr>
                <w:rFonts w:ascii="PingFang SC" w:hAnsi="PingFang SC" w:eastAsia="PingFang SC" w:cs="PingFang SC"/>
                <w:b/>
                <w:bCs/>
                <w:spacing w:val="4"/>
                <w:position w:val="-1"/>
                <w:sz w:val="32"/>
                <w:szCs w:val="32"/>
              </w:rPr>
              <w:t>10a</w:t>
            </w:r>
          </w:p>
        </w:tc>
        <w:tc>
          <w:tcPr>
            <w:tcW w:w="4061" w:type="dxa"/>
            <w:vAlign w:val="top"/>
          </w:tcPr>
          <w:p w14:paraId="15877D8A">
            <w:pPr>
              <w:pStyle w:val="12"/>
              <w:spacing w:before="26" w:line="263" w:lineRule="auto"/>
              <w:ind w:left="123"/>
              <w:rPr>
                <w:sz w:val="32"/>
                <w:szCs w:val="32"/>
              </w:rPr>
            </w:pPr>
            <w:r>
              <w:rPr>
                <w:spacing w:val="-5"/>
                <w:sz w:val="32"/>
                <w:szCs w:val="32"/>
              </w:rPr>
              <w:t>Clinician and patient-assessed outcomes (if</w:t>
            </w:r>
            <w:r>
              <w:rPr>
                <w:spacing w:val="-10"/>
                <w:sz w:val="32"/>
                <w:szCs w:val="32"/>
              </w:rPr>
              <w:t xml:space="preserve"> </w:t>
            </w:r>
            <w:r>
              <w:rPr>
                <w:spacing w:val="-5"/>
                <w:sz w:val="32"/>
                <w:szCs w:val="32"/>
              </w:rPr>
              <w:t>available)</w:t>
            </w:r>
            <w:r>
              <w:rPr>
                <w:spacing w:val="-5"/>
                <w:sz w:val="32"/>
                <w:szCs w:val="32"/>
                <w:lang w:val="en-US"/>
              </w:rPr>
              <w:t xml:space="preserve"> </w:t>
            </w:r>
          </w:p>
        </w:tc>
        <w:tc>
          <w:tcPr>
            <w:tcW w:w="7649" w:type="dxa"/>
            <w:tcBorders>
              <w:bottom w:val="single" w:color="000000" w:sz="2" w:space="0"/>
            </w:tcBorders>
            <w:vAlign w:val="top"/>
          </w:tcPr>
          <w:p w14:paraId="5650D44D">
            <w:pPr>
              <w:pStyle w:val="12"/>
              <w:rPr>
                <w:sz w:val="32"/>
                <w:szCs w:val="32"/>
              </w:rPr>
            </w:pPr>
            <w:r>
              <w:rPr>
                <w:sz w:val="32"/>
                <w:szCs w:val="32"/>
                <w:lang w:val="en-US" w:eastAsia="zh-CN"/>
              </w:rPr>
              <w:t>Clinician evaluation showed full recovery of mental status, partial improvement in limb muscle strength and intact sensory function at discharge. The patient reported complete relief of abdominal pain. At 6-month follow-up, recurrent psychiatric and limb weakness symptoms were noted by both sides.</w:t>
            </w:r>
          </w:p>
          <w:p w14:paraId="76FA6845">
            <w:pPr>
              <w:pStyle w:val="12"/>
              <w:rPr>
                <w:sz w:val="32"/>
                <w:szCs w:val="32"/>
              </w:rPr>
            </w:pPr>
          </w:p>
        </w:tc>
      </w:tr>
      <w:tr w14:paraId="00A961A8">
        <w:trPr>
          <w:trHeight w:val="392" w:hRule="atLeast"/>
        </w:trPr>
        <w:tc>
          <w:tcPr>
            <w:tcW w:w="2188" w:type="dxa"/>
            <w:vMerge w:val="restart"/>
            <w:tcBorders>
              <w:bottom w:val="nil"/>
            </w:tcBorders>
            <w:vAlign w:val="top"/>
          </w:tcPr>
          <w:p w14:paraId="5B2EBA26">
            <w:pPr>
              <w:spacing w:before="11" w:line="171" w:lineRule="auto"/>
              <w:ind w:left="84"/>
              <w:rPr>
                <w:rFonts w:ascii="PingFang SC" w:hAnsi="PingFang SC" w:eastAsia="PingFang SC" w:cs="PingFang SC"/>
                <w:sz w:val="32"/>
                <w:szCs w:val="32"/>
              </w:rPr>
            </w:pPr>
            <w:r>
              <w:rPr>
                <w:rFonts w:ascii="PingFang SC" w:hAnsi="PingFang SC" w:eastAsia="PingFang SC" w:cs="PingFang SC"/>
                <w:b/>
                <w:bCs/>
                <w:spacing w:val="7"/>
                <w:sz w:val="32"/>
                <w:szCs w:val="32"/>
              </w:rPr>
              <w:t>Outcomes</w:t>
            </w:r>
          </w:p>
        </w:tc>
        <w:tc>
          <w:tcPr>
            <w:tcW w:w="720" w:type="dxa"/>
            <w:vAlign w:val="top"/>
          </w:tcPr>
          <w:p w14:paraId="5CE2EE5A">
            <w:pPr>
              <w:spacing w:before="133" w:line="164" w:lineRule="auto"/>
              <w:rPr>
                <w:rFonts w:ascii="PingFang SC" w:hAnsi="PingFang SC" w:eastAsia="PingFang SC" w:cs="PingFang SC"/>
                <w:sz w:val="32"/>
                <w:szCs w:val="32"/>
              </w:rPr>
            </w:pPr>
            <w:r>
              <w:rPr>
                <w:rFonts w:ascii="PingFang SC" w:hAnsi="PingFang SC" w:eastAsia="PingFang SC" w:cs="PingFang SC"/>
                <w:b/>
                <w:bCs/>
                <w:spacing w:val="6"/>
                <w:sz w:val="32"/>
                <w:szCs w:val="32"/>
              </w:rPr>
              <w:t>10b</w:t>
            </w:r>
          </w:p>
        </w:tc>
        <w:tc>
          <w:tcPr>
            <w:tcW w:w="4061" w:type="dxa"/>
            <w:vAlign w:val="top"/>
          </w:tcPr>
          <w:p w14:paraId="5E3E25C9">
            <w:pPr>
              <w:pStyle w:val="12"/>
              <w:spacing w:before="69" w:line="287" w:lineRule="auto"/>
              <w:ind w:left="132"/>
              <w:rPr>
                <w:sz w:val="32"/>
                <w:szCs w:val="32"/>
              </w:rPr>
            </w:pPr>
            <w:r>
              <w:rPr>
                <w:spacing w:val="-5"/>
                <w:sz w:val="32"/>
                <w:szCs w:val="32"/>
              </w:rPr>
              <w:t>Important</w:t>
            </w:r>
            <w:r>
              <w:rPr>
                <w:spacing w:val="-14"/>
                <w:sz w:val="32"/>
                <w:szCs w:val="32"/>
              </w:rPr>
              <w:t xml:space="preserve"> </w:t>
            </w:r>
            <w:r>
              <w:rPr>
                <w:spacing w:val="-5"/>
                <w:sz w:val="32"/>
                <w:szCs w:val="32"/>
              </w:rPr>
              <w:t xml:space="preserve">follow-up diagnostic </w:t>
            </w:r>
            <w:r>
              <w:rPr>
                <w:spacing w:val="-6"/>
                <w:sz w:val="32"/>
                <w:szCs w:val="32"/>
              </w:rPr>
              <w:t>and other</w:t>
            </w:r>
            <w:r>
              <w:rPr>
                <w:spacing w:val="-15"/>
                <w:sz w:val="32"/>
                <w:szCs w:val="32"/>
              </w:rPr>
              <w:t xml:space="preserve"> </w:t>
            </w:r>
            <w:r>
              <w:rPr>
                <w:spacing w:val="-6"/>
                <w:sz w:val="32"/>
                <w:szCs w:val="32"/>
              </w:rPr>
              <w:t>test results</w:t>
            </w:r>
            <w:r>
              <w:rPr>
                <w:spacing w:val="-6"/>
                <w:sz w:val="32"/>
                <w:szCs w:val="32"/>
                <w:lang w:val="en-US"/>
              </w:rPr>
              <w:t xml:space="preserve"> </w:t>
            </w:r>
          </w:p>
        </w:tc>
        <w:tc>
          <w:tcPr>
            <w:tcW w:w="7649" w:type="dxa"/>
            <w:tcBorders>
              <w:top w:val="single" w:color="000000" w:sz="2" w:space="0"/>
            </w:tcBorders>
            <w:vAlign w:val="top"/>
          </w:tcPr>
          <w:p w14:paraId="58A68E93">
            <w:pPr>
              <w:pStyle w:val="12"/>
              <w:rPr>
                <w:sz w:val="32"/>
                <w:szCs w:val="32"/>
              </w:rPr>
            </w:pPr>
            <w:r>
              <w:rPr>
                <w:sz w:val="32"/>
                <w:szCs w:val="32"/>
                <w:lang w:val="en-US" w:eastAsia="zh-CN"/>
              </w:rPr>
              <w:t>Six-month follow-up revealed recurrent neuropsychiatric symptoms and limb weakness consistent with AIP flare-up.</w:t>
            </w:r>
          </w:p>
          <w:p w14:paraId="7279AF5C">
            <w:pPr>
              <w:pStyle w:val="12"/>
              <w:rPr>
                <w:sz w:val="32"/>
                <w:szCs w:val="32"/>
              </w:rPr>
            </w:pPr>
          </w:p>
        </w:tc>
      </w:tr>
      <w:tr w14:paraId="59B7CB66">
        <w:trPr>
          <w:trHeight w:val="337" w:hRule="atLeast"/>
        </w:trPr>
        <w:tc>
          <w:tcPr>
            <w:tcW w:w="2188" w:type="dxa"/>
            <w:vMerge w:val="continue"/>
            <w:tcBorders>
              <w:top w:val="nil"/>
              <w:bottom w:val="nil"/>
            </w:tcBorders>
            <w:vAlign w:val="top"/>
          </w:tcPr>
          <w:p w14:paraId="5F0C8BE5">
            <w:pPr>
              <w:pStyle w:val="12"/>
              <w:rPr>
                <w:sz w:val="32"/>
                <w:szCs w:val="32"/>
              </w:rPr>
            </w:pPr>
          </w:p>
        </w:tc>
        <w:tc>
          <w:tcPr>
            <w:tcW w:w="720" w:type="dxa"/>
            <w:vAlign w:val="top"/>
          </w:tcPr>
          <w:p w14:paraId="5441552F">
            <w:pPr>
              <w:spacing w:before="76" w:line="165" w:lineRule="auto"/>
              <w:rPr>
                <w:rFonts w:ascii="PingFang SC" w:hAnsi="PingFang SC" w:eastAsia="PingFang SC" w:cs="PingFang SC"/>
                <w:sz w:val="32"/>
                <w:szCs w:val="32"/>
              </w:rPr>
            </w:pPr>
            <w:r>
              <w:rPr>
                <w:rFonts w:ascii="PingFang SC" w:hAnsi="PingFang SC" w:eastAsia="PingFang SC" w:cs="PingFang SC"/>
                <w:b/>
                <w:bCs/>
                <w:spacing w:val="5"/>
                <w:sz w:val="32"/>
                <w:szCs w:val="32"/>
              </w:rPr>
              <w:t>10c</w:t>
            </w:r>
          </w:p>
        </w:tc>
        <w:tc>
          <w:tcPr>
            <w:tcW w:w="4061" w:type="dxa"/>
            <w:vAlign w:val="top"/>
          </w:tcPr>
          <w:p w14:paraId="4FF496E3">
            <w:pPr>
              <w:pStyle w:val="12"/>
              <w:spacing w:before="13" w:line="287" w:lineRule="auto"/>
              <w:ind w:left="132"/>
              <w:rPr>
                <w:sz w:val="32"/>
                <w:szCs w:val="32"/>
              </w:rPr>
            </w:pPr>
            <w:r>
              <w:rPr>
                <w:spacing w:val="-5"/>
                <w:sz w:val="32"/>
                <w:szCs w:val="32"/>
              </w:rPr>
              <w:t>Intervention adherence and tolerabili</w:t>
            </w:r>
            <w:r>
              <w:rPr>
                <w:spacing w:val="-6"/>
                <w:sz w:val="32"/>
                <w:szCs w:val="32"/>
              </w:rPr>
              <w:t>ty (How</w:t>
            </w:r>
            <w:r>
              <w:rPr>
                <w:spacing w:val="-14"/>
                <w:sz w:val="32"/>
                <w:szCs w:val="32"/>
              </w:rPr>
              <w:t xml:space="preserve"> </w:t>
            </w:r>
            <w:r>
              <w:rPr>
                <w:spacing w:val="-6"/>
                <w:sz w:val="32"/>
                <w:szCs w:val="32"/>
              </w:rPr>
              <w:t xml:space="preserve">was this assessed?) </w:t>
            </w:r>
          </w:p>
        </w:tc>
        <w:tc>
          <w:tcPr>
            <w:tcW w:w="7649" w:type="dxa"/>
            <w:vAlign w:val="top"/>
          </w:tcPr>
          <w:p w14:paraId="026C5B7D">
            <w:pPr>
              <w:pStyle w:val="12"/>
              <w:rPr>
                <w:sz w:val="32"/>
                <w:szCs w:val="32"/>
              </w:rPr>
            </w:pPr>
            <w:r>
              <w:rPr>
                <w:sz w:val="32"/>
                <w:szCs w:val="32"/>
                <w:lang w:val="en-US" w:eastAsia="zh-CN"/>
              </w:rPr>
              <w:t>Adherence to high-carb diet and rehabilitation was assessed via daily ward observation and patient self-report. All core treatments including heme infusion were well tolerated without obvious adverse reactions; the patient fully complied with all prescribed interventions during hospitalization.</w:t>
            </w:r>
          </w:p>
          <w:p w14:paraId="628E5F70">
            <w:pPr>
              <w:pStyle w:val="12"/>
              <w:rPr>
                <w:sz w:val="32"/>
                <w:szCs w:val="32"/>
              </w:rPr>
            </w:pPr>
          </w:p>
        </w:tc>
      </w:tr>
      <w:tr w14:paraId="46DC0A3E">
        <w:trPr>
          <w:trHeight w:val="299" w:hRule="atLeast"/>
        </w:trPr>
        <w:tc>
          <w:tcPr>
            <w:tcW w:w="2188" w:type="dxa"/>
            <w:vMerge w:val="continue"/>
            <w:tcBorders>
              <w:top w:val="nil"/>
            </w:tcBorders>
            <w:vAlign w:val="top"/>
          </w:tcPr>
          <w:p w14:paraId="565837DB">
            <w:pPr>
              <w:pStyle w:val="12"/>
              <w:rPr>
                <w:sz w:val="32"/>
                <w:szCs w:val="32"/>
              </w:rPr>
            </w:pPr>
          </w:p>
        </w:tc>
        <w:tc>
          <w:tcPr>
            <w:tcW w:w="720" w:type="dxa"/>
            <w:vAlign w:val="top"/>
          </w:tcPr>
          <w:p w14:paraId="2EFFC869">
            <w:pPr>
              <w:spacing w:before="76" w:line="212" w:lineRule="exact"/>
              <w:rPr>
                <w:rFonts w:ascii="PingFang SC" w:hAnsi="PingFang SC" w:eastAsia="PingFang SC" w:cs="PingFang SC"/>
                <w:b/>
                <w:bCs/>
                <w:spacing w:val="6"/>
                <w:position w:val="-1"/>
                <w:sz w:val="32"/>
                <w:szCs w:val="32"/>
              </w:rPr>
            </w:pPr>
          </w:p>
          <w:p w14:paraId="37B5D99B">
            <w:pPr>
              <w:spacing w:before="76" w:line="212" w:lineRule="exact"/>
              <w:rPr>
                <w:rFonts w:ascii="PingFang SC" w:hAnsi="PingFang SC" w:eastAsia="PingFang SC" w:cs="PingFang SC"/>
                <w:sz w:val="32"/>
                <w:szCs w:val="32"/>
              </w:rPr>
            </w:pPr>
            <w:r>
              <w:rPr>
                <w:rFonts w:ascii="PingFang SC" w:hAnsi="PingFang SC" w:eastAsia="PingFang SC" w:cs="PingFang SC"/>
                <w:b/>
                <w:bCs/>
                <w:spacing w:val="6"/>
                <w:position w:val="-1"/>
                <w:sz w:val="32"/>
                <w:szCs w:val="32"/>
              </w:rPr>
              <w:t>10d</w:t>
            </w:r>
          </w:p>
        </w:tc>
        <w:tc>
          <w:tcPr>
            <w:tcW w:w="4061" w:type="dxa"/>
            <w:vAlign w:val="top"/>
          </w:tcPr>
          <w:p w14:paraId="2AB97ADD">
            <w:pPr>
              <w:pStyle w:val="12"/>
              <w:spacing w:before="12" w:line="289" w:lineRule="auto"/>
              <w:ind w:left="113"/>
              <w:rPr>
                <w:sz w:val="32"/>
                <w:szCs w:val="32"/>
              </w:rPr>
            </w:pPr>
            <w:r>
              <w:rPr>
                <w:spacing w:val="-5"/>
                <w:sz w:val="32"/>
                <w:szCs w:val="32"/>
              </w:rPr>
              <w:t xml:space="preserve">Adverse and unanticipated events </w:t>
            </w:r>
          </w:p>
        </w:tc>
        <w:tc>
          <w:tcPr>
            <w:tcW w:w="7649" w:type="dxa"/>
            <w:tcBorders>
              <w:bottom w:val="single" w:color="000000" w:sz="2" w:space="0"/>
            </w:tcBorders>
            <w:vAlign w:val="top"/>
          </w:tcPr>
          <w:p w14:paraId="13DB87D4">
            <w:pPr>
              <w:pStyle w:val="12"/>
              <w:rPr>
                <w:sz w:val="32"/>
                <w:szCs w:val="32"/>
              </w:rPr>
            </w:pPr>
            <w:r>
              <w:rPr>
                <w:sz w:val="32"/>
                <w:szCs w:val="32"/>
                <w:lang w:val="en-US" w:eastAsia="zh-CN"/>
              </w:rPr>
              <w:t>No obvious drug-related adverse reactions occurred during treatment</w:t>
            </w:r>
          </w:p>
          <w:p w14:paraId="52CEEAF9">
            <w:pPr>
              <w:pStyle w:val="12"/>
              <w:rPr>
                <w:sz w:val="32"/>
                <w:szCs w:val="32"/>
              </w:rPr>
            </w:pPr>
          </w:p>
        </w:tc>
      </w:tr>
      <w:tr w14:paraId="085CA8E8">
        <w:trPr>
          <w:trHeight w:val="390" w:hRule="atLeast"/>
        </w:trPr>
        <w:tc>
          <w:tcPr>
            <w:tcW w:w="2188" w:type="dxa"/>
            <w:vMerge w:val="restart"/>
            <w:tcBorders>
              <w:bottom w:val="nil"/>
            </w:tcBorders>
            <w:vAlign w:val="top"/>
          </w:tcPr>
          <w:p w14:paraId="5A6A19F5">
            <w:pPr>
              <w:spacing w:before="83" w:line="170" w:lineRule="auto"/>
              <w:ind w:left="90"/>
              <w:rPr>
                <w:rFonts w:ascii="PingFang SC" w:hAnsi="PingFang SC" w:eastAsia="PingFang SC" w:cs="PingFang SC"/>
                <w:sz w:val="32"/>
                <w:szCs w:val="32"/>
              </w:rPr>
            </w:pPr>
            <w:r>
              <w:rPr>
                <w:rFonts w:ascii="PingFang SC" w:hAnsi="PingFang SC" w:eastAsia="PingFang SC" w:cs="PingFang SC"/>
                <w:b/>
                <w:bCs/>
                <w:spacing w:val="9"/>
                <w:sz w:val="32"/>
                <w:szCs w:val="32"/>
              </w:rPr>
              <w:t>Discussion</w:t>
            </w:r>
          </w:p>
        </w:tc>
        <w:tc>
          <w:tcPr>
            <w:tcW w:w="720" w:type="dxa"/>
            <w:vAlign w:val="top"/>
          </w:tcPr>
          <w:p w14:paraId="69ABCA38">
            <w:pPr>
              <w:spacing w:before="108" w:line="170" w:lineRule="auto"/>
              <w:ind w:left="199"/>
              <w:rPr>
                <w:rFonts w:ascii="PingFang SC" w:hAnsi="PingFang SC" w:eastAsia="PingFang SC" w:cs="PingFang SC"/>
                <w:sz w:val="32"/>
                <w:szCs w:val="32"/>
              </w:rPr>
            </w:pPr>
            <w:r>
              <w:rPr>
                <w:rFonts w:ascii="PingFang SC" w:hAnsi="PingFang SC" w:eastAsia="PingFang SC" w:cs="PingFang SC"/>
                <w:b/>
                <w:bCs/>
                <w:spacing w:val="17"/>
                <w:sz w:val="32"/>
                <w:szCs w:val="32"/>
              </w:rPr>
              <w:t>11a</w:t>
            </w:r>
          </w:p>
        </w:tc>
        <w:tc>
          <w:tcPr>
            <w:tcW w:w="4061" w:type="dxa"/>
            <w:vAlign w:val="top"/>
          </w:tcPr>
          <w:p w14:paraId="23355492">
            <w:pPr>
              <w:pStyle w:val="12"/>
              <w:spacing w:before="71" w:line="287" w:lineRule="auto"/>
              <w:ind w:left="109"/>
              <w:rPr>
                <w:sz w:val="32"/>
                <w:szCs w:val="32"/>
              </w:rPr>
            </w:pPr>
            <w:r>
              <w:rPr>
                <w:spacing w:val="-5"/>
                <w:sz w:val="32"/>
                <w:szCs w:val="32"/>
              </w:rPr>
              <w:t>A scientific discussion of</w:t>
            </w:r>
            <w:r>
              <w:rPr>
                <w:spacing w:val="-6"/>
                <w:sz w:val="32"/>
                <w:szCs w:val="32"/>
              </w:rPr>
              <w:t xml:space="preserve"> </w:t>
            </w:r>
            <w:r>
              <w:rPr>
                <w:spacing w:val="-5"/>
                <w:sz w:val="32"/>
                <w:szCs w:val="32"/>
              </w:rPr>
              <w:t>the strengths</w:t>
            </w:r>
            <w:r>
              <w:rPr>
                <w:spacing w:val="-16"/>
                <w:sz w:val="32"/>
                <w:szCs w:val="32"/>
              </w:rPr>
              <w:t xml:space="preserve"> </w:t>
            </w:r>
            <w:r>
              <w:rPr>
                <w:spacing w:val="-5"/>
                <w:sz w:val="32"/>
                <w:szCs w:val="32"/>
              </w:rPr>
              <w:t>AND limitations associated</w:t>
            </w:r>
            <w:r>
              <w:rPr>
                <w:spacing w:val="-14"/>
                <w:sz w:val="32"/>
                <w:szCs w:val="32"/>
              </w:rPr>
              <w:t xml:space="preserve"> </w:t>
            </w:r>
            <w:r>
              <w:rPr>
                <w:spacing w:val="-5"/>
                <w:sz w:val="32"/>
                <w:szCs w:val="32"/>
              </w:rPr>
              <w:t xml:space="preserve">with this case report </w:t>
            </w:r>
          </w:p>
        </w:tc>
        <w:tc>
          <w:tcPr>
            <w:tcW w:w="7649" w:type="dxa"/>
            <w:tcBorders>
              <w:top w:val="single" w:color="000000" w:sz="2" w:space="0"/>
            </w:tcBorders>
            <w:vAlign w:val="top"/>
          </w:tcPr>
          <w:p w14:paraId="75640901">
            <w:pPr>
              <w:pStyle w:val="12"/>
              <w:rPr>
                <w:sz w:val="32"/>
                <w:szCs w:val="32"/>
              </w:rPr>
            </w:pPr>
            <w:r>
              <w:rPr>
                <w:rFonts w:hint="eastAsia" w:eastAsia="宋体"/>
                <w:sz w:val="32"/>
                <w:szCs w:val="32"/>
                <w:lang w:val="en-US" w:eastAsia="zh-CN"/>
              </w:rPr>
              <w:t>1.</w:t>
            </w:r>
            <w:r>
              <w:rPr>
                <w:sz w:val="32"/>
                <w:szCs w:val="32"/>
              </w:rPr>
              <w:t>Strengths</w:t>
            </w:r>
            <w:r>
              <w:rPr>
                <w:rFonts w:hint="eastAsia" w:eastAsia="宋体"/>
                <w:sz w:val="32"/>
                <w:szCs w:val="32"/>
                <w:lang w:eastAsia="zh-CN"/>
              </w:rPr>
              <w:t>：</w:t>
            </w:r>
            <w:r>
              <w:rPr>
                <w:sz w:val="32"/>
                <w:szCs w:val="32"/>
                <w:lang w:val="en-US" w:eastAsia="zh-CN"/>
              </w:rPr>
              <w:t>This is the first Chinese case carrying HMBS c.770T&gt;C variant with combined central and peripheral nervous lesions, offering novel clinical imaging and genetic evidence for atypical AIP presentations. Complete serial lab, imaging and follow-up data support clear analysis of diagnostic pitfalls and treatment response.</w:t>
            </w:r>
          </w:p>
          <w:p w14:paraId="1CC90566">
            <w:pPr>
              <w:pStyle w:val="12"/>
              <w:rPr>
                <w:sz w:val="32"/>
                <w:szCs w:val="32"/>
              </w:rPr>
            </w:pPr>
            <w:r>
              <w:rPr>
                <w:rFonts w:hint="eastAsia" w:eastAsia="宋体"/>
                <w:sz w:val="32"/>
                <w:szCs w:val="32"/>
                <w:lang w:val="en-US" w:eastAsia="zh-CN"/>
              </w:rPr>
              <w:t>2.</w:t>
            </w:r>
            <w:r>
              <w:rPr>
                <w:sz w:val="32"/>
                <w:szCs w:val="32"/>
              </w:rPr>
              <w:t>Limitations</w:t>
            </w:r>
            <w:r>
              <w:rPr>
                <w:rFonts w:hint="eastAsia" w:eastAsia="宋体"/>
                <w:sz w:val="32"/>
                <w:szCs w:val="32"/>
                <w:lang w:eastAsia="zh-CN"/>
              </w:rPr>
              <w:t>：</w:t>
            </w:r>
            <w:r>
              <w:rPr>
                <w:sz w:val="32"/>
                <w:szCs w:val="32"/>
                <w:lang w:val="en-US" w:eastAsia="zh-CN"/>
              </w:rPr>
              <w:t>It is only a single case without large cohort verification. Long-term prognosis data remain insufficient, and we lack functional validation of this rare gene variant to confirm its pathogenicity.</w:t>
            </w:r>
          </w:p>
          <w:p w14:paraId="66CFF719">
            <w:pPr>
              <w:pStyle w:val="12"/>
              <w:rPr>
                <w:sz w:val="32"/>
                <w:szCs w:val="32"/>
              </w:rPr>
            </w:pPr>
          </w:p>
        </w:tc>
      </w:tr>
      <w:tr w14:paraId="65D55CE2">
        <w:trPr>
          <w:trHeight w:val="310" w:hRule="atLeast"/>
        </w:trPr>
        <w:tc>
          <w:tcPr>
            <w:tcW w:w="2188" w:type="dxa"/>
            <w:vMerge w:val="continue"/>
            <w:tcBorders>
              <w:top w:val="nil"/>
              <w:bottom w:val="nil"/>
            </w:tcBorders>
            <w:vAlign w:val="top"/>
          </w:tcPr>
          <w:p w14:paraId="5E579286">
            <w:pPr>
              <w:pStyle w:val="12"/>
              <w:rPr>
                <w:sz w:val="32"/>
                <w:szCs w:val="32"/>
              </w:rPr>
            </w:pPr>
          </w:p>
        </w:tc>
        <w:tc>
          <w:tcPr>
            <w:tcW w:w="720" w:type="dxa"/>
            <w:vAlign w:val="top"/>
          </w:tcPr>
          <w:p w14:paraId="29788CFB">
            <w:pPr>
              <w:spacing w:before="58" w:line="159" w:lineRule="auto"/>
              <w:ind w:left="193"/>
              <w:rPr>
                <w:rFonts w:ascii="PingFang SC" w:hAnsi="PingFang SC" w:eastAsia="PingFang SC" w:cs="PingFang SC"/>
                <w:sz w:val="32"/>
                <w:szCs w:val="32"/>
              </w:rPr>
            </w:pPr>
            <w:r>
              <w:rPr>
                <w:rFonts w:ascii="PingFang SC" w:hAnsi="PingFang SC" w:eastAsia="PingFang SC" w:cs="PingFang SC"/>
                <w:b/>
                <w:bCs/>
                <w:spacing w:val="19"/>
                <w:sz w:val="32"/>
                <w:szCs w:val="32"/>
              </w:rPr>
              <w:t>11b</w:t>
            </w:r>
          </w:p>
        </w:tc>
        <w:tc>
          <w:tcPr>
            <w:tcW w:w="4061" w:type="dxa"/>
            <w:vAlign w:val="top"/>
          </w:tcPr>
          <w:p w14:paraId="5071D53E">
            <w:pPr>
              <w:pStyle w:val="12"/>
              <w:spacing w:before="1" w:line="197" w:lineRule="auto"/>
              <w:ind w:left="129"/>
              <w:rPr>
                <w:rFonts w:ascii="PingFang SC" w:hAnsi="PingFang SC" w:eastAsia="PingFang SC" w:cs="PingFang SC"/>
                <w:sz w:val="32"/>
                <w:szCs w:val="32"/>
              </w:rPr>
            </w:pPr>
            <w:r>
              <w:rPr>
                <w:spacing w:val="-5"/>
                <w:sz w:val="32"/>
                <w:szCs w:val="32"/>
              </w:rPr>
              <w:t>Discussion of</w:t>
            </w:r>
            <w:r>
              <w:rPr>
                <w:spacing w:val="-20"/>
                <w:sz w:val="32"/>
                <w:szCs w:val="32"/>
              </w:rPr>
              <w:t xml:space="preserve"> </w:t>
            </w:r>
            <w:r>
              <w:rPr>
                <w:spacing w:val="-5"/>
                <w:sz w:val="32"/>
                <w:szCs w:val="32"/>
              </w:rPr>
              <w:t>the relevant medica</w:t>
            </w:r>
            <w:r>
              <w:rPr>
                <w:spacing w:val="-6"/>
                <w:sz w:val="32"/>
                <w:szCs w:val="32"/>
              </w:rPr>
              <w:t>l literature</w:t>
            </w:r>
            <w:r>
              <w:rPr>
                <w:spacing w:val="-15"/>
                <w:sz w:val="32"/>
                <w:szCs w:val="32"/>
              </w:rPr>
              <w:t xml:space="preserve"> </w:t>
            </w:r>
            <w:r>
              <w:rPr>
                <w:rFonts w:ascii="PingFang SC" w:hAnsi="PingFang SC" w:eastAsia="PingFang SC" w:cs="PingFang SC"/>
                <w:b/>
                <w:bCs/>
                <w:spacing w:val="-6"/>
                <w:sz w:val="32"/>
                <w:szCs w:val="32"/>
              </w:rPr>
              <w:t>with</w:t>
            </w:r>
            <w:r>
              <w:rPr>
                <w:rFonts w:ascii="PingFang SC" w:hAnsi="PingFang SC" w:eastAsia="PingFang SC" w:cs="PingFang SC"/>
                <w:spacing w:val="-6"/>
                <w:sz w:val="32"/>
                <w:szCs w:val="32"/>
              </w:rPr>
              <w:t xml:space="preserve"> </w:t>
            </w:r>
            <w:r>
              <w:rPr>
                <w:rFonts w:ascii="PingFang SC" w:hAnsi="PingFang SC" w:eastAsia="PingFang SC" w:cs="PingFang SC"/>
                <w:b/>
                <w:bCs/>
                <w:spacing w:val="-6"/>
                <w:sz w:val="32"/>
                <w:szCs w:val="32"/>
              </w:rPr>
              <w:t>references</w:t>
            </w:r>
            <w:r>
              <w:rPr>
                <w:rFonts w:ascii="PingFang SC" w:hAnsi="PingFang SC" w:eastAsia="PingFang SC" w:cs="PingFang SC"/>
                <w:spacing w:val="-56"/>
                <w:sz w:val="32"/>
                <w:szCs w:val="32"/>
              </w:rPr>
              <w:t xml:space="preserve"> </w:t>
            </w:r>
          </w:p>
        </w:tc>
        <w:tc>
          <w:tcPr>
            <w:tcW w:w="7649" w:type="dxa"/>
            <w:vAlign w:val="top"/>
          </w:tcPr>
          <w:p w14:paraId="1AB932FB">
            <w:pPr>
              <w:pStyle w:val="12"/>
              <w:rPr>
                <w:sz w:val="32"/>
                <w:szCs w:val="32"/>
              </w:rPr>
            </w:pPr>
            <w:r>
              <w:rPr>
                <w:sz w:val="32"/>
                <w:szCs w:val="32"/>
              </w:rPr>
              <w:t>Clinical misdiagnosis of AIP overlapping Guillain–Barré Syndrome</w:t>
            </w:r>
          </w:p>
          <w:p w14:paraId="004530F5">
            <w:pPr>
              <w:pStyle w:val="12"/>
              <w:rPr>
                <w:sz w:val="32"/>
                <w:szCs w:val="32"/>
              </w:rPr>
            </w:pPr>
            <w:r>
              <w:rPr>
                <w:sz w:val="32"/>
                <w:szCs w:val="32"/>
                <w:lang w:val="en-US" w:eastAsia="zh-CN"/>
              </w:rPr>
              <w:t>Acute intermittent porphyria (AIP) often presents with rapidly progressive flaccid quadriparesis, abdominal pain and hyponatremia, which highly mimic classic GBS, leading to unnecessary IVIG and steroid administration without clinical benefit. A retrospective cohort noted over 40% severe AIP neuropathy cases received anti-inflammatory immunotherapy before genetic confirmation, delaying targeted heme intervention. Consistent with our case, the combination of visceral pain, red urine and psychiatric disturbance serves as critical clues to differentiate AIP from immune-mediated polyneuropathy.</w:t>
            </w:r>
          </w:p>
          <w:p w14:paraId="52C165E6">
            <w:pPr>
              <w:keepNext w:val="0"/>
              <w:keepLines w:val="0"/>
              <w:widowControl/>
              <w:suppressLineNumbers w:val="0"/>
              <w:jc w:val="left"/>
              <w:rPr>
                <w:rFonts w:ascii="宋体" w:hAnsi="宋体" w:eastAsia="宋体" w:cs="宋体"/>
                <w:snapToGrid w:val="0"/>
                <w:color w:val="000000"/>
                <w:kern w:val="0"/>
                <w:sz w:val="24"/>
                <w:szCs w:val="24"/>
                <w:lang w:val="en-US" w:eastAsia="zh-CN" w:bidi="ar"/>
              </w:rPr>
            </w:pPr>
            <w:r>
              <w:rPr>
                <w:rFonts w:ascii="宋体" w:hAnsi="宋体" w:eastAsia="宋体" w:cs="宋体"/>
                <w:snapToGrid w:val="0"/>
                <w:color w:val="000000"/>
                <w:kern w:val="0"/>
                <w:sz w:val="24"/>
                <w:szCs w:val="24"/>
                <w:lang w:val="en-US" w:eastAsia="zh-CN" w:bidi="ar"/>
              </w:rPr>
              <w:t xml:space="preserve">Reference:Ali M, et al. Clinical Features and Outcomes of Acute Intermittent Porphyria Presenting With Acute Quadriparesis: A Case Series. </w:t>
            </w:r>
            <w:r>
              <w:rPr>
                <w:rFonts w:ascii="宋体" w:hAnsi="宋体" w:eastAsia="宋体" w:cs="宋体"/>
                <w:snapToGrid w:val="0"/>
                <w:color w:val="000000"/>
                <w:kern w:val="0"/>
                <w:sz w:val="24"/>
                <w:szCs w:val="24"/>
                <w:lang w:val="en-US" w:eastAsia="zh-CN" w:bidi="ar"/>
              </w:rPr>
              <w:t>Eur J Neurol. 2025;32(6):e70260.</w:t>
            </w:r>
          </w:p>
          <w:p w14:paraId="6893BF23">
            <w:pPr>
              <w:pStyle w:val="12"/>
              <w:rPr>
                <w:sz w:val="32"/>
                <w:szCs w:val="32"/>
              </w:rPr>
            </w:pPr>
          </w:p>
        </w:tc>
      </w:tr>
      <w:tr w14:paraId="61DFA59A">
        <w:trPr>
          <w:trHeight w:val="349" w:hRule="atLeast"/>
        </w:trPr>
        <w:tc>
          <w:tcPr>
            <w:tcW w:w="2188" w:type="dxa"/>
            <w:vMerge w:val="continue"/>
            <w:tcBorders>
              <w:top w:val="nil"/>
              <w:bottom w:val="nil"/>
            </w:tcBorders>
            <w:vAlign w:val="top"/>
          </w:tcPr>
          <w:p w14:paraId="3F5F033B">
            <w:pPr>
              <w:pStyle w:val="12"/>
              <w:rPr>
                <w:sz w:val="32"/>
                <w:szCs w:val="32"/>
              </w:rPr>
            </w:pPr>
          </w:p>
        </w:tc>
        <w:tc>
          <w:tcPr>
            <w:tcW w:w="720" w:type="dxa"/>
            <w:vAlign w:val="top"/>
          </w:tcPr>
          <w:p w14:paraId="2FEFCCB6">
            <w:pPr>
              <w:spacing w:before="85" w:line="167" w:lineRule="auto"/>
              <w:ind w:left="199"/>
              <w:rPr>
                <w:rFonts w:ascii="PingFang SC" w:hAnsi="PingFang SC" w:eastAsia="PingFang SC" w:cs="PingFang SC"/>
                <w:sz w:val="32"/>
                <w:szCs w:val="32"/>
              </w:rPr>
            </w:pPr>
            <w:r>
              <w:rPr>
                <w:rFonts w:ascii="PingFang SC" w:hAnsi="PingFang SC" w:eastAsia="PingFang SC" w:cs="PingFang SC"/>
                <w:b/>
                <w:bCs/>
                <w:spacing w:val="18"/>
                <w:sz w:val="32"/>
                <w:szCs w:val="32"/>
              </w:rPr>
              <w:t>11c</w:t>
            </w:r>
          </w:p>
        </w:tc>
        <w:tc>
          <w:tcPr>
            <w:tcW w:w="4061" w:type="dxa"/>
            <w:vAlign w:val="top"/>
          </w:tcPr>
          <w:p w14:paraId="20E6F635">
            <w:pPr>
              <w:pStyle w:val="12"/>
              <w:spacing w:before="20" w:line="287" w:lineRule="auto"/>
              <w:ind w:left="118"/>
              <w:rPr>
                <w:sz w:val="32"/>
                <w:szCs w:val="32"/>
              </w:rPr>
            </w:pPr>
            <w:r>
              <w:rPr>
                <w:spacing w:val="-4"/>
                <w:sz w:val="32"/>
                <w:szCs w:val="32"/>
              </w:rPr>
              <w:t>The scientific rationale</w:t>
            </w:r>
            <w:r>
              <w:rPr>
                <w:spacing w:val="-13"/>
                <w:sz w:val="32"/>
                <w:szCs w:val="32"/>
              </w:rPr>
              <w:t xml:space="preserve"> </w:t>
            </w:r>
            <w:r>
              <w:rPr>
                <w:spacing w:val="-4"/>
                <w:sz w:val="32"/>
                <w:szCs w:val="32"/>
              </w:rPr>
              <w:t>for any conclusions (including assessment of possible cau</w:t>
            </w:r>
            <w:r>
              <w:rPr>
                <w:spacing w:val="-5"/>
                <w:sz w:val="32"/>
                <w:szCs w:val="32"/>
              </w:rPr>
              <w:t xml:space="preserve">ses) </w:t>
            </w:r>
          </w:p>
        </w:tc>
        <w:tc>
          <w:tcPr>
            <w:tcW w:w="7649" w:type="dxa"/>
            <w:vAlign w:val="top"/>
          </w:tcPr>
          <w:p w14:paraId="1BD20303">
            <w:pPr>
              <w:pStyle w:val="12"/>
              <w:rPr>
                <w:sz w:val="32"/>
                <w:szCs w:val="32"/>
              </w:rPr>
            </w:pPr>
            <w:r>
              <w:rPr>
                <w:rFonts w:hint="eastAsia"/>
                <w:sz w:val="32"/>
                <w:szCs w:val="32"/>
                <w:lang w:val="en-US" w:eastAsia="zh-CN"/>
              </w:rPr>
              <w:t>1.</w:t>
            </w:r>
            <w:r>
              <w:rPr>
                <w:sz w:val="32"/>
                <w:szCs w:val="32"/>
                <w:lang w:val="en-US" w:eastAsia="zh-CN"/>
              </w:rPr>
              <w:t>Root cause of multi-system manifestations</w:t>
            </w:r>
            <w:r>
              <w:rPr>
                <w:rFonts w:hint="eastAsia"/>
                <w:sz w:val="32"/>
                <w:szCs w:val="32"/>
                <w:lang w:val="en-US" w:eastAsia="zh-CN"/>
              </w:rPr>
              <w:t>：</w:t>
            </w:r>
            <w:r>
              <w:rPr>
                <w:sz w:val="32"/>
                <w:szCs w:val="32"/>
                <w:lang w:val="en-US" w:eastAsia="zh-CN"/>
              </w:rPr>
              <w:t>The patient carried heterozygous HMBS c.770T&gt;C variant, which impairs hydroxymethylbilane synthase activity. Deficient enzyme function causes massive accumulation of neurotoxic precursors ALA and PBG, directly triggering abdominal visceral pain, psychiatric disturbance, peripheral axonal neuropathy and hyponatremia, consistent with core pathogenic mechanisms of acute intermittent porphyria (AIP).</w:t>
            </w:r>
          </w:p>
          <w:p w14:paraId="4C31CEDC">
            <w:pPr>
              <w:pStyle w:val="12"/>
              <w:rPr>
                <w:sz w:val="32"/>
                <w:szCs w:val="32"/>
              </w:rPr>
            </w:pPr>
            <w:r>
              <w:rPr>
                <w:rFonts w:hint="eastAsia"/>
                <w:sz w:val="32"/>
                <w:szCs w:val="32"/>
                <w:lang w:val="en-US" w:eastAsia="zh-CN"/>
              </w:rPr>
              <w:t>2.</w:t>
            </w:r>
            <w:r>
              <w:rPr>
                <w:sz w:val="32"/>
                <w:szCs w:val="32"/>
                <w:lang w:val="en-US" w:eastAsia="zh-CN"/>
              </w:rPr>
              <w:t>Reason for initial misdiagnosis</w:t>
            </w:r>
            <w:r>
              <w:rPr>
                <w:rFonts w:hint="eastAsia"/>
                <w:sz w:val="32"/>
                <w:szCs w:val="32"/>
                <w:lang w:val="en-US" w:eastAsia="zh-CN"/>
              </w:rPr>
              <w:t>：</w:t>
            </w:r>
            <w:r>
              <w:rPr>
                <w:sz w:val="32"/>
                <w:szCs w:val="32"/>
                <w:lang w:val="en-US" w:eastAsia="zh-CN"/>
              </w:rPr>
              <w:t>Rapid flaccid quadriparesis and hyponatremia mimic Guillain–Barré syndrome. Lack of classic reddish urine signs in early hospitalization delayed genetic testing and targeted treatment. Immunotherapy (IVIG, steroids) proved ineffective because nerve injury here is toxic rather than autoimmune-mediated.</w:t>
            </w:r>
          </w:p>
          <w:p w14:paraId="08E9A61E">
            <w:pPr>
              <w:pStyle w:val="12"/>
              <w:rPr>
                <w:sz w:val="32"/>
                <w:szCs w:val="32"/>
              </w:rPr>
            </w:pPr>
            <w:r>
              <w:rPr>
                <w:rFonts w:hint="eastAsia"/>
                <w:sz w:val="32"/>
                <w:szCs w:val="32"/>
                <w:lang w:val="en-US" w:eastAsia="zh-CN"/>
              </w:rPr>
              <w:t>3.</w:t>
            </w:r>
            <w:r>
              <w:rPr>
                <w:sz w:val="32"/>
                <w:szCs w:val="32"/>
                <w:lang w:val="en-US" w:eastAsia="zh-CN"/>
              </w:rPr>
              <w:t>Rationale for effective targeted therapy</w:t>
            </w:r>
            <w:r>
              <w:rPr>
                <w:rFonts w:hint="eastAsia"/>
                <w:sz w:val="32"/>
                <w:szCs w:val="32"/>
                <w:lang w:val="en-US" w:eastAsia="zh-CN"/>
              </w:rPr>
              <w:t>：</w:t>
            </w:r>
            <w:r>
              <w:rPr>
                <w:sz w:val="32"/>
                <w:szCs w:val="32"/>
                <w:lang w:val="en-US" w:eastAsia="zh-CN"/>
              </w:rPr>
              <w:t>Intravenous heme replenishment restores HMBS pathway negative feedback to block ALA/PBG overproduction; high-carbohydrate intake suppresses hepatic ALA synthase transcription. Combined rehabilitation facilitates neural function repair by reducing toxic metabolite exposure.</w:t>
            </w:r>
          </w:p>
        </w:tc>
      </w:tr>
      <w:tr w14:paraId="4D31DD0C">
        <w:trPr>
          <w:trHeight w:val="305" w:hRule="atLeast"/>
        </w:trPr>
        <w:tc>
          <w:tcPr>
            <w:tcW w:w="2188" w:type="dxa"/>
            <w:vMerge w:val="continue"/>
            <w:tcBorders>
              <w:top w:val="nil"/>
            </w:tcBorders>
            <w:vAlign w:val="top"/>
          </w:tcPr>
          <w:p w14:paraId="6BA20E19">
            <w:pPr>
              <w:pStyle w:val="12"/>
              <w:rPr>
                <w:sz w:val="32"/>
                <w:szCs w:val="32"/>
              </w:rPr>
            </w:pPr>
          </w:p>
        </w:tc>
        <w:tc>
          <w:tcPr>
            <w:tcW w:w="720" w:type="dxa"/>
            <w:vAlign w:val="top"/>
          </w:tcPr>
          <w:p w14:paraId="22D69A57">
            <w:pPr>
              <w:spacing w:before="71" w:line="224" w:lineRule="exact"/>
              <w:ind w:left="193"/>
              <w:rPr>
                <w:rFonts w:ascii="PingFang SC" w:hAnsi="PingFang SC" w:eastAsia="PingFang SC" w:cs="PingFang SC"/>
                <w:sz w:val="32"/>
                <w:szCs w:val="32"/>
              </w:rPr>
            </w:pPr>
            <w:r>
              <w:rPr>
                <w:rFonts w:ascii="PingFang SC" w:hAnsi="PingFang SC" w:eastAsia="PingFang SC" w:cs="PingFang SC"/>
                <w:b/>
                <w:bCs/>
                <w:spacing w:val="19"/>
                <w:sz w:val="32"/>
                <w:szCs w:val="32"/>
              </w:rPr>
              <w:t>11d</w:t>
            </w:r>
          </w:p>
        </w:tc>
        <w:tc>
          <w:tcPr>
            <w:tcW w:w="4061" w:type="dxa"/>
            <w:vAlign w:val="top"/>
          </w:tcPr>
          <w:p w14:paraId="1BCD7808">
            <w:pPr>
              <w:pStyle w:val="12"/>
              <w:spacing w:before="12" w:line="287" w:lineRule="auto"/>
              <w:ind w:left="118"/>
              <w:rPr>
                <w:sz w:val="32"/>
                <w:szCs w:val="32"/>
              </w:rPr>
            </w:pPr>
            <w:r>
              <w:rPr>
                <w:spacing w:val="-4"/>
                <w:sz w:val="32"/>
                <w:szCs w:val="32"/>
              </w:rPr>
              <w:t>The primary</w:t>
            </w:r>
            <w:r>
              <w:rPr>
                <w:spacing w:val="-15"/>
                <w:sz w:val="32"/>
                <w:szCs w:val="32"/>
              </w:rPr>
              <w:t xml:space="preserve"> </w:t>
            </w:r>
            <w:r>
              <w:rPr>
                <w:spacing w:val="-4"/>
                <w:sz w:val="32"/>
                <w:szCs w:val="32"/>
              </w:rPr>
              <w:t>“take-away”</w:t>
            </w:r>
            <w:r>
              <w:rPr>
                <w:spacing w:val="-11"/>
                <w:sz w:val="32"/>
                <w:szCs w:val="32"/>
              </w:rPr>
              <w:t xml:space="preserve"> </w:t>
            </w:r>
            <w:r>
              <w:rPr>
                <w:spacing w:val="-4"/>
                <w:sz w:val="32"/>
                <w:szCs w:val="32"/>
              </w:rPr>
              <w:t>lesson</w:t>
            </w:r>
            <w:r>
              <w:rPr>
                <w:spacing w:val="-5"/>
                <w:sz w:val="32"/>
                <w:szCs w:val="32"/>
              </w:rPr>
              <w:t>s of</w:t>
            </w:r>
            <w:r>
              <w:rPr>
                <w:spacing w:val="-20"/>
                <w:sz w:val="32"/>
                <w:szCs w:val="32"/>
              </w:rPr>
              <w:t xml:space="preserve"> </w:t>
            </w:r>
            <w:r>
              <w:rPr>
                <w:spacing w:val="-5"/>
                <w:sz w:val="32"/>
                <w:szCs w:val="32"/>
              </w:rPr>
              <w:t xml:space="preserve">this case report (without references) in a one paragraph conclusion </w:t>
            </w:r>
          </w:p>
        </w:tc>
        <w:tc>
          <w:tcPr>
            <w:tcW w:w="7649" w:type="dxa"/>
            <w:tcBorders>
              <w:bottom w:val="single" w:color="000000" w:sz="2" w:space="0"/>
            </w:tcBorders>
            <w:vAlign w:val="top"/>
          </w:tcPr>
          <w:p w14:paraId="6A091E12">
            <w:pPr>
              <w:pStyle w:val="12"/>
              <w:rPr>
                <w:sz w:val="32"/>
                <w:szCs w:val="32"/>
              </w:rPr>
            </w:pPr>
            <w:r>
              <w:rPr>
                <w:sz w:val="32"/>
                <w:szCs w:val="32"/>
                <w:lang w:val="en-US" w:eastAsia="zh-CN"/>
              </w:rPr>
              <w:t>This case highlights that acute intermittent porphyria should be actively differentiated in young patients presenting with unexplained recurrent abdominal pain combined with rapidly progressive quadriparesis, psychiatric symptoms and hyponatremia, even without obvious reddish urine at early admission; toxic central demyelinating lesions can occur independently of rapid sodium correction, and ineffective immunotherapies such as intravenous immunoglobulin and glucocorticoids should be withdrawn immediately once genetic testing confirms an HMBS pathogenic variant, while timely heme infusion and high-carbohydrate nutritional support serve as core targeted treatments. Clinicians must maintain long-term follow-up for such patients given the high recurrence risk of rare HMBS missense variants, and standardized rehabilitation is essential to improve residual neurological dysfunction after acute episodes.</w:t>
            </w:r>
          </w:p>
          <w:p w14:paraId="1836808B">
            <w:pPr>
              <w:pStyle w:val="12"/>
              <w:rPr>
                <w:sz w:val="32"/>
                <w:szCs w:val="32"/>
              </w:rPr>
            </w:pPr>
          </w:p>
        </w:tc>
      </w:tr>
      <w:tr w14:paraId="1E0FED53">
        <w:trPr>
          <w:trHeight w:val="377" w:hRule="atLeast"/>
        </w:trPr>
        <w:tc>
          <w:tcPr>
            <w:tcW w:w="2188" w:type="dxa"/>
            <w:vAlign w:val="top"/>
          </w:tcPr>
          <w:p w14:paraId="10A156A4">
            <w:pPr>
              <w:spacing w:before="102" w:line="171" w:lineRule="auto"/>
              <w:ind w:left="132"/>
              <w:rPr>
                <w:rFonts w:ascii="PingFang SC" w:hAnsi="PingFang SC" w:eastAsia="PingFang SC" w:cs="PingFang SC"/>
                <w:sz w:val="32"/>
                <w:szCs w:val="32"/>
              </w:rPr>
            </w:pPr>
            <w:r>
              <w:rPr>
                <w:rFonts w:ascii="PingFang SC" w:hAnsi="PingFang SC" w:eastAsia="PingFang SC" w:cs="PingFang SC"/>
                <w:b/>
                <w:bCs/>
                <w:spacing w:val="4"/>
                <w:sz w:val="32"/>
                <w:szCs w:val="32"/>
              </w:rPr>
              <w:t>Patient</w:t>
            </w:r>
            <w:r>
              <w:rPr>
                <w:rFonts w:ascii="PingFang SC" w:hAnsi="PingFang SC" w:eastAsia="PingFang SC" w:cs="PingFang SC"/>
                <w:spacing w:val="4"/>
                <w:sz w:val="32"/>
                <w:szCs w:val="32"/>
              </w:rPr>
              <w:t xml:space="preserve"> </w:t>
            </w:r>
            <w:r>
              <w:rPr>
                <w:rFonts w:ascii="PingFang SC" w:hAnsi="PingFang SC" w:eastAsia="PingFang SC" w:cs="PingFang SC"/>
                <w:b/>
                <w:bCs/>
                <w:spacing w:val="4"/>
                <w:sz w:val="32"/>
                <w:szCs w:val="32"/>
              </w:rPr>
              <w:t>Perspective</w:t>
            </w:r>
          </w:p>
        </w:tc>
        <w:tc>
          <w:tcPr>
            <w:tcW w:w="720" w:type="dxa"/>
            <w:vAlign w:val="top"/>
          </w:tcPr>
          <w:p w14:paraId="6A54A982">
            <w:pPr>
              <w:spacing w:before="103" w:line="170" w:lineRule="auto"/>
              <w:ind w:left="258"/>
              <w:rPr>
                <w:rFonts w:ascii="PingFang SC" w:hAnsi="PingFang SC" w:eastAsia="PingFang SC" w:cs="PingFang SC"/>
                <w:sz w:val="32"/>
                <w:szCs w:val="32"/>
              </w:rPr>
            </w:pPr>
            <w:r>
              <w:rPr>
                <w:rFonts w:ascii="PingFang SC" w:hAnsi="PingFang SC" w:eastAsia="PingFang SC" w:cs="PingFang SC"/>
                <w:b/>
                <w:bCs/>
                <w:spacing w:val="5"/>
                <w:sz w:val="32"/>
                <w:szCs w:val="32"/>
              </w:rPr>
              <w:t>12</w:t>
            </w:r>
          </w:p>
        </w:tc>
        <w:tc>
          <w:tcPr>
            <w:tcW w:w="4061" w:type="dxa"/>
            <w:vAlign w:val="top"/>
          </w:tcPr>
          <w:p w14:paraId="1BB9A658">
            <w:pPr>
              <w:pStyle w:val="12"/>
              <w:spacing w:before="43" w:line="287" w:lineRule="auto"/>
              <w:ind w:left="118"/>
              <w:rPr>
                <w:spacing w:val="-4"/>
                <w:sz w:val="32"/>
                <w:szCs w:val="32"/>
              </w:rPr>
            </w:pPr>
            <w:r>
              <w:rPr>
                <w:spacing w:val="-4"/>
                <w:sz w:val="32"/>
                <w:szCs w:val="32"/>
              </w:rPr>
              <w:t>The patient should share</w:t>
            </w:r>
            <w:r>
              <w:rPr>
                <w:spacing w:val="-1"/>
                <w:sz w:val="32"/>
                <w:szCs w:val="32"/>
              </w:rPr>
              <w:t xml:space="preserve"> </w:t>
            </w:r>
            <w:r>
              <w:rPr>
                <w:spacing w:val="-4"/>
                <w:sz w:val="32"/>
                <w:szCs w:val="32"/>
              </w:rPr>
              <w:t>their perspective in one</w:t>
            </w:r>
            <w:r>
              <w:rPr>
                <w:spacing w:val="-11"/>
                <w:sz w:val="32"/>
                <w:szCs w:val="32"/>
              </w:rPr>
              <w:t xml:space="preserve"> </w:t>
            </w:r>
            <w:r>
              <w:rPr>
                <w:spacing w:val="-4"/>
                <w:sz w:val="32"/>
                <w:szCs w:val="32"/>
              </w:rPr>
              <w:t>to</w:t>
            </w:r>
            <w:r>
              <w:rPr>
                <w:spacing w:val="-12"/>
                <w:sz w:val="32"/>
                <w:szCs w:val="32"/>
              </w:rPr>
              <w:t xml:space="preserve"> </w:t>
            </w:r>
            <w:r>
              <w:rPr>
                <w:spacing w:val="-4"/>
                <w:sz w:val="32"/>
                <w:szCs w:val="32"/>
              </w:rPr>
              <w:t>two paragraphs on</w:t>
            </w:r>
            <w:r>
              <w:rPr>
                <w:spacing w:val="-11"/>
                <w:sz w:val="32"/>
                <w:szCs w:val="32"/>
              </w:rPr>
              <w:t xml:space="preserve"> </w:t>
            </w:r>
            <w:r>
              <w:rPr>
                <w:spacing w:val="-4"/>
                <w:sz w:val="32"/>
                <w:szCs w:val="32"/>
              </w:rPr>
              <w:t>the</w:t>
            </w:r>
            <w:r>
              <w:rPr>
                <w:spacing w:val="-12"/>
                <w:sz w:val="32"/>
                <w:szCs w:val="32"/>
              </w:rPr>
              <w:t xml:space="preserve"> </w:t>
            </w:r>
            <w:r>
              <w:rPr>
                <w:spacing w:val="-4"/>
                <w:sz w:val="32"/>
                <w:szCs w:val="32"/>
              </w:rPr>
              <w:t>treatment(s)</w:t>
            </w:r>
            <w:r>
              <w:rPr>
                <w:spacing w:val="-11"/>
                <w:sz w:val="32"/>
                <w:szCs w:val="32"/>
              </w:rPr>
              <w:t xml:space="preserve"> </w:t>
            </w:r>
            <w:r>
              <w:rPr>
                <w:spacing w:val="-4"/>
                <w:sz w:val="32"/>
                <w:szCs w:val="32"/>
              </w:rPr>
              <w:t xml:space="preserve">they received </w:t>
            </w:r>
          </w:p>
          <w:p w14:paraId="2398E44F">
            <w:pPr>
              <w:pStyle w:val="12"/>
              <w:spacing w:before="43" w:line="287" w:lineRule="auto"/>
              <w:ind w:left="118"/>
              <w:rPr>
                <w:spacing w:val="-4"/>
                <w:sz w:val="32"/>
                <w:szCs w:val="32"/>
              </w:rPr>
            </w:pPr>
          </w:p>
          <w:p w14:paraId="265D23DE">
            <w:pPr>
              <w:pStyle w:val="12"/>
              <w:spacing w:before="43" w:line="287" w:lineRule="auto"/>
              <w:ind w:left="118"/>
              <w:rPr>
                <w:rFonts w:hint="eastAsia" w:eastAsia="宋体"/>
                <w:spacing w:val="-4"/>
                <w:sz w:val="32"/>
                <w:szCs w:val="32"/>
                <w:lang w:eastAsia="zh-CN"/>
              </w:rPr>
            </w:pPr>
          </w:p>
        </w:tc>
        <w:tc>
          <w:tcPr>
            <w:tcW w:w="7649" w:type="dxa"/>
            <w:tcBorders>
              <w:top w:val="single" w:color="000000" w:sz="2" w:space="0"/>
            </w:tcBorders>
            <w:vAlign w:val="top"/>
          </w:tcPr>
          <w:p w14:paraId="6681ABB2">
            <w:pPr>
              <w:pStyle w:val="12"/>
              <w:rPr>
                <w:sz w:val="32"/>
                <w:szCs w:val="32"/>
              </w:rPr>
            </w:pPr>
            <w:r>
              <w:rPr>
                <w:sz w:val="32"/>
                <w:szCs w:val="32"/>
                <w:lang w:val="en-US" w:eastAsia="zh-CN"/>
              </w:rPr>
              <w:t>Hormone and immunoglobulin brought no relief. Heme therapy, high-carb diet and rehabilitation eased my pain and weakness. The illness relapsed half a year later. I hope doctors identify this disease sooner to avoid useless treatments.</w:t>
            </w:r>
          </w:p>
          <w:p w14:paraId="5A65714F">
            <w:pPr>
              <w:pStyle w:val="12"/>
              <w:rPr>
                <w:sz w:val="32"/>
                <w:szCs w:val="32"/>
              </w:rPr>
            </w:pPr>
          </w:p>
        </w:tc>
      </w:tr>
      <w:tr w14:paraId="3AFDCA2D">
        <w:trPr>
          <w:trHeight w:val="277" w:hRule="atLeast"/>
        </w:trPr>
        <w:tc>
          <w:tcPr>
            <w:tcW w:w="2188" w:type="dxa"/>
            <w:vAlign w:val="top"/>
          </w:tcPr>
          <w:p w14:paraId="18EC2039">
            <w:pPr>
              <w:spacing w:before="59" w:line="240" w:lineRule="auto"/>
              <w:ind w:left="131"/>
              <w:rPr>
                <w:rFonts w:ascii="PingFang SC" w:hAnsi="PingFang SC" w:eastAsia="PingFang SC" w:cs="PingFang SC"/>
                <w:spacing w:val="5"/>
                <w:position w:val="-1"/>
                <w:sz w:val="32"/>
                <w:szCs w:val="32"/>
              </w:rPr>
            </w:pPr>
            <w:bookmarkStart w:id="0" w:name="_GoBack"/>
            <w:r>
              <w:rPr>
                <w:rFonts w:ascii="PingFang SC" w:hAnsi="PingFang SC" w:eastAsia="PingFang SC" w:cs="PingFang SC"/>
                <w:b/>
                <w:bCs/>
                <w:spacing w:val="5"/>
                <w:position w:val="-1"/>
                <w:sz w:val="32"/>
                <w:szCs w:val="32"/>
              </w:rPr>
              <w:t>Informed</w:t>
            </w:r>
            <w:r>
              <w:rPr>
                <w:rFonts w:ascii="PingFang SC" w:hAnsi="PingFang SC" w:eastAsia="PingFang SC" w:cs="PingFang SC"/>
                <w:spacing w:val="5"/>
                <w:position w:val="-1"/>
                <w:sz w:val="32"/>
                <w:szCs w:val="32"/>
              </w:rPr>
              <w:t xml:space="preserve"> </w:t>
            </w:r>
          </w:p>
          <w:p w14:paraId="1DA20573">
            <w:pPr>
              <w:spacing w:before="59" w:line="240" w:lineRule="auto"/>
              <w:ind w:left="131"/>
              <w:rPr>
                <w:rFonts w:ascii="PingFang SC" w:hAnsi="PingFang SC" w:eastAsia="PingFang SC" w:cs="PingFang SC"/>
                <w:sz w:val="32"/>
                <w:szCs w:val="32"/>
              </w:rPr>
            </w:pPr>
            <w:r>
              <w:rPr>
                <w:rFonts w:ascii="PingFang SC" w:hAnsi="PingFang SC" w:eastAsia="PingFang SC" w:cs="PingFang SC"/>
                <w:b/>
                <w:bCs/>
                <w:spacing w:val="5"/>
                <w:position w:val="-1"/>
                <w:sz w:val="32"/>
                <w:szCs w:val="32"/>
              </w:rPr>
              <w:t>Consent</w:t>
            </w:r>
            <w:bookmarkEnd w:id="0"/>
          </w:p>
        </w:tc>
        <w:tc>
          <w:tcPr>
            <w:tcW w:w="720" w:type="dxa"/>
            <w:vAlign w:val="top"/>
          </w:tcPr>
          <w:p w14:paraId="25439983">
            <w:pPr>
              <w:spacing w:before="61" w:line="206" w:lineRule="exact"/>
              <w:ind w:left="258"/>
              <w:rPr>
                <w:rFonts w:ascii="PingFang SC" w:hAnsi="PingFang SC" w:eastAsia="PingFang SC" w:cs="PingFang SC"/>
                <w:sz w:val="32"/>
                <w:szCs w:val="32"/>
              </w:rPr>
            </w:pPr>
            <w:r>
              <w:rPr>
                <w:rFonts w:ascii="PingFang SC" w:hAnsi="PingFang SC" w:eastAsia="PingFang SC" w:cs="PingFang SC"/>
                <w:b/>
                <w:bCs/>
                <w:spacing w:val="5"/>
                <w:position w:val="-1"/>
                <w:sz w:val="32"/>
                <w:szCs w:val="32"/>
              </w:rPr>
              <w:t>13</w:t>
            </w:r>
          </w:p>
        </w:tc>
        <w:tc>
          <w:tcPr>
            <w:tcW w:w="4061" w:type="dxa"/>
            <w:vAlign w:val="top"/>
          </w:tcPr>
          <w:p w14:paraId="55CF1CCC">
            <w:pPr>
              <w:pStyle w:val="12"/>
              <w:spacing w:before="2" w:line="276" w:lineRule="auto"/>
              <w:ind w:left="129"/>
              <w:rPr>
                <w:sz w:val="32"/>
                <w:szCs w:val="32"/>
              </w:rPr>
            </w:pPr>
            <w:r>
              <w:rPr>
                <w:spacing w:val="-5"/>
                <w:sz w:val="32"/>
                <w:szCs w:val="32"/>
              </w:rPr>
              <w:t xml:space="preserve">Did the patient give informed </w:t>
            </w:r>
            <w:r>
              <w:rPr>
                <w:spacing w:val="-6"/>
                <w:sz w:val="32"/>
                <w:szCs w:val="32"/>
              </w:rPr>
              <w:t xml:space="preserve">consent? Please provide if requested  </w:t>
            </w:r>
          </w:p>
        </w:tc>
        <w:tc>
          <w:tcPr>
            <w:tcW w:w="7649" w:type="dxa"/>
            <w:vAlign w:val="top"/>
          </w:tcPr>
          <w:p w14:paraId="6C703AA6">
            <w:pPr>
              <w:spacing w:before="35" w:line="232" w:lineRule="exact"/>
              <w:ind w:left="226"/>
              <w:rPr>
                <w:sz w:val="32"/>
                <w:szCs w:val="32"/>
              </w:rPr>
            </w:pPr>
            <w:r>
              <w:rPr>
                <w:rFonts w:hint="eastAsia" w:eastAsia="宋体"/>
                <w:spacing w:val="-4"/>
                <w:sz w:val="32"/>
                <w:szCs w:val="32"/>
                <w:lang w:eastAsia="zh-CN"/>
              </w:rPr>
              <w:drawing>
                <wp:anchor distT="0" distB="0" distL="114300" distR="114300" simplePos="0" relativeHeight="251661312" behindDoc="1" locked="0" layoutInCell="1" allowOverlap="1">
                  <wp:simplePos x="0" y="0"/>
                  <wp:positionH relativeFrom="column">
                    <wp:posOffset>604520</wp:posOffset>
                  </wp:positionH>
                  <wp:positionV relativeFrom="paragraph">
                    <wp:posOffset>36830</wp:posOffset>
                  </wp:positionV>
                  <wp:extent cx="176530" cy="176530"/>
                  <wp:effectExtent l="0" t="0" r="1270" b="1270"/>
                  <wp:wrapThrough wrapText="bothSides">
                    <wp:wrapPolygon>
                      <wp:start x="9324" y="0"/>
                      <wp:lineTo x="0" y="9324"/>
                      <wp:lineTo x="0" y="18647"/>
                      <wp:lineTo x="15540" y="18647"/>
                      <wp:lineTo x="18647" y="6216"/>
                      <wp:lineTo x="18647" y="0"/>
                      <wp:lineTo x="9324" y="0"/>
                    </wp:wrapPolygon>
                  </wp:wrapThrough>
                  <wp:docPr id="3" name="图片 3" descr="10787480643"/>
                  <wp:cNvGraphicFramePr>
                    <a:graphicFrameLocks xmlns:a="http://schemas.openxmlformats.org/drawingml/2006/main" noChangeAspect="1"/>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icons&quot;,&quot;user&quot;:&quot;330055424&quot;}"/>
                        </s:tag>
                      </a:ext>
                    </a:extLst>
                  </wp:cNvGraphicFramePr>
                  <a:graphic xmlns:a="http://schemas.openxmlformats.org/drawingml/2006/main">
                    <a:graphicData uri="http://schemas.openxmlformats.org/drawingml/2006/picture">
                      <pic:pic xmlns:pic="http://schemas.openxmlformats.org/drawingml/2006/picture">
                        <pic:nvPicPr>
                          <pic:cNvPr id="3" name="图片 3" descr="10787480643"/>
                          <pic:cNvPicPr>
                            <a:picLocks noChangeAspect="1"/>
                          </pic:cNvPicPr>
                        </pic:nvPicPr>
                        <pic:blipFill>
                          <a:blip r:embed="rId8">
                            <a:extLst>
                              <a:ext uri="{96DAC541-7B7A-43D3-8B79-37D633B846F1}">
                                <asvg:svgBlip xmlns:asvg="http://schemas.microsoft.com/office/drawing/2016/SVG/main" r:embed="rId9"/>
                              </a:ext>
                            </a:extLst>
                          </a:blip>
                          <a:stretch>
                            <a:fillRect/>
                          </a:stretch>
                        </pic:blipFill>
                        <pic:spPr>
                          <a:xfrm>
                            <a:off x="0" y="0"/>
                            <a:ext cx="176530" cy="176530"/>
                          </a:xfrm>
                          <a:prstGeom prst="rect">
                            <a:avLst/>
                          </a:prstGeom>
                        </pic:spPr>
                      </pic:pic>
                    </a:graphicData>
                  </a:graphic>
                </wp:anchor>
              </w:drawing>
            </w:r>
            <w:r>
              <w:rPr>
                <w:rFonts w:ascii="PingFang SC" w:hAnsi="PingFang SC" w:eastAsia="PingFang SC" w:cs="PingFang SC"/>
                <w:b/>
                <w:bCs/>
                <w:spacing w:val="3"/>
                <w:position w:val="-2"/>
                <w:sz w:val="32"/>
                <w:szCs w:val="32"/>
              </w:rPr>
              <w:t>Yes</w:t>
            </w:r>
            <w:r>
              <w:rPr>
                <w:rFonts w:ascii="PingFang SC" w:hAnsi="PingFang SC" w:eastAsia="PingFang SC" w:cs="PingFang SC"/>
                <w:spacing w:val="66"/>
                <w:position w:val="-2"/>
                <w:sz w:val="32"/>
                <w:szCs w:val="32"/>
              </w:rPr>
              <w:t xml:space="preserve"> </w:t>
            </w:r>
            <w:r>
              <w:rPr>
                <w:rFonts w:ascii="PingFang SC" w:hAnsi="PingFang SC" w:eastAsia="PingFang SC" w:cs="PingFang SC"/>
                <w:spacing w:val="2"/>
                <w:position w:val="-2"/>
                <w:sz w:val="32"/>
                <w:szCs w:val="32"/>
              </w:rPr>
              <w:t xml:space="preserve"> </w:t>
            </w:r>
            <w:r>
              <w:rPr>
                <w:rFonts w:hint="eastAsia" w:ascii="PingFang SC" w:hAnsi="PingFang SC" w:eastAsia="PingFang SC" w:cs="PingFang SC"/>
                <w:spacing w:val="2"/>
                <w:position w:val="-2"/>
                <w:sz w:val="32"/>
                <w:szCs w:val="32"/>
                <w:lang w:val="en-US" w:eastAsia="zh-CN"/>
              </w:rPr>
              <w:t xml:space="preserve">  </w:t>
            </w:r>
            <w:r>
              <w:rPr>
                <w:rFonts w:ascii="PingFang SC" w:hAnsi="PingFang SC" w:eastAsia="PingFang SC" w:cs="PingFang SC"/>
                <w:spacing w:val="2"/>
                <w:position w:val="-2"/>
                <w:sz w:val="32"/>
                <w:szCs w:val="32"/>
              </w:rPr>
              <w:t xml:space="preserve">  </w:t>
            </w:r>
            <w:r>
              <w:rPr>
                <w:rFonts w:ascii="PingFang SC" w:hAnsi="PingFang SC" w:eastAsia="PingFang SC" w:cs="PingFang SC"/>
                <w:b/>
                <w:bCs/>
                <w:spacing w:val="3"/>
                <w:position w:val="-2"/>
                <w:sz w:val="32"/>
                <w:szCs w:val="32"/>
              </w:rPr>
              <w:t>No</w:t>
            </w:r>
            <w:r>
              <w:rPr>
                <w:rFonts w:ascii="PingFang SC" w:hAnsi="PingFang SC" w:eastAsia="PingFang SC" w:cs="PingFang SC"/>
                <w:spacing w:val="1"/>
                <w:position w:val="-2"/>
                <w:sz w:val="32"/>
                <w:szCs w:val="32"/>
              </w:rPr>
              <w:t xml:space="preserve"> </w:t>
            </w:r>
          </w:p>
        </w:tc>
      </w:tr>
    </w:tbl>
    <w:p w14:paraId="23F4D392">
      <w:pPr>
        <w:rPr>
          <w:rFonts w:ascii="Arial"/>
          <w:sz w:val="21"/>
        </w:rPr>
      </w:pPr>
    </w:p>
    <w:sectPr>
      <w:pgSz w:w="15840" w:h="12240"/>
      <w:pgMar w:top="371" w:right="614" w:bottom="0" w:left="60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ongti SC">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Tahoma">
    <w:panose1 w:val="020B0604030504040204"/>
    <w:charset w:val="00"/>
    <w:family w:val="auto"/>
    <w:pitch w:val="default"/>
    <w:sig w:usb0="E1002AFF" w:usb1="C000605B" w:usb2="00000029" w:usb3="00000000" w:csb0="200101FF" w:csb1="20280000"/>
  </w:font>
  <w:font w:name="Segoe UI">
    <w:altName w:val="苹方-简"/>
    <w:panose1 w:val="020B0502040204020203"/>
    <w:charset w:val="00"/>
    <w:family w:val="auto"/>
    <w:pitch w:val="default"/>
    <w:sig w:usb0="00000000" w:usb1="00000000" w:usb2="00000009" w:usb3="00000000" w:csb0="200001FF" w:csb1="00000000"/>
  </w:font>
  <w:font w:name="苹方-简">
    <w:panose1 w:val="020B0400000000000000"/>
    <w:charset w:val="86"/>
    <w:family w:val="auto"/>
    <w:pitch w:val="default"/>
    <w:sig w:usb0="A00002FF" w:usb1="7ACFFDFB" w:usb2="00000017" w:usb3="00000000" w:csb0="00040001" w:csb1="00000000"/>
  </w:font>
  <w:font w:name="Symbol">
    <w:altName w:val="Kingsoft Sig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5AE77B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5">
    <w:name w:val="Body Text"/>
    <w:basedOn w:val="1"/>
    <w:semiHidden/>
    <w:qFormat/>
    <w:uiPriority w:val="0"/>
    <w:rPr>
      <w:rFonts w:ascii="PingFang SC" w:hAnsi="PingFang SC" w:eastAsia="PingFang SC" w:cs="PingFang SC"/>
      <w:sz w:val="27"/>
      <w:szCs w:val="27"/>
      <w:lang w:val="en-US" w:eastAsia="en-US" w:bidi="ar-SA"/>
    </w:rPr>
  </w:style>
  <w:style w:type="paragraph" w:styleId="6">
    <w:name w:val="Normal (Web)"/>
    <w:basedOn w:val="1"/>
    <w:uiPriority w:val="0"/>
    <w:rPr>
      <w:sz w:val="24"/>
    </w:rPr>
  </w:style>
  <w:style w:type="character" w:styleId="9">
    <w:name w:val="Strong"/>
    <w:basedOn w:val="8"/>
    <w:qFormat/>
    <w:uiPriority w:val="0"/>
    <w:rPr>
      <w:b/>
    </w:rPr>
  </w:style>
  <w:style w:type="character" w:styleId="10">
    <w:name w:val="Emphasis"/>
    <w:basedOn w:val="8"/>
    <w:qFormat/>
    <w:uiPriority w:val="0"/>
    <w:rPr>
      <w:i/>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sv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TotalTime>3</TotalTime>
  <ScaleCrop>false</ScaleCrop>
  <LinksUpToDate>false</LinksUpToDate>
  <Application>WPS Office_12.1.25869.25869_F1E327BC-269C-435d-A152-05C5408002CA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2019-10-02T02:11:00Z</dcterms:created>
  <dc:creator>Data</dc:creator>
  <cp:lastModifiedBy>Mr.Mario</cp:lastModifiedBy>
  <dcterms:modified xsi:type="dcterms:W3CDTF">2026-07-02T12:41:22Z</dcterms:modified>
  <dc:title>Microsoft Word - CAREchecklist-English.docx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2026-07-02T11:19:24Z</vt:filetime>
  </property>
  <property fmtid="{D5CDD505-2E9C-101B-9397-08002B2CF9AE}" pid="4" name="KSOProductBuildVer">
    <vt:lpwstr>2052-12.1.25869.25869</vt:lpwstr>
  </property>
  <property fmtid="{D5CDD505-2E9C-101B-9397-08002B2CF9AE}" pid="5" name="ICV">
    <vt:lpwstr>C8EDB5E7AFCFADC5F2EB456A93EB5C70_42</vt:lpwstr>
  </property>
</Properties>
</file>