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F211F" w14:textId="77777777" w:rsidR="00FA5D9B" w:rsidRPr="00DF1D9A" w:rsidRDefault="00FA5D9B" w:rsidP="00FA5D9B">
      <w:pPr>
        <w:rPr>
          <w:rFonts w:ascii="Times New Roman" w:hAnsi="Times New Roman" w:cs="Times New Roman"/>
          <w:b/>
          <w:bCs/>
          <w:sz w:val="22"/>
          <w:szCs w:val="22"/>
        </w:rPr>
      </w:pPr>
      <w:r w:rsidRPr="00DF1D9A">
        <w:rPr>
          <w:rFonts w:ascii="Times New Roman" w:hAnsi="Times New Roman" w:cs="Times New Roman"/>
          <w:b/>
          <w:bCs/>
          <w:sz w:val="22"/>
          <w:szCs w:val="22"/>
        </w:rPr>
        <w:t>Supplementary Figures</w:t>
      </w:r>
    </w:p>
    <w:p w14:paraId="4CD65FED" w14:textId="77777777" w:rsidR="00FA5D9B" w:rsidRPr="00DF1D9A" w:rsidRDefault="00FA5D9B" w:rsidP="00FA5D9B">
      <w:pPr>
        <w:jc w:val="center"/>
        <w:rPr>
          <w:rFonts w:ascii="Times New Roman" w:hAnsi="Times New Roman" w:cs="Times New Roman"/>
          <w:sz w:val="22"/>
          <w:szCs w:val="22"/>
        </w:rPr>
      </w:pPr>
      <w:r w:rsidRPr="00DF1D9A">
        <w:rPr>
          <w:rFonts w:ascii="Times New Roman" w:hAnsi="Times New Roman" w:cs="Times New Roman"/>
          <w:b/>
          <w:bCs/>
          <w:noProof/>
          <w:sz w:val="22"/>
          <w:szCs w:val="22"/>
        </w:rPr>
        <w:drawing>
          <wp:inline distT="0" distB="0" distL="0" distR="0" wp14:anchorId="05DC362B" wp14:editId="6C16C9EA">
            <wp:extent cx="4078174" cy="8691121"/>
            <wp:effectExtent l="0" t="0" r="0" b="0"/>
            <wp:docPr id="1776287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83505" cy="8702482"/>
                    </a:xfrm>
                    <a:prstGeom prst="rect">
                      <a:avLst/>
                    </a:prstGeom>
                    <a:noFill/>
                    <a:ln>
                      <a:noFill/>
                    </a:ln>
                  </pic:spPr>
                </pic:pic>
              </a:graphicData>
            </a:graphic>
          </wp:inline>
        </w:drawing>
      </w:r>
      <w:r w:rsidRPr="00DF1D9A">
        <w:rPr>
          <w:rFonts w:ascii="Times New Roman" w:hAnsi="Times New Roman" w:cs="Times New Roman"/>
          <w:b/>
          <w:bCs/>
          <w:sz w:val="22"/>
          <w:szCs w:val="22"/>
        </w:rPr>
        <w:br w:type="page"/>
      </w:r>
    </w:p>
    <w:p w14:paraId="572AF3BE" w14:textId="77777777" w:rsidR="00FA5D9B" w:rsidRPr="00DF1D9A" w:rsidRDefault="00FA5D9B" w:rsidP="00FA5D9B">
      <w:pPr>
        <w:jc w:val="both"/>
        <w:rPr>
          <w:rFonts w:ascii="Times New Roman" w:hAnsi="Times New Roman" w:cs="Times New Roman"/>
          <w:sz w:val="22"/>
          <w:szCs w:val="22"/>
        </w:rPr>
      </w:pPr>
      <w:r w:rsidRPr="00DF1D9A">
        <w:rPr>
          <w:rFonts w:ascii="Times New Roman" w:hAnsi="Times New Roman" w:cs="Times New Roman"/>
          <w:b/>
          <w:bCs/>
          <w:sz w:val="22"/>
          <w:szCs w:val="22"/>
        </w:rPr>
        <w:lastRenderedPageBreak/>
        <w:t xml:space="preserve">Supplementary Figure 1. </w:t>
      </w:r>
      <w:bookmarkStart w:id="0" w:name="_Hlk221451550"/>
      <w:r w:rsidRPr="00DF1D9A">
        <w:rPr>
          <w:rFonts w:ascii="Times New Roman" w:hAnsi="Times New Roman" w:cs="Times New Roman"/>
          <w:b/>
          <w:bCs/>
          <w:sz w:val="22"/>
          <w:szCs w:val="22"/>
        </w:rPr>
        <w:t xml:space="preserve">Application of WATER to temporal RNA-seq data from WT mouse forelimbs. </w:t>
      </w:r>
      <w:bookmarkEnd w:id="0"/>
      <w:r w:rsidRPr="00DF1D9A">
        <w:rPr>
          <w:rFonts w:ascii="Times New Roman" w:hAnsi="Times New Roman" w:cs="Times New Roman"/>
          <w:sz w:val="22"/>
          <w:szCs w:val="22"/>
        </w:rPr>
        <w:t>(</w:t>
      </w:r>
      <w:r>
        <w:rPr>
          <w:rFonts w:ascii="Times New Roman" w:hAnsi="Times New Roman" w:cs="Times New Roman"/>
          <w:sz w:val="22"/>
          <w:szCs w:val="22"/>
        </w:rPr>
        <w:t>A</w:t>
      </w:r>
      <w:r w:rsidRPr="00DF1D9A">
        <w:rPr>
          <w:rFonts w:ascii="Times New Roman" w:hAnsi="Times New Roman" w:cs="Times New Roman"/>
          <w:sz w:val="22"/>
          <w:szCs w:val="22"/>
        </w:rPr>
        <w:t>-</w:t>
      </w:r>
      <w:r>
        <w:rPr>
          <w:rFonts w:ascii="Times New Roman" w:hAnsi="Times New Roman" w:cs="Times New Roman"/>
          <w:sz w:val="22"/>
          <w:szCs w:val="22"/>
        </w:rPr>
        <w:t>C</w:t>
      </w:r>
      <w:r w:rsidRPr="00DF1D9A">
        <w:rPr>
          <w:rFonts w:ascii="Times New Roman" w:hAnsi="Times New Roman" w:cs="Times New Roman"/>
          <w:sz w:val="22"/>
          <w:szCs w:val="22"/>
        </w:rPr>
        <w:t>) Schematization of the WATER pipeline used to assess temporal gene expression patterns. (</w:t>
      </w:r>
      <w:r>
        <w:rPr>
          <w:rFonts w:ascii="Times New Roman" w:hAnsi="Times New Roman" w:cs="Times New Roman"/>
          <w:sz w:val="22"/>
          <w:szCs w:val="22"/>
        </w:rPr>
        <w:t>A</w:t>
      </w:r>
      <w:r w:rsidRPr="00DF1D9A">
        <w:rPr>
          <w:rFonts w:ascii="Times New Roman" w:hAnsi="Times New Roman" w:cs="Times New Roman"/>
          <w:sz w:val="22"/>
          <w:szCs w:val="22"/>
        </w:rPr>
        <w:t xml:space="preserve">) Following quality control (FastQC), alignment (HISAT2), and gene expression quantification (IsoEM2); 13,006 autosomally encoded protein-coding genes with an average expression </w:t>
      </w:r>
      <w:r w:rsidRPr="00DF1D9A">
        <w:rPr>
          <w:rFonts w:ascii="Times New Roman" w:hAnsi="Times New Roman" w:cs="Times New Roman"/>
          <w:sz w:val="22"/>
          <w:szCs w:val="22"/>
          <w:u w:val="single"/>
        </w:rPr>
        <w:t>&gt;</w:t>
      </w:r>
      <w:r w:rsidRPr="00DF1D9A">
        <w:rPr>
          <w:rFonts w:ascii="Times New Roman" w:hAnsi="Times New Roman" w:cs="Times New Roman"/>
          <w:sz w:val="22"/>
          <w:szCs w:val="22"/>
        </w:rPr>
        <w:t xml:space="preserve"> 0.5 TPM in at least one sample were retained for subsequent analysis. Pairwise differential expression analysis (IsoDE2) identified 11,141 differentially expressed (DE) genes and 1,865 non-differentially expressed (NonDE) genes. To characterize temporal expression patterns, z-score-transformed DE genes were subjected to silhouette analysis and hierarchical clustering. Silhouette analysis supported a broad range of robust clustering windows (k = 2-22); selection of k = 22 followed by trajectory consolidation based on shared temporal patterns yielded nine initial expression trajectories (E10.5</w:t>
      </w:r>
      <w:r w:rsidRPr="00DF1D9A">
        <w:rPr>
          <w:rFonts w:ascii="Times New Roman" w:hAnsi="Times New Roman" w:cs="Times New Roman"/>
          <w:sz w:val="22"/>
          <w:szCs w:val="22"/>
          <w:vertAlign w:val="superscript"/>
        </w:rPr>
        <w:t>Hi</w:t>
      </w:r>
      <w:r w:rsidRPr="00DF1D9A">
        <w:rPr>
          <w:rFonts w:ascii="Times New Roman" w:hAnsi="Times New Roman" w:cs="Times New Roman"/>
          <w:sz w:val="22"/>
          <w:szCs w:val="22"/>
        </w:rPr>
        <w:t>, E11.5</w:t>
      </w:r>
      <w:r w:rsidRPr="00DF1D9A">
        <w:rPr>
          <w:rFonts w:ascii="Times New Roman" w:hAnsi="Times New Roman" w:cs="Times New Roman"/>
          <w:sz w:val="22"/>
          <w:szCs w:val="22"/>
          <w:vertAlign w:val="superscript"/>
        </w:rPr>
        <w:t>Hi</w:t>
      </w:r>
      <w:r w:rsidRPr="00DF1D9A">
        <w:rPr>
          <w:rFonts w:ascii="Times New Roman" w:hAnsi="Times New Roman" w:cs="Times New Roman"/>
          <w:sz w:val="22"/>
          <w:szCs w:val="22"/>
        </w:rPr>
        <w:t>, E12.5</w:t>
      </w:r>
      <w:r w:rsidRPr="00DF1D9A">
        <w:rPr>
          <w:rFonts w:ascii="Times New Roman" w:hAnsi="Times New Roman" w:cs="Times New Roman"/>
          <w:sz w:val="22"/>
          <w:szCs w:val="22"/>
          <w:vertAlign w:val="superscript"/>
        </w:rPr>
        <w:t>Hi</w:t>
      </w:r>
      <w:r w:rsidRPr="00DF1D9A">
        <w:rPr>
          <w:rFonts w:ascii="Times New Roman" w:hAnsi="Times New Roman" w:cs="Times New Roman"/>
          <w:sz w:val="22"/>
          <w:szCs w:val="22"/>
        </w:rPr>
        <w:t>, E13.5</w:t>
      </w:r>
      <w:r w:rsidRPr="00DF1D9A">
        <w:rPr>
          <w:rFonts w:ascii="Times New Roman" w:hAnsi="Times New Roman" w:cs="Times New Roman"/>
          <w:sz w:val="22"/>
          <w:szCs w:val="22"/>
          <w:vertAlign w:val="superscript"/>
        </w:rPr>
        <w:t>Hi</w:t>
      </w:r>
      <w:r w:rsidRPr="00DF1D9A">
        <w:rPr>
          <w:rFonts w:ascii="Times New Roman" w:hAnsi="Times New Roman" w:cs="Times New Roman"/>
          <w:sz w:val="22"/>
          <w:szCs w:val="22"/>
        </w:rPr>
        <w:t>, Early</w:t>
      </w:r>
      <w:r w:rsidRPr="00DF1D9A">
        <w:rPr>
          <w:rFonts w:ascii="Times New Roman" w:hAnsi="Times New Roman" w:cs="Times New Roman"/>
          <w:sz w:val="22"/>
          <w:szCs w:val="22"/>
          <w:vertAlign w:val="superscript"/>
        </w:rPr>
        <w:t>Hi</w:t>
      </w:r>
      <w:r w:rsidRPr="00DF1D9A">
        <w:rPr>
          <w:rFonts w:ascii="Times New Roman" w:hAnsi="Times New Roman" w:cs="Times New Roman"/>
          <w:sz w:val="22"/>
          <w:szCs w:val="22"/>
        </w:rPr>
        <w:t>, Late</w:t>
      </w:r>
      <w:r w:rsidRPr="00DF1D9A">
        <w:rPr>
          <w:rFonts w:ascii="Times New Roman" w:hAnsi="Times New Roman" w:cs="Times New Roman"/>
          <w:sz w:val="22"/>
          <w:szCs w:val="22"/>
          <w:vertAlign w:val="superscript"/>
        </w:rPr>
        <w:t>Hi</w:t>
      </w:r>
      <w:r w:rsidRPr="00DF1D9A">
        <w:rPr>
          <w:rFonts w:ascii="Times New Roman" w:hAnsi="Times New Roman" w:cs="Times New Roman"/>
          <w:sz w:val="22"/>
          <w:szCs w:val="22"/>
        </w:rPr>
        <w:t>, E10.5</w:t>
      </w:r>
      <w:r w:rsidRPr="00DF1D9A">
        <w:rPr>
          <w:rFonts w:ascii="Times New Roman" w:hAnsi="Times New Roman" w:cs="Times New Roman"/>
          <w:sz w:val="22"/>
          <w:szCs w:val="22"/>
          <w:vertAlign w:val="superscript"/>
        </w:rPr>
        <w:t>Hi</w:t>
      </w:r>
      <w:r w:rsidRPr="00DF1D9A">
        <w:rPr>
          <w:rFonts w:ascii="Times New Roman" w:hAnsi="Times New Roman" w:cs="Times New Roman"/>
          <w:sz w:val="22"/>
          <w:szCs w:val="22"/>
        </w:rPr>
        <w:t xml:space="preserve"> and E13.5</w:t>
      </w:r>
      <w:r w:rsidRPr="00DF1D9A">
        <w:rPr>
          <w:rFonts w:ascii="Times New Roman" w:hAnsi="Times New Roman" w:cs="Times New Roman"/>
          <w:sz w:val="22"/>
          <w:szCs w:val="22"/>
          <w:vertAlign w:val="superscript"/>
        </w:rPr>
        <w:t>Hi</w:t>
      </w:r>
      <w:r w:rsidRPr="00DF1D9A">
        <w:rPr>
          <w:rFonts w:ascii="Times New Roman" w:hAnsi="Times New Roman" w:cs="Times New Roman"/>
          <w:sz w:val="22"/>
          <w:szCs w:val="22"/>
        </w:rPr>
        <w:t>, Up-Down-Up, and Down-Up-Down). (</w:t>
      </w:r>
      <w:r>
        <w:rPr>
          <w:rFonts w:ascii="Times New Roman" w:hAnsi="Times New Roman" w:cs="Times New Roman"/>
          <w:sz w:val="22"/>
          <w:szCs w:val="22"/>
        </w:rPr>
        <w:t>B</w:t>
      </w:r>
      <w:r w:rsidRPr="00DF1D9A">
        <w:rPr>
          <w:rFonts w:ascii="Times New Roman" w:hAnsi="Times New Roman" w:cs="Times New Roman"/>
          <w:sz w:val="22"/>
          <w:szCs w:val="22"/>
        </w:rPr>
        <w:t xml:space="preserve">) To validate and refine trajectory assignments, each gene’s expression profile was compared to the mean expression profile of all trajectories using Pearson correlation. Most genes (8,187; 73.5%) showed the strongest correlation with their originally assigned trajectory (Pearson correlation coefficient (r) for the original trajectory ≥ 0.8; panel </w:t>
      </w:r>
      <w:r>
        <w:rPr>
          <w:rFonts w:ascii="Times New Roman" w:hAnsi="Times New Roman" w:cs="Times New Roman"/>
          <w:sz w:val="22"/>
          <w:szCs w:val="22"/>
        </w:rPr>
        <w:t>B</w:t>
      </w:r>
      <w:r w:rsidRPr="00DF1D9A">
        <w:rPr>
          <w:rFonts w:ascii="Times New Roman" w:hAnsi="Times New Roman" w:cs="Times New Roman"/>
          <w:sz w:val="22"/>
          <w:szCs w:val="22"/>
        </w:rPr>
        <w:t xml:space="preserve">, blue). Genes whose expression patterns more strongly matched a different trajectory (r_original &lt; 0.8 &amp; r_new ≥ 0.8; panel </w:t>
      </w:r>
      <w:r>
        <w:rPr>
          <w:rFonts w:ascii="Times New Roman" w:hAnsi="Times New Roman" w:cs="Times New Roman"/>
          <w:sz w:val="22"/>
          <w:szCs w:val="22"/>
        </w:rPr>
        <w:t>B</w:t>
      </w:r>
      <w:r w:rsidRPr="00DF1D9A">
        <w:rPr>
          <w:rFonts w:ascii="Times New Roman" w:hAnsi="Times New Roman" w:cs="Times New Roman"/>
          <w:sz w:val="22"/>
          <w:szCs w:val="22"/>
        </w:rPr>
        <w:t xml:space="preserve">, yellow) were reassigned, whereas genes with weak (r_original &lt; 0.8 and r_new &lt; 0.8) or ambiguous (r_original ≥ 0.8 and r_new ≥ 0.8) correlations were flagged for further evaluation (panel </w:t>
      </w:r>
      <w:r>
        <w:rPr>
          <w:rFonts w:ascii="Times New Roman" w:hAnsi="Times New Roman" w:cs="Times New Roman"/>
          <w:sz w:val="22"/>
          <w:szCs w:val="22"/>
        </w:rPr>
        <w:t>B</w:t>
      </w:r>
      <w:r w:rsidRPr="00DF1D9A">
        <w:rPr>
          <w:rFonts w:ascii="Times New Roman" w:hAnsi="Times New Roman" w:cs="Times New Roman"/>
          <w:sz w:val="22"/>
          <w:szCs w:val="22"/>
        </w:rPr>
        <w:t>, red). Genes with weak or ambiguous assignments were reanalyzed using an additional round of silhouette analysis and hierarchical clustering. This revealed four additional trajectories characterized by low expression at a single timepoint (E10.5</w:t>
      </w:r>
      <w:r w:rsidRPr="00DF1D9A">
        <w:rPr>
          <w:rFonts w:ascii="Times New Roman" w:hAnsi="Times New Roman" w:cs="Times New Roman"/>
          <w:sz w:val="22"/>
          <w:szCs w:val="22"/>
          <w:vertAlign w:val="superscript"/>
        </w:rPr>
        <w:t>Lo</w:t>
      </w:r>
      <w:r w:rsidRPr="00DF1D9A">
        <w:rPr>
          <w:rFonts w:ascii="Times New Roman" w:hAnsi="Times New Roman" w:cs="Times New Roman"/>
          <w:sz w:val="22"/>
          <w:szCs w:val="22"/>
        </w:rPr>
        <w:t>, E11.5</w:t>
      </w:r>
      <w:r w:rsidRPr="00DF1D9A">
        <w:rPr>
          <w:rFonts w:ascii="Times New Roman" w:hAnsi="Times New Roman" w:cs="Times New Roman"/>
          <w:sz w:val="22"/>
          <w:szCs w:val="22"/>
          <w:vertAlign w:val="superscript"/>
        </w:rPr>
        <w:t>Lo</w:t>
      </w:r>
      <w:r w:rsidRPr="00DF1D9A">
        <w:rPr>
          <w:rFonts w:ascii="Times New Roman" w:hAnsi="Times New Roman" w:cs="Times New Roman"/>
          <w:sz w:val="22"/>
          <w:szCs w:val="22"/>
        </w:rPr>
        <w:t>, E12.5</w:t>
      </w:r>
      <w:r w:rsidRPr="00DF1D9A">
        <w:rPr>
          <w:rFonts w:ascii="Times New Roman" w:hAnsi="Times New Roman" w:cs="Times New Roman"/>
          <w:sz w:val="22"/>
          <w:szCs w:val="22"/>
          <w:vertAlign w:val="superscript"/>
        </w:rPr>
        <w:t>Lo</w:t>
      </w:r>
      <w:r w:rsidRPr="00DF1D9A">
        <w:rPr>
          <w:rFonts w:ascii="Times New Roman" w:hAnsi="Times New Roman" w:cs="Times New Roman"/>
          <w:sz w:val="22"/>
          <w:szCs w:val="22"/>
        </w:rPr>
        <w:t>, and E13.5</w:t>
      </w:r>
      <w:r w:rsidRPr="00DF1D9A">
        <w:rPr>
          <w:rFonts w:ascii="Times New Roman" w:hAnsi="Times New Roman" w:cs="Times New Roman"/>
          <w:sz w:val="22"/>
          <w:szCs w:val="22"/>
          <w:vertAlign w:val="superscript"/>
        </w:rPr>
        <w:t>Lo</w:t>
      </w:r>
      <w:r w:rsidRPr="00DF1D9A">
        <w:rPr>
          <w:rFonts w:ascii="Times New Roman" w:hAnsi="Times New Roman" w:cs="Times New Roman"/>
          <w:sz w:val="22"/>
          <w:szCs w:val="22"/>
        </w:rPr>
        <w:t>). This additional round of clustering produced updated trajectory assignments for all 11,141 DE genes which were subjected to a second correlation-based audit to assess improvement in trajectory fit. (</w:t>
      </w:r>
      <w:r>
        <w:rPr>
          <w:rFonts w:ascii="Times New Roman" w:hAnsi="Times New Roman" w:cs="Times New Roman"/>
          <w:sz w:val="22"/>
          <w:szCs w:val="22"/>
        </w:rPr>
        <w:t>C</w:t>
      </w:r>
      <w:r w:rsidRPr="00DF1D9A">
        <w:rPr>
          <w:rFonts w:ascii="Times New Roman" w:hAnsi="Times New Roman" w:cs="Times New Roman"/>
          <w:sz w:val="22"/>
          <w:szCs w:val="22"/>
        </w:rPr>
        <w:t xml:space="preserve">) After the second audit, 13 high-confidence trajectories were defined (median r = 0.94), encompassing 97.5% (10,865 out of 11,141 genes) of all DE genes. The remaining 276 genes (2.5%) exhibited low similarity to any trajectory and were retained as a low-confidence category for transparency. </w:t>
      </w:r>
    </w:p>
    <w:p w14:paraId="25D5A867" w14:textId="77777777" w:rsidR="00FA5D9B" w:rsidRPr="00DF1D9A" w:rsidRDefault="00FA5D9B" w:rsidP="00FA5D9B">
      <w:pPr>
        <w:rPr>
          <w:rFonts w:ascii="Times New Roman" w:hAnsi="Times New Roman" w:cs="Times New Roman"/>
          <w:b/>
          <w:bCs/>
          <w:sz w:val="22"/>
          <w:szCs w:val="22"/>
        </w:rPr>
      </w:pPr>
    </w:p>
    <w:p w14:paraId="10AA2BDF" w14:textId="77777777" w:rsidR="00FA5D9B" w:rsidRPr="00DF1D9A" w:rsidRDefault="00FA5D9B" w:rsidP="00FA5D9B">
      <w:pPr>
        <w:rPr>
          <w:rFonts w:ascii="Times New Roman" w:hAnsi="Times New Roman" w:cs="Times New Roman"/>
          <w:b/>
          <w:bCs/>
          <w:sz w:val="22"/>
          <w:szCs w:val="22"/>
        </w:rPr>
      </w:pPr>
      <w:r w:rsidRPr="00DF1D9A">
        <w:rPr>
          <w:rFonts w:ascii="Times New Roman" w:hAnsi="Times New Roman" w:cs="Times New Roman"/>
          <w:b/>
          <w:bCs/>
          <w:sz w:val="22"/>
          <w:szCs w:val="22"/>
        </w:rPr>
        <w:br w:type="page"/>
      </w:r>
    </w:p>
    <w:p w14:paraId="6B61C32E" w14:textId="77777777" w:rsidR="00FA5D9B" w:rsidRPr="00DF1D9A" w:rsidRDefault="00FA5D9B" w:rsidP="00FA5D9B">
      <w:pPr>
        <w:rPr>
          <w:rFonts w:ascii="Times New Roman" w:hAnsi="Times New Roman" w:cs="Times New Roman"/>
          <w:b/>
          <w:bCs/>
          <w:sz w:val="22"/>
          <w:szCs w:val="22"/>
        </w:rPr>
      </w:pPr>
      <w:r w:rsidRPr="00DF1D9A">
        <w:rPr>
          <w:rFonts w:ascii="Times New Roman" w:hAnsi="Times New Roman" w:cs="Times New Roman"/>
          <w:b/>
          <w:bCs/>
          <w:noProof/>
          <w:sz w:val="22"/>
          <w:szCs w:val="22"/>
        </w:rPr>
        <w:lastRenderedPageBreak/>
        <w:drawing>
          <wp:inline distT="0" distB="0" distL="0" distR="0" wp14:anchorId="414CFBFC" wp14:editId="416BD4A1">
            <wp:extent cx="6858000" cy="9093200"/>
            <wp:effectExtent l="0" t="0" r="0" b="0"/>
            <wp:docPr id="18461906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0" cy="9093200"/>
                    </a:xfrm>
                    <a:prstGeom prst="rect">
                      <a:avLst/>
                    </a:prstGeom>
                    <a:noFill/>
                    <a:ln>
                      <a:noFill/>
                    </a:ln>
                  </pic:spPr>
                </pic:pic>
              </a:graphicData>
            </a:graphic>
          </wp:inline>
        </w:drawing>
      </w:r>
      <w:r w:rsidRPr="00DF1D9A">
        <w:rPr>
          <w:rFonts w:ascii="Times New Roman" w:hAnsi="Times New Roman" w:cs="Times New Roman"/>
          <w:b/>
          <w:bCs/>
          <w:sz w:val="22"/>
          <w:szCs w:val="22"/>
        </w:rPr>
        <w:br w:type="page"/>
      </w:r>
    </w:p>
    <w:p w14:paraId="2089AC41" w14:textId="77777777" w:rsidR="00FA5D9B" w:rsidRPr="0014524C" w:rsidRDefault="00FA5D9B" w:rsidP="00FA5D9B">
      <w:pPr>
        <w:jc w:val="both"/>
        <w:rPr>
          <w:rFonts w:ascii="Times New Roman" w:hAnsi="Times New Roman" w:cs="Times New Roman"/>
          <w:b/>
          <w:bCs/>
          <w:sz w:val="22"/>
          <w:szCs w:val="22"/>
        </w:rPr>
      </w:pPr>
      <w:r w:rsidRPr="0014524C">
        <w:rPr>
          <w:rFonts w:ascii="Times New Roman" w:hAnsi="Times New Roman" w:cs="Times New Roman"/>
          <w:b/>
          <w:bCs/>
          <w:sz w:val="22"/>
          <w:szCs w:val="22"/>
        </w:rPr>
        <w:lastRenderedPageBreak/>
        <w:t xml:space="preserve">Supplementary Figure 2. Initial differential expression analysis and hierarchical clustering in WT mouse forelimbs. </w:t>
      </w:r>
      <w:r w:rsidRPr="0014524C">
        <w:rPr>
          <w:rFonts w:ascii="Times New Roman" w:hAnsi="Times New Roman" w:cs="Times New Roman"/>
          <w:sz w:val="22"/>
          <w:szCs w:val="22"/>
        </w:rPr>
        <w:t xml:space="preserve">(A) Number of differentially expressed genes (DEGs) identified in each pairwise temporal comparison, including comparisons between non-adjacent timepoints as indicated by schematic icons below each bar. (B) Silhouette analysis across increasing numbers of clusters (k) for all DEGs identified a robust clustering window (k = 2-22) where the average silhouette width was greater than 0.5. These values were used to guide subsequent hierarchical clustering. (C) Hierarchical clustering heatmaps of all WT DEGs (z-scored expression) </w:t>
      </w:r>
      <w:r>
        <w:rPr>
          <w:rFonts w:ascii="Times New Roman" w:hAnsi="Times New Roman" w:cs="Times New Roman"/>
          <w:sz w:val="22"/>
          <w:szCs w:val="22"/>
        </w:rPr>
        <w:t>using</w:t>
      </w:r>
      <w:r w:rsidRPr="0014524C">
        <w:rPr>
          <w:rFonts w:ascii="Times New Roman" w:hAnsi="Times New Roman" w:cs="Times New Roman"/>
          <w:sz w:val="22"/>
          <w:szCs w:val="22"/>
        </w:rPr>
        <w:t xml:space="preserve"> k = 22. (D) Individual clusters produced when k = 22 and the strategy used to collapse them into trajectories characterized by high expression at one timepoint (E10.5 High, E11.5 High, E12.5 High, and E13.5 High), high expression at E10.5 and E11.5 (Early High) or E12.5 and E13.5 (Late High), or dynamic expression (E10.5 and E13.5 High, Down-Up-Down, and Up-Down-Up). (E) Assessing internal reproducibility using a Leave-One-Out (LOO) analysis where a single replicate is removed and clustering is repeated. Cluster assignments generated during each LOO iteration were compared to those obtained using the full dataset. The percentage of genes that maintain their original trajectory assignment is reported for both the cluster and trajectory levels. Mean retention values across all LOO iterations are indicated by dashed lines (light grey, mean cluster retention = 44.3%; dark grey, mean trajectory retention = 49.9%). (F) Averaged z-score expression profiles (colored lines) for each collapsed WT trajectory. Individual gene expression profiles are shown in grey. Gene counts per trajectory are indicated above each plot.</w:t>
      </w:r>
    </w:p>
    <w:p w14:paraId="5CA20CDB" w14:textId="77777777" w:rsidR="00FA5D9B" w:rsidRPr="00DF1D9A" w:rsidRDefault="00FA5D9B" w:rsidP="00FA5D9B">
      <w:pPr>
        <w:rPr>
          <w:rFonts w:ascii="Times New Roman" w:hAnsi="Times New Roman" w:cs="Times New Roman"/>
          <w:b/>
          <w:bCs/>
          <w:sz w:val="22"/>
          <w:szCs w:val="22"/>
        </w:rPr>
      </w:pPr>
      <w:r w:rsidRPr="00DF1D9A">
        <w:rPr>
          <w:rFonts w:ascii="Times New Roman" w:hAnsi="Times New Roman" w:cs="Times New Roman"/>
          <w:b/>
          <w:bCs/>
          <w:sz w:val="22"/>
          <w:szCs w:val="22"/>
        </w:rPr>
        <w:br w:type="page"/>
      </w:r>
    </w:p>
    <w:p w14:paraId="4FD42631" w14:textId="77777777" w:rsidR="00FA5D9B" w:rsidRPr="00DF1D9A" w:rsidRDefault="00FA5D9B" w:rsidP="00FA5D9B">
      <w:pPr>
        <w:rPr>
          <w:rFonts w:ascii="Times New Roman" w:hAnsi="Times New Roman" w:cs="Times New Roman"/>
          <w:b/>
          <w:bCs/>
          <w:sz w:val="22"/>
          <w:szCs w:val="22"/>
        </w:rPr>
      </w:pPr>
      <w:r w:rsidRPr="00DF1D9A">
        <w:rPr>
          <w:rFonts w:ascii="Times New Roman" w:hAnsi="Times New Roman" w:cs="Times New Roman"/>
          <w:b/>
          <w:bCs/>
          <w:noProof/>
          <w:sz w:val="22"/>
          <w:szCs w:val="22"/>
        </w:rPr>
        <w:lastRenderedPageBreak/>
        <w:drawing>
          <wp:inline distT="0" distB="0" distL="0" distR="0" wp14:anchorId="60C8F569" wp14:editId="187B9D94">
            <wp:extent cx="6858000" cy="9017000"/>
            <wp:effectExtent l="0" t="0" r="0" b="0"/>
            <wp:docPr id="14647895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0" cy="9017000"/>
                    </a:xfrm>
                    <a:prstGeom prst="rect">
                      <a:avLst/>
                    </a:prstGeom>
                    <a:noFill/>
                    <a:ln>
                      <a:noFill/>
                    </a:ln>
                  </pic:spPr>
                </pic:pic>
              </a:graphicData>
            </a:graphic>
          </wp:inline>
        </w:drawing>
      </w:r>
    </w:p>
    <w:p w14:paraId="18CA1094" w14:textId="77777777" w:rsidR="00FA5D9B" w:rsidRPr="00DF1D9A" w:rsidRDefault="00FA5D9B" w:rsidP="00FA5D9B">
      <w:pPr>
        <w:jc w:val="both"/>
        <w:rPr>
          <w:rFonts w:ascii="Times New Roman" w:hAnsi="Times New Roman" w:cs="Times New Roman"/>
          <w:sz w:val="22"/>
          <w:szCs w:val="22"/>
        </w:rPr>
      </w:pPr>
      <w:r w:rsidRPr="00DF1D9A">
        <w:rPr>
          <w:rFonts w:ascii="Times New Roman" w:hAnsi="Times New Roman" w:cs="Times New Roman"/>
          <w:b/>
          <w:bCs/>
          <w:sz w:val="22"/>
          <w:szCs w:val="22"/>
        </w:rPr>
        <w:lastRenderedPageBreak/>
        <w:t xml:space="preserve">Supplementary Figure 3. Correlation-based reassessment of WT trajectory assignments identifies weak and ambiguous gene expression profiles. </w:t>
      </w:r>
      <w:r w:rsidRPr="00DF1D9A">
        <w:rPr>
          <w:rFonts w:ascii="Times New Roman" w:hAnsi="Times New Roman" w:cs="Times New Roman"/>
          <w:sz w:val="22"/>
          <w:szCs w:val="22"/>
        </w:rPr>
        <w:t xml:space="preserve"> (A) Schematic overview of the correlation-based reassignment strategy used to evaluate confidence in trajectory assignments. For each gene, Pearson correlation coefficients (r) were calculated between its z-scored expression profile and each reference trajectory. The correlation with the originally assigned trajectory (r_original) and the highest correlation observed across all trajectories (r_new) were extracted. These values were then evaluated using a decision tree to determine whether a gene best fit its originally assigned trajectory (r_original </w:t>
      </w:r>
      <w:r w:rsidRPr="00DF1D9A">
        <w:rPr>
          <w:rFonts w:ascii="Times New Roman" w:hAnsi="Times New Roman" w:cs="Times New Roman"/>
          <w:sz w:val="22"/>
          <w:szCs w:val="22"/>
          <w:u w:val="single"/>
        </w:rPr>
        <w:t>&gt;</w:t>
      </w:r>
      <w:r w:rsidRPr="00DF1D9A">
        <w:rPr>
          <w:rFonts w:ascii="Times New Roman" w:hAnsi="Times New Roman" w:cs="Times New Roman"/>
          <w:sz w:val="22"/>
          <w:szCs w:val="22"/>
        </w:rPr>
        <w:t xml:space="preserve"> 0.8 and r_new &lt; 0.8; original trajectory kept), correlated strongly with multiple trajectories (r_original </w:t>
      </w:r>
      <w:r w:rsidRPr="00DF1D9A">
        <w:rPr>
          <w:rFonts w:ascii="Times New Roman" w:hAnsi="Times New Roman" w:cs="Times New Roman"/>
          <w:sz w:val="22"/>
          <w:szCs w:val="22"/>
          <w:u w:val="single"/>
        </w:rPr>
        <w:t>&gt;</w:t>
      </w:r>
      <w:r w:rsidRPr="00DF1D9A">
        <w:rPr>
          <w:rFonts w:ascii="Times New Roman" w:hAnsi="Times New Roman" w:cs="Times New Roman"/>
          <w:sz w:val="22"/>
          <w:szCs w:val="22"/>
        </w:rPr>
        <w:t xml:space="preserve"> 0.8 and r_new </w:t>
      </w:r>
      <w:r w:rsidRPr="00DF1D9A">
        <w:rPr>
          <w:rFonts w:ascii="Times New Roman" w:hAnsi="Times New Roman" w:cs="Times New Roman"/>
          <w:sz w:val="22"/>
          <w:szCs w:val="22"/>
          <w:u w:val="single"/>
        </w:rPr>
        <w:t>&gt;</w:t>
      </w:r>
      <w:r w:rsidRPr="00DF1D9A">
        <w:rPr>
          <w:rFonts w:ascii="Times New Roman" w:hAnsi="Times New Roman" w:cs="Times New Roman"/>
          <w:sz w:val="22"/>
          <w:szCs w:val="22"/>
        </w:rPr>
        <w:t xml:space="preserve"> 0.8; ambiguous), lacked strong correlation to any trajectory (r_original &lt; 0.8 and r_new &lt; 0.8; weak), or correlated more strongly with a different trajectory than the one originally assigned (r_original &lt; 0.8 and r_new </w:t>
      </w:r>
      <w:r w:rsidRPr="00DF1D9A">
        <w:rPr>
          <w:rFonts w:ascii="Times New Roman" w:hAnsi="Times New Roman" w:cs="Times New Roman"/>
          <w:sz w:val="22"/>
          <w:szCs w:val="22"/>
          <w:u w:val="single"/>
        </w:rPr>
        <w:t>&gt;</w:t>
      </w:r>
      <w:r w:rsidRPr="00DF1D9A">
        <w:rPr>
          <w:rFonts w:ascii="Times New Roman" w:hAnsi="Times New Roman" w:cs="Times New Roman"/>
          <w:sz w:val="22"/>
          <w:szCs w:val="22"/>
        </w:rPr>
        <w:t xml:space="preserve"> 0.8</w:t>
      </w:r>
      <w:r w:rsidRPr="00DF1D9A">
        <w:rPr>
          <w:rFonts w:ascii="Times New Roman" w:hAnsi="Times New Roman" w:cs="Times New Roman"/>
          <w:b/>
          <w:bCs/>
          <w:sz w:val="22"/>
          <w:szCs w:val="22"/>
        </w:rPr>
        <w:t xml:space="preserve">; </w:t>
      </w:r>
      <w:r w:rsidRPr="00DF1D9A">
        <w:rPr>
          <w:rFonts w:ascii="Times New Roman" w:hAnsi="Times New Roman" w:cs="Times New Roman"/>
          <w:sz w:val="22"/>
          <w:szCs w:val="22"/>
        </w:rPr>
        <w:t xml:space="preserve">trajectory updated). (B) Summary of correlation outcomes for all WT DEGs (11,141 genes), showing the proportion of genes that kept their original trajectory (Keep), were reassigned to a different trajectory (Reassign), or were flagged for re-clustering due to weak or ambiguous correlations (Re-cluster). (C) Distribution of genes per trajectory, colored by reassignment outcome from panel B, demonstrating that weak and ambiguous assignments are distributed across multiple trajectories rather than concentrated within a single trajectory. (D) Confusion matrix comparing original and updated trajectory assignments following correlation analysis. Numbers indicate the number of genes per comparison; empty boxes denote no genes in that category. Heatmap coloring is scaled per column (red, many genes; white, no genes). Genes classified as weak or ambiguous are highlighted and carried forward for secondary clustering. (E-F) Silhouette analysis performed separately on weak (E) and ambiguous (F) gene sets to determine an appropriate cluster resolution for re-analysis. (G-H) Hierarchical clustering heatmaps of weak (G; 1,420 genes, k = 5) and ambiguous (H; 1,068 genes, k = 8) gene sets, shown as z-scored expression across time. (I-J) Trajectory plots of re-clustered weak (I) and ambiguous (J) gene sets, revealing four additional low-expression trajectories: E10.5 Low, E11.5 Low, E12.5 Low, and E13.5 Low. </w:t>
      </w:r>
    </w:p>
    <w:p w14:paraId="1AEAAB06" w14:textId="77777777" w:rsidR="00FA5D9B" w:rsidRPr="00DF1D9A" w:rsidRDefault="00FA5D9B" w:rsidP="00FA5D9B">
      <w:pPr>
        <w:rPr>
          <w:rFonts w:ascii="Times New Roman" w:hAnsi="Times New Roman" w:cs="Times New Roman"/>
          <w:b/>
          <w:bCs/>
          <w:sz w:val="22"/>
          <w:szCs w:val="22"/>
        </w:rPr>
      </w:pPr>
    </w:p>
    <w:p w14:paraId="37AFD3EE" w14:textId="77777777" w:rsidR="00FA5D9B" w:rsidRPr="00DF1D9A" w:rsidRDefault="00FA5D9B" w:rsidP="00FA5D9B">
      <w:pPr>
        <w:rPr>
          <w:rFonts w:ascii="Times New Roman" w:hAnsi="Times New Roman" w:cs="Times New Roman"/>
          <w:b/>
          <w:bCs/>
          <w:sz w:val="22"/>
          <w:szCs w:val="22"/>
        </w:rPr>
      </w:pPr>
      <w:r w:rsidRPr="00DF1D9A">
        <w:rPr>
          <w:rFonts w:ascii="Times New Roman" w:hAnsi="Times New Roman" w:cs="Times New Roman"/>
          <w:b/>
          <w:bCs/>
          <w:sz w:val="22"/>
          <w:szCs w:val="22"/>
        </w:rPr>
        <w:br w:type="page"/>
      </w:r>
    </w:p>
    <w:p w14:paraId="6F6227A0" w14:textId="77777777" w:rsidR="00FA5D9B" w:rsidRPr="00DF1D9A" w:rsidRDefault="00FA5D9B" w:rsidP="00FA5D9B">
      <w:pPr>
        <w:rPr>
          <w:rFonts w:ascii="Times New Roman" w:hAnsi="Times New Roman" w:cs="Times New Roman"/>
          <w:b/>
          <w:bCs/>
          <w:sz w:val="22"/>
          <w:szCs w:val="22"/>
        </w:rPr>
      </w:pPr>
      <w:r>
        <w:rPr>
          <w:rFonts w:ascii="Times New Roman" w:hAnsi="Times New Roman" w:cs="Times New Roman"/>
          <w:b/>
          <w:bCs/>
          <w:noProof/>
          <w:sz w:val="22"/>
          <w:szCs w:val="22"/>
        </w:rPr>
        <w:lastRenderedPageBreak/>
        <w:drawing>
          <wp:inline distT="0" distB="0" distL="0" distR="0" wp14:anchorId="595907D6" wp14:editId="478E8B1D">
            <wp:extent cx="6852285" cy="7844155"/>
            <wp:effectExtent l="0" t="0" r="5715" b="4445"/>
            <wp:docPr id="1959202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2285" cy="7844155"/>
                    </a:xfrm>
                    <a:prstGeom prst="rect">
                      <a:avLst/>
                    </a:prstGeom>
                    <a:noFill/>
                    <a:ln>
                      <a:noFill/>
                    </a:ln>
                  </pic:spPr>
                </pic:pic>
              </a:graphicData>
            </a:graphic>
          </wp:inline>
        </w:drawing>
      </w:r>
      <w:r w:rsidRPr="00DF1D9A">
        <w:rPr>
          <w:rFonts w:ascii="Times New Roman" w:hAnsi="Times New Roman" w:cs="Times New Roman"/>
          <w:b/>
          <w:bCs/>
          <w:sz w:val="22"/>
          <w:szCs w:val="22"/>
        </w:rPr>
        <w:br w:type="page"/>
      </w:r>
    </w:p>
    <w:p w14:paraId="239720FC" w14:textId="77777777" w:rsidR="00FA5D9B" w:rsidRPr="00DF1D9A" w:rsidRDefault="00FA5D9B" w:rsidP="00FA5D9B">
      <w:pPr>
        <w:jc w:val="both"/>
        <w:rPr>
          <w:rFonts w:ascii="Times New Roman" w:hAnsi="Times New Roman" w:cs="Times New Roman"/>
          <w:b/>
          <w:bCs/>
          <w:sz w:val="22"/>
          <w:szCs w:val="22"/>
        </w:rPr>
      </w:pPr>
      <w:r w:rsidRPr="00DF1D9A">
        <w:rPr>
          <w:rFonts w:ascii="Times New Roman" w:hAnsi="Times New Roman" w:cs="Times New Roman"/>
          <w:b/>
          <w:bCs/>
          <w:sz w:val="22"/>
          <w:szCs w:val="22"/>
        </w:rPr>
        <w:lastRenderedPageBreak/>
        <w:t xml:space="preserve">Supplementary Figure 4. Final correlation-based refinement confirms high-confidence gene expression trajectory assignments in WT forelimbs. </w:t>
      </w:r>
      <w:r w:rsidRPr="00DF1D9A">
        <w:rPr>
          <w:rFonts w:ascii="Times New Roman" w:hAnsi="Times New Roman" w:cs="Times New Roman"/>
          <w:sz w:val="22"/>
          <w:szCs w:val="22"/>
        </w:rPr>
        <w:t>(A) Schematic overview of the final correlation-based strategy applied to updated expression trajectories. For each gene, Pearson correlation coefficients were calculated between its z-scored expression profile and all updated reference trajectories. The correlation with the currently assigned trajectory (r_updated) and the highest correlation observed across all trajectories (r_highest) were extracted and evaluated using the decision framework established in Figure S</w:t>
      </w:r>
      <w:r>
        <w:rPr>
          <w:rFonts w:ascii="Times New Roman" w:hAnsi="Times New Roman" w:cs="Times New Roman"/>
          <w:sz w:val="22"/>
          <w:szCs w:val="22"/>
        </w:rPr>
        <w:t>3</w:t>
      </w:r>
      <w:r w:rsidRPr="00DF1D9A">
        <w:rPr>
          <w:rFonts w:ascii="Times New Roman" w:hAnsi="Times New Roman" w:cs="Times New Roman"/>
          <w:sz w:val="22"/>
          <w:szCs w:val="22"/>
        </w:rPr>
        <w:t>A. Genes either retained their updated trajectory, were reassigned to a different trajectory, or were labeled as low</w:t>
      </w:r>
      <w:r>
        <w:rPr>
          <w:rFonts w:ascii="Times New Roman" w:hAnsi="Times New Roman" w:cs="Times New Roman"/>
          <w:sz w:val="22"/>
          <w:szCs w:val="22"/>
        </w:rPr>
        <w:t>-</w:t>
      </w:r>
      <w:r w:rsidRPr="00DF1D9A">
        <w:rPr>
          <w:rFonts w:ascii="Times New Roman" w:hAnsi="Times New Roman" w:cs="Times New Roman"/>
          <w:sz w:val="22"/>
          <w:szCs w:val="22"/>
        </w:rPr>
        <w:t>confidence if correlations remained weak. Ambiguous trajectories were reassigned to the trajectory with the highest correlation value. (B) Summary of correlation outcomes for all WT DEGs (11,141 genes) following final trajectory assignment, showing the percentage of genes that kept their trajectory assignment (Keep), were reassigned (Update), or were designated as low</w:t>
      </w:r>
      <w:r>
        <w:rPr>
          <w:rFonts w:ascii="Times New Roman" w:hAnsi="Times New Roman" w:cs="Times New Roman"/>
          <w:sz w:val="22"/>
          <w:szCs w:val="22"/>
        </w:rPr>
        <w:t>-</w:t>
      </w:r>
      <w:r w:rsidRPr="00DF1D9A">
        <w:rPr>
          <w:rFonts w:ascii="Times New Roman" w:hAnsi="Times New Roman" w:cs="Times New Roman"/>
          <w:sz w:val="22"/>
          <w:szCs w:val="22"/>
        </w:rPr>
        <w:t>confidence. (C) Distribution of WT genes per trajectory, colored by reassignment outcome, demonstrating that most genes retained their trajectory assignment following iterative refinement. (D) Confusion matrix comparing the updated and final WT expression trajectory assignments. Numbers indicate the number of genes per comparison; empty boxes denote no genes in that category. Heatmap coloring was scaled per column (red, many genes; white, no genes). Genes classified as low</w:t>
      </w:r>
      <w:r>
        <w:rPr>
          <w:rFonts w:ascii="Times New Roman" w:hAnsi="Times New Roman" w:cs="Times New Roman"/>
          <w:sz w:val="22"/>
          <w:szCs w:val="22"/>
        </w:rPr>
        <w:t>-</w:t>
      </w:r>
      <w:r w:rsidRPr="00DF1D9A">
        <w:rPr>
          <w:rFonts w:ascii="Times New Roman" w:hAnsi="Times New Roman" w:cs="Times New Roman"/>
          <w:sz w:val="22"/>
          <w:szCs w:val="22"/>
        </w:rPr>
        <w:t>confidence are highlighted and indicate a small subset (276 genes) that does not robustly fit any defined trajectory. (E) Schematic overview of LOO analysis used to assess reproducibility of final WT trajectory assignments. For each LOO iteration, a single replicate was removed and clustering was repeated. Cluster assignments generated during each LOO iteration were compared to those obtained using the full dataset. The percentage of genes that maintained their final trajectory assignment was calculated per replicate, and the percentage of low</w:t>
      </w:r>
      <w:r>
        <w:rPr>
          <w:rFonts w:ascii="Times New Roman" w:hAnsi="Times New Roman" w:cs="Times New Roman"/>
          <w:sz w:val="22"/>
          <w:szCs w:val="22"/>
        </w:rPr>
        <w:t>-</w:t>
      </w:r>
      <w:r w:rsidRPr="00DF1D9A">
        <w:rPr>
          <w:rFonts w:ascii="Times New Roman" w:hAnsi="Times New Roman" w:cs="Times New Roman"/>
          <w:sz w:val="22"/>
          <w:szCs w:val="22"/>
        </w:rPr>
        <w:t>confidence genes generated in each iteration is also reported. (F) Validation of WT trajectory structure using two independent, orthogonal RNA-seq datasets. Trajectories defined in this study were compared with published data from Jhanwar et al. and Onimaru et al. Of the 4,329 genes analyzed in Jhanwar et al., 2,445 had sufficient timepoint overlap for comparison. Among these, 77% showed concordant trajectory structure between studies, while 23% did not. Discordant trajectories were cross-checked against the Onimaru et al. dataset, revealing that approximately half of the genes that disagreed with Jhanwar et al. were concordant with Onimaru et al. (50.6%, 286 genes). Discrepancies in trajectory assignments were consistent with differences in genome annotation, sequencing depth, and timepoint variability between studies</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ZOTERO_ITEM CSL_CITATION {"citationID":"EPEW6ztD","properties":{"unsorted":false,"formattedCitation":"\\super 23,24\\nosupersub{}","plainCitation":"23,24","noteIndex":0},"citationItems":[{"id":314,"uris":["http://zotero.org/users/6937517/items/U26XLCTZ"],"itemData":{"id":314,"type":"article-journal","abstract":"Chromatin remodeling and genomic alterations impact spatio-temporal regulation of gene expression, which is central to embryonic development. The analysis of mouse and chicken limb development provides important insights into the morphoregulatory mechanisms, however little is known about the regulatory differences underlying their morphological divergence. Here, we identify the underlying shared and species-specific epigenomic and genomic variations. In mouse forelimb buds, we observe striking synchrony between the temporal dynamics of chromatin accessibility and gene expression, while their divergence in chicken wing buds uncovers species-specific regulatory heterochrony. In silico mapping of transcription factor binding sites and computational footprinting establishes the developmental time-restricted transcription factor-DNA interactions. Finally, the construction of target gene networks for HAND2 and GLI3 transcriptional regulators reveals both conserved and species-specific interactions. Our analysis reveals the impact of genome evolution on the regulatory interactions orchestrating vertebrate limb bud morphogenesis and provides a molecular framework for comparative Evo-Devo studies.","container-title":"Nature Communications","DOI":"10.1038/s41467-021-25935-3","ISSN":"2041-1723","issue":"1","journalAbbreviation":"Nat Commun","language":"en","license":"2021 The Author(s)","note":"number: 1","page":"5685","publisher":"Nature Publishing Group","source":"www.nature.com","title":"Conserved and species-specific chromatin remodeling and regulatory dynamics during mouse and chicken limb bud development","volume":"12","author":[{"family":"Jhanwar","given":"Shalu"},{"family":"Malkmus","given":"Jonas"},{"family":"Stolte","given":"Jens"},{"family":"Romashkina","given":"Olga"},{"family":"Zuniga","given":"Aimée"},{"family":"Zeller","given":"Rolf"}],"issued":{"date-parts":[["2021",9,28]]}}},{"id":35568,"uris":["http://zotero.org/users/6937517/items/XJDX9TQN"],"itemData":{"id":35568,"type":"article-journal","abstract":"How genetic changes are linked to morphological novelties and developmental constraints remains elusive. Here, we investigate genetic apparatuses that distinguish fish fins from tetrapod limbs by analyzing transcriptomes and open-chromatin regions (OCRs). Specifically, we compared mouse forelimb buds with the pectoral fin buds of an elasmobranch, the brown-banded bamboo shark (Chiloscyllium punctatum). A transcriptomic comparison with an accurate orthology map revealed both a mass heterochrony and hourglass-shaped conservation of gene expression between fins and limbs. Furthermore, open-chromatin analysis suggested that access to conserved regulatory sequences is transiently increased during mid-stage limb development. During this stage, stage-specific and tissue-specific OCRs were also enriched. Together, early and late stages of fin/limb development are more permissive to mutations than middle stages, which may have contributed to major morphological changes during the fin-to-limb evolution. We hypothesize that the middle stages are constrained by regulatory complexity that results from dynamic and tissuespecific transcriptional controls.","container-title":"eLife","DOI":"10.7554/eLife.62865","ISSN":"2050-084X","language":"en","page":"e62865","source":"DOI.org (Crossref)","title":"Developmental hourglass and heterochronic shifts in fin and limb development","volume":"10","author":[{"family":"Onimaru","given":"Koh"},{"family":"Tatsumi","given":"Kaori"},{"family":"Tanegashima","given":"Chiharu"},{"family":"Kadota","given":"Mitsutaka"},{"family":"Nishimura","given":"Osamu"},{"family":"Kuraku","given":"Shigehiro"}],"issued":{"date-parts":[["2021",2,9]]}}}],"schema":"https://github.com/citation-style-language/schema/raw/master/csl-citation.json"} </w:instrText>
      </w:r>
      <w:r>
        <w:rPr>
          <w:rFonts w:ascii="Times New Roman" w:hAnsi="Times New Roman" w:cs="Times New Roman"/>
          <w:sz w:val="22"/>
          <w:szCs w:val="22"/>
        </w:rPr>
        <w:fldChar w:fldCharType="separate"/>
      </w:r>
      <w:r w:rsidRPr="006F4103">
        <w:rPr>
          <w:rFonts w:ascii="Times New Roman" w:hAnsi="Times New Roman" w:cs="Times New Roman"/>
          <w:kern w:val="0"/>
          <w:sz w:val="22"/>
          <w:vertAlign w:val="superscript"/>
        </w:rPr>
        <w:t>23,24</w:t>
      </w:r>
      <w:r>
        <w:rPr>
          <w:rFonts w:ascii="Times New Roman" w:hAnsi="Times New Roman" w:cs="Times New Roman"/>
          <w:sz w:val="22"/>
          <w:szCs w:val="22"/>
        </w:rPr>
        <w:fldChar w:fldCharType="end"/>
      </w:r>
      <w:r w:rsidRPr="00DF1D9A">
        <w:rPr>
          <w:rFonts w:ascii="Times New Roman" w:hAnsi="Times New Roman" w:cs="Times New Roman"/>
          <w:sz w:val="22"/>
          <w:szCs w:val="22"/>
        </w:rPr>
        <w:t>. (G-I) Comparison of representative gene expression trajectories associated with known developmental processes between published data (Onimaru et al., 2021) and this study. Early limb patterning genes (G), chondrogenic markers (H), and regulators of progenitor cell fate (I) exhibit highly similar temporal expression profiles across datasets, supporting the reproducibility of the present dataset and the biological relevance of the identified trajectories.</w:t>
      </w:r>
    </w:p>
    <w:p w14:paraId="77D920C3" w14:textId="77777777" w:rsidR="00FA5D9B" w:rsidRPr="00DF1D9A" w:rsidRDefault="00FA5D9B" w:rsidP="00FA5D9B">
      <w:pPr>
        <w:rPr>
          <w:rFonts w:ascii="Times New Roman" w:hAnsi="Times New Roman" w:cs="Times New Roman"/>
          <w:b/>
          <w:bCs/>
          <w:sz w:val="22"/>
          <w:szCs w:val="22"/>
        </w:rPr>
      </w:pPr>
      <w:r w:rsidRPr="00DF1D9A">
        <w:rPr>
          <w:rFonts w:ascii="Times New Roman" w:hAnsi="Times New Roman" w:cs="Times New Roman"/>
          <w:b/>
          <w:bCs/>
          <w:sz w:val="22"/>
          <w:szCs w:val="22"/>
        </w:rPr>
        <w:br w:type="page"/>
      </w:r>
    </w:p>
    <w:p w14:paraId="5FCAC20A" w14:textId="77777777" w:rsidR="00FA5D9B" w:rsidRPr="00DF1D9A" w:rsidRDefault="00FA5D9B" w:rsidP="00FA5D9B">
      <w:pPr>
        <w:rPr>
          <w:rFonts w:ascii="Times New Roman" w:hAnsi="Times New Roman" w:cs="Times New Roman"/>
          <w:b/>
          <w:bCs/>
          <w:sz w:val="22"/>
          <w:szCs w:val="22"/>
        </w:rPr>
      </w:pPr>
      <w:r w:rsidRPr="00DF1D9A">
        <w:rPr>
          <w:rFonts w:ascii="Times New Roman" w:hAnsi="Times New Roman" w:cs="Times New Roman"/>
          <w:b/>
          <w:bCs/>
          <w:noProof/>
          <w:sz w:val="22"/>
          <w:szCs w:val="22"/>
        </w:rPr>
        <w:lastRenderedPageBreak/>
        <w:drawing>
          <wp:inline distT="0" distB="0" distL="0" distR="0" wp14:anchorId="427BA05E" wp14:editId="1BC3FEE8">
            <wp:extent cx="6858000" cy="9042400"/>
            <wp:effectExtent l="0" t="0" r="0" b="6350"/>
            <wp:docPr id="9886734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9042400"/>
                    </a:xfrm>
                    <a:prstGeom prst="rect">
                      <a:avLst/>
                    </a:prstGeom>
                    <a:noFill/>
                    <a:ln>
                      <a:noFill/>
                    </a:ln>
                  </pic:spPr>
                </pic:pic>
              </a:graphicData>
            </a:graphic>
          </wp:inline>
        </w:drawing>
      </w:r>
      <w:r w:rsidRPr="00DF1D9A">
        <w:rPr>
          <w:rFonts w:ascii="Times New Roman" w:hAnsi="Times New Roman" w:cs="Times New Roman"/>
          <w:b/>
          <w:bCs/>
          <w:sz w:val="22"/>
          <w:szCs w:val="22"/>
        </w:rPr>
        <w:br w:type="page"/>
      </w:r>
    </w:p>
    <w:p w14:paraId="0082D460" w14:textId="77777777" w:rsidR="00FA5D9B" w:rsidRDefault="00FA5D9B" w:rsidP="00FA5D9B">
      <w:pPr>
        <w:jc w:val="both"/>
        <w:rPr>
          <w:rFonts w:ascii="Times New Roman" w:hAnsi="Times New Roman" w:cs="Times New Roman"/>
        </w:rPr>
      </w:pPr>
      <w:r w:rsidRPr="00DF1D9A">
        <w:rPr>
          <w:rFonts w:ascii="Times New Roman" w:hAnsi="Times New Roman" w:cs="Times New Roman"/>
          <w:b/>
          <w:bCs/>
          <w:sz w:val="22"/>
          <w:szCs w:val="22"/>
        </w:rPr>
        <w:lastRenderedPageBreak/>
        <w:t>Supplementary Figure 5.</w:t>
      </w:r>
      <w:r>
        <w:rPr>
          <w:rFonts w:ascii="Times New Roman" w:hAnsi="Times New Roman" w:cs="Times New Roman"/>
          <w:b/>
          <w:bCs/>
          <w:sz w:val="22"/>
          <w:szCs w:val="22"/>
        </w:rPr>
        <w:t xml:space="preserve"> </w:t>
      </w:r>
      <w:r w:rsidRPr="00DF1D9A">
        <w:rPr>
          <w:rFonts w:ascii="Times New Roman" w:hAnsi="Times New Roman" w:cs="Times New Roman"/>
          <w:b/>
          <w:bCs/>
          <w:sz w:val="22"/>
          <w:szCs w:val="22"/>
        </w:rPr>
        <w:t xml:space="preserve">Functional enrichment of expression trajectories reveals differences between WT and mutant forelimbs. </w:t>
      </w:r>
      <w:r w:rsidRPr="00DF1D9A">
        <w:rPr>
          <w:rFonts w:ascii="Times New Roman" w:hAnsi="Times New Roman" w:cs="Times New Roman"/>
          <w:sz w:val="22"/>
          <w:szCs w:val="22"/>
        </w:rPr>
        <w:t>(A) Gene Ontology (GO; BP, CC, and MF) enrichment analysis for each WT expression trajectory. Bar plots show significantly enriched terms (adjusted p &lt; 0.05), grouped by trajectory and colored to match corresponding WT expression patterns. Bar length indicates log</w:t>
      </w:r>
      <w:r w:rsidRPr="00DF1D9A">
        <w:rPr>
          <w:rFonts w:ascii="Times New Roman" w:hAnsi="Times New Roman" w:cs="Times New Roman"/>
          <w:sz w:val="22"/>
          <w:szCs w:val="22"/>
          <w:vertAlign w:val="subscript"/>
        </w:rPr>
        <w:t>10</w:t>
      </w:r>
      <w:r w:rsidRPr="00DF1D9A">
        <w:rPr>
          <w:rFonts w:ascii="Times New Roman" w:hAnsi="Times New Roman" w:cs="Times New Roman"/>
          <w:sz w:val="22"/>
          <w:szCs w:val="22"/>
        </w:rPr>
        <w:t xml:space="preserve">(adjusted p-value), and the number of genes underlying each enrichment is indicated at the end of the corresponding bar. (A’) Filled squares indicate the same GO term is enriched in the corresponding mutant trajectory, whereas open squares indicate that the term was not enriched in that corresponding mutant trajectory. When a GO term is enriched in the mutant, the number of genes shared between the WT and mutant is shown. If the term is enriched in the mutant but assigned to a different trajectory, the corresponding mutant trajectory is indicated next to the open square to denote redistribution. Red squares marked with an “X” denote GO terms that were not enriched in any mutant trajectory. Together, this panel illustrates redistribution of functional programs across temporal expression trajectories following U11 loss. (B) Genes underlying WT enrichment for the GO term “embryonic skeletal system development” within the WT E10.5 high trajectory (17 genes). Bars indicate the number of these genes assigned to each mutant trajectory, demonstrating partial conservation of early skeletal development programming alongside redistribution to alternative temporal trajectories in the mutant. (C-E) Representative examples of genes that remain assigned to the E10.5 high trajectory in both WT and mutant. Lines show the mean gene expression (TPM) across time (E10.5-E13.5) for WT (solid line, circles) and mutant (dashed line, triangles), with biological replicates overlaid. (F) Change in E10.5 expression (MUT TPM – WT TPM) for genes that maintain an E10.5 high trajectory in both genotypes. Positive values indicate higher expression in the mutant, whereas negative values indicate higher expression in the WT, revealing changes in expression magnitude despite trajectory </w:t>
      </w:r>
      <w:r>
        <w:rPr>
          <w:rFonts w:ascii="Times New Roman" w:hAnsi="Times New Roman" w:cs="Times New Roman"/>
          <w:sz w:val="22"/>
          <w:szCs w:val="22"/>
        </w:rPr>
        <w:t>agreement</w:t>
      </w:r>
      <w:r w:rsidRPr="00DF1D9A">
        <w:rPr>
          <w:rFonts w:ascii="Times New Roman" w:hAnsi="Times New Roman" w:cs="Times New Roman"/>
          <w:sz w:val="22"/>
          <w:szCs w:val="22"/>
        </w:rPr>
        <w:t xml:space="preserve">. (G-J) Examples of skeletal development genes that shift from WT E10.5 high to mutant Early high (G-H), E12.5 Low (I), and E11.5 High (J). </w:t>
      </w:r>
    </w:p>
    <w:p w14:paraId="361A1914" w14:textId="77777777" w:rsidR="00FA5D9B" w:rsidRPr="00DF1D9A" w:rsidRDefault="00FA5D9B" w:rsidP="00FA5D9B">
      <w:pPr>
        <w:rPr>
          <w:rFonts w:ascii="Times New Roman" w:hAnsi="Times New Roman" w:cs="Times New Roman"/>
          <w:b/>
          <w:bCs/>
          <w:sz w:val="22"/>
          <w:szCs w:val="22"/>
        </w:rPr>
      </w:pPr>
    </w:p>
    <w:p w14:paraId="2240E292" w14:textId="77777777" w:rsidR="00FA5D9B" w:rsidRPr="00DF1D9A" w:rsidRDefault="00FA5D9B" w:rsidP="00FA5D9B">
      <w:pPr>
        <w:rPr>
          <w:rFonts w:ascii="Times New Roman" w:hAnsi="Times New Roman" w:cs="Times New Roman"/>
          <w:b/>
          <w:bCs/>
          <w:sz w:val="22"/>
          <w:szCs w:val="22"/>
        </w:rPr>
      </w:pPr>
      <w:r w:rsidRPr="00DF1D9A">
        <w:rPr>
          <w:rFonts w:ascii="Times New Roman" w:hAnsi="Times New Roman" w:cs="Times New Roman"/>
          <w:b/>
          <w:bCs/>
          <w:sz w:val="22"/>
          <w:szCs w:val="22"/>
        </w:rPr>
        <w:br w:type="page"/>
      </w:r>
    </w:p>
    <w:p w14:paraId="2E40B2DD" w14:textId="77777777" w:rsidR="00FA5D9B" w:rsidRPr="00DF1D9A" w:rsidRDefault="00FA5D9B" w:rsidP="00FA5D9B">
      <w:pPr>
        <w:rPr>
          <w:rFonts w:ascii="Times New Roman" w:hAnsi="Times New Roman" w:cs="Times New Roman"/>
          <w:b/>
          <w:bCs/>
          <w:sz w:val="22"/>
          <w:szCs w:val="22"/>
        </w:rPr>
      </w:pPr>
      <w:r>
        <w:rPr>
          <w:rFonts w:ascii="Times New Roman" w:hAnsi="Times New Roman" w:cs="Times New Roman"/>
          <w:noProof/>
        </w:rPr>
        <w:lastRenderedPageBreak/>
        <w:drawing>
          <wp:inline distT="0" distB="0" distL="0" distR="0" wp14:anchorId="4916CC11" wp14:editId="0A9F9473">
            <wp:extent cx="6858000" cy="9020175"/>
            <wp:effectExtent l="0" t="0" r="0" b="9525"/>
            <wp:docPr id="2001775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9020175"/>
                    </a:xfrm>
                    <a:prstGeom prst="rect">
                      <a:avLst/>
                    </a:prstGeom>
                    <a:noFill/>
                    <a:ln>
                      <a:noFill/>
                    </a:ln>
                  </pic:spPr>
                </pic:pic>
              </a:graphicData>
            </a:graphic>
          </wp:inline>
        </w:drawing>
      </w:r>
      <w:r w:rsidRPr="00DF1D9A">
        <w:rPr>
          <w:rFonts w:ascii="Times New Roman" w:hAnsi="Times New Roman" w:cs="Times New Roman"/>
          <w:b/>
          <w:bCs/>
          <w:sz w:val="22"/>
          <w:szCs w:val="22"/>
        </w:rPr>
        <w:br w:type="page"/>
      </w:r>
    </w:p>
    <w:p w14:paraId="031A8821" w14:textId="77777777" w:rsidR="00FA5D9B" w:rsidRPr="00DF1D9A" w:rsidRDefault="00FA5D9B" w:rsidP="00FA5D9B">
      <w:pPr>
        <w:jc w:val="both"/>
        <w:rPr>
          <w:rFonts w:ascii="Times New Roman" w:hAnsi="Times New Roman" w:cs="Times New Roman"/>
          <w:sz w:val="22"/>
          <w:szCs w:val="22"/>
        </w:rPr>
      </w:pPr>
      <w:r w:rsidRPr="00DF1D9A">
        <w:rPr>
          <w:rFonts w:ascii="Times New Roman" w:hAnsi="Times New Roman" w:cs="Times New Roman"/>
          <w:b/>
          <w:bCs/>
          <w:sz w:val="22"/>
          <w:szCs w:val="22"/>
        </w:rPr>
        <w:lastRenderedPageBreak/>
        <w:t>Supplementary Figure 6.</w:t>
      </w:r>
      <w:r>
        <w:rPr>
          <w:rFonts w:ascii="Times New Roman" w:hAnsi="Times New Roman" w:cs="Times New Roman"/>
          <w:b/>
          <w:bCs/>
          <w:sz w:val="22"/>
          <w:szCs w:val="22"/>
        </w:rPr>
        <w:t xml:space="preserve"> </w:t>
      </w:r>
      <w:r w:rsidRPr="00DF1D9A">
        <w:rPr>
          <w:rFonts w:ascii="Times New Roman" w:hAnsi="Times New Roman" w:cs="Times New Roman"/>
          <w:b/>
          <w:bCs/>
          <w:sz w:val="22"/>
          <w:szCs w:val="22"/>
        </w:rPr>
        <w:t>Benchmarking WATER against TC-seq for high</w:t>
      </w:r>
      <w:r>
        <w:rPr>
          <w:rFonts w:ascii="Times New Roman" w:hAnsi="Times New Roman" w:cs="Times New Roman"/>
          <w:b/>
          <w:bCs/>
          <w:sz w:val="22"/>
          <w:szCs w:val="22"/>
        </w:rPr>
        <w:t>-</w:t>
      </w:r>
      <w:r w:rsidRPr="00DF1D9A">
        <w:rPr>
          <w:rFonts w:ascii="Times New Roman" w:hAnsi="Times New Roman" w:cs="Times New Roman"/>
          <w:b/>
          <w:bCs/>
          <w:sz w:val="22"/>
          <w:szCs w:val="22"/>
        </w:rPr>
        <w:t xml:space="preserve">confidence temporal trajectory inference. </w:t>
      </w:r>
      <w:r w:rsidRPr="00DF1D9A">
        <w:rPr>
          <w:rFonts w:ascii="Times New Roman" w:hAnsi="Times New Roman" w:cs="Times New Roman"/>
          <w:sz w:val="22"/>
          <w:szCs w:val="22"/>
        </w:rPr>
        <w:t>(A) Schematic comparison of WATER and TC-seq workflows. WATER utilizes semi-supervised clustering, correlation-based confidence assessment, iterative refinement, and tagging of low</w:t>
      </w:r>
      <w:r>
        <w:rPr>
          <w:rFonts w:ascii="Times New Roman" w:hAnsi="Times New Roman" w:cs="Times New Roman"/>
          <w:sz w:val="22"/>
          <w:szCs w:val="22"/>
        </w:rPr>
        <w:t>-</w:t>
      </w:r>
      <w:r w:rsidRPr="00DF1D9A">
        <w:rPr>
          <w:rFonts w:ascii="Times New Roman" w:hAnsi="Times New Roman" w:cs="Times New Roman"/>
          <w:sz w:val="22"/>
          <w:szCs w:val="22"/>
        </w:rPr>
        <w:t>confidence genes to generate high</w:t>
      </w:r>
      <w:r>
        <w:rPr>
          <w:rFonts w:ascii="Times New Roman" w:hAnsi="Times New Roman" w:cs="Times New Roman"/>
          <w:sz w:val="22"/>
          <w:szCs w:val="22"/>
        </w:rPr>
        <w:t>-</w:t>
      </w:r>
      <w:r w:rsidRPr="00DF1D9A">
        <w:rPr>
          <w:rFonts w:ascii="Times New Roman" w:hAnsi="Times New Roman" w:cs="Times New Roman"/>
          <w:sz w:val="22"/>
          <w:szCs w:val="22"/>
        </w:rPr>
        <w:t xml:space="preserve">confidence temporal trajectories. In contrast, TC-seq applies unsupervised single-pass clustering to assign genes to temporal expression clusters. (B) WT forelimb TC-seq clusters (k = 13). Z-scored gene expression across E10.5 to E13.5 for each TC-seq cluster. Each line represents the expression profile of an individual gene, with colors indicating membership value (i.e., the strength of a gene’s association with a given cluster). Higher membership values denote stronger cluster assignment. (C) Pearson correlation analysis between TC-seq and WATER trajectories. The highest correlation for each TC-seq cluster is indicated by (*). Correlation values were used to match TC-seq and WATER trajectories. Red dashed boxes indicate WATER trajectories that lack a confident TC-seq match. (D) Overall trajectory </w:t>
      </w:r>
      <w:r>
        <w:rPr>
          <w:rFonts w:ascii="Times New Roman" w:hAnsi="Times New Roman" w:cs="Times New Roman"/>
          <w:sz w:val="22"/>
          <w:szCs w:val="22"/>
        </w:rPr>
        <w:t>agreement</w:t>
      </w:r>
      <w:r w:rsidRPr="00DF1D9A">
        <w:rPr>
          <w:rFonts w:ascii="Times New Roman" w:hAnsi="Times New Roman" w:cs="Times New Roman"/>
          <w:sz w:val="22"/>
          <w:szCs w:val="22"/>
        </w:rPr>
        <w:t xml:space="preserve"> between TC-seq and WATER shows most genes (7,948 genes; 71.3%) are concordant between the two methods. Conversely, 28.7% (3,193 genes) were discordant between TC-seq and WATER. (E) Confusion matrix showing gene overlap between TC-seq clusters and WATER trajectories. Numbers indicate the number of genes per comparison; empty boxes denote no genes in that category. Heatmap coloring was scaled per column (green, many genes; white, no genes). Gene sets considered discordant between the two methods are colored in blue. (F) Representative expression trajectories for two genes, Sall3 and Col2a1, whose trajectories are concordant between WATER and TC-seq. Plots compare the mean WATER (solid line) and TC-seq (dashed line) trajectory profiles for the cluster assigned to each gene, with the observed gene expression overlaid (green line). (G) Confusion matrix for WATER trajectories lacking a confident TC-seq match, highlighting the distribution of these genes across multiple TC-seq clusters. Numbers indicate the number of genes per comparison; empty boxes denote no genes in that category. Heatmap coloring was scaled per column (green, many genes; white, no genes). Gene sets considered discordant between the two methods are colored in blue. (H) Representative expression trajectories for Hoxd9 and Actb, whose trajectories are discordant between WATER and TC-seq. Plots compare the mean WATER (solid line) and TC-seq (dashed line) trajectory profiles for the cluster assigned to each gene, with the observed gene expression overlaid (green line). (I) Distribution of low</w:t>
      </w:r>
      <w:r>
        <w:rPr>
          <w:rFonts w:ascii="Times New Roman" w:hAnsi="Times New Roman" w:cs="Times New Roman"/>
          <w:sz w:val="22"/>
          <w:szCs w:val="22"/>
        </w:rPr>
        <w:t>-</w:t>
      </w:r>
      <w:r w:rsidRPr="00DF1D9A">
        <w:rPr>
          <w:rFonts w:ascii="Times New Roman" w:hAnsi="Times New Roman" w:cs="Times New Roman"/>
          <w:sz w:val="22"/>
          <w:szCs w:val="22"/>
        </w:rPr>
        <w:t>confidence genes across TC-seq trajectories, highlighting the TC-seq clustering of genes flagged as low</w:t>
      </w:r>
      <w:r>
        <w:rPr>
          <w:rFonts w:ascii="Times New Roman" w:hAnsi="Times New Roman" w:cs="Times New Roman"/>
          <w:sz w:val="22"/>
          <w:szCs w:val="22"/>
        </w:rPr>
        <w:t>-</w:t>
      </w:r>
      <w:r w:rsidRPr="00DF1D9A">
        <w:rPr>
          <w:rFonts w:ascii="Times New Roman" w:hAnsi="Times New Roman" w:cs="Times New Roman"/>
          <w:sz w:val="22"/>
          <w:szCs w:val="22"/>
        </w:rPr>
        <w:t xml:space="preserve">confidence by WATER. </w:t>
      </w:r>
    </w:p>
    <w:p w14:paraId="2BE5042D" w14:textId="77777777" w:rsidR="00FA5D9B" w:rsidRPr="00DF1D9A" w:rsidRDefault="00FA5D9B" w:rsidP="00FA5D9B">
      <w:pPr>
        <w:rPr>
          <w:rFonts w:ascii="Times New Roman" w:hAnsi="Times New Roman" w:cs="Times New Roman"/>
          <w:sz w:val="22"/>
          <w:szCs w:val="22"/>
        </w:rPr>
      </w:pPr>
      <w:r w:rsidRPr="00DF1D9A">
        <w:rPr>
          <w:rFonts w:ascii="Times New Roman" w:hAnsi="Times New Roman" w:cs="Times New Roman"/>
          <w:sz w:val="22"/>
          <w:szCs w:val="22"/>
        </w:rPr>
        <w:br w:type="page"/>
      </w:r>
    </w:p>
    <w:p w14:paraId="0BDDEFF2" w14:textId="77777777" w:rsidR="00FA5D9B" w:rsidRPr="00DF1D9A" w:rsidRDefault="00FA5D9B" w:rsidP="00FA5D9B">
      <w:pPr>
        <w:rPr>
          <w:rFonts w:ascii="Times New Roman" w:hAnsi="Times New Roman" w:cs="Times New Roman"/>
          <w:b/>
          <w:bCs/>
          <w:sz w:val="22"/>
          <w:szCs w:val="22"/>
        </w:rPr>
      </w:pPr>
      <w:r>
        <w:rPr>
          <w:rFonts w:ascii="Times New Roman" w:hAnsi="Times New Roman" w:cs="Times New Roman"/>
          <w:b/>
          <w:bCs/>
          <w:noProof/>
          <w:sz w:val="22"/>
          <w:szCs w:val="22"/>
        </w:rPr>
        <w:lastRenderedPageBreak/>
        <w:drawing>
          <wp:inline distT="0" distB="0" distL="0" distR="0" wp14:anchorId="270EC550" wp14:editId="7CB4571D">
            <wp:extent cx="6858000" cy="8578215"/>
            <wp:effectExtent l="0" t="0" r="0" b="0"/>
            <wp:docPr id="633455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8578215"/>
                    </a:xfrm>
                    <a:prstGeom prst="rect">
                      <a:avLst/>
                    </a:prstGeom>
                    <a:noFill/>
                    <a:ln>
                      <a:noFill/>
                    </a:ln>
                  </pic:spPr>
                </pic:pic>
              </a:graphicData>
            </a:graphic>
          </wp:inline>
        </w:drawing>
      </w:r>
      <w:r w:rsidRPr="00DF1D9A">
        <w:rPr>
          <w:rFonts w:ascii="Times New Roman" w:hAnsi="Times New Roman" w:cs="Times New Roman"/>
          <w:b/>
          <w:bCs/>
          <w:sz w:val="22"/>
          <w:szCs w:val="22"/>
        </w:rPr>
        <w:br w:type="page"/>
      </w:r>
    </w:p>
    <w:p w14:paraId="5C4AC6DE" w14:textId="77777777" w:rsidR="00FA5D9B" w:rsidRPr="00CD2C27" w:rsidRDefault="00FA5D9B" w:rsidP="00FA5D9B">
      <w:pPr>
        <w:jc w:val="both"/>
        <w:rPr>
          <w:rFonts w:ascii="Times New Roman" w:hAnsi="Times New Roman" w:cs="Times New Roman"/>
          <w:sz w:val="22"/>
          <w:szCs w:val="22"/>
        </w:rPr>
      </w:pPr>
      <w:r w:rsidRPr="00DF1D9A">
        <w:rPr>
          <w:rFonts w:ascii="Times New Roman" w:hAnsi="Times New Roman" w:cs="Times New Roman"/>
          <w:b/>
          <w:bCs/>
          <w:sz w:val="22"/>
          <w:szCs w:val="22"/>
        </w:rPr>
        <w:lastRenderedPageBreak/>
        <w:t xml:space="preserve">Supplementary Figure 7. </w:t>
      </w:r>
      <w:r>
        <w:rPr>
          <w:rFonts w:ascii="Times New Roman" w:hAnsi="Times New Roman" w:cs="Times New Roman"/>
          <w:b/>
          <w:bCs/>
          <w:sz w:val="22"/>
          <w:szCs w:val="22"/>
        </w:rPr>
        <w:t xml:space="preserve">TC-seq recovers most mutant forelimb trajectories but incompletely captures WATER-defined trajectory shifts. </w:t>
      </w:r>
      <w:r w:rsidRPr="00DF1D9A">
        <w:rPr>
          <w:rFonts w:ascii="Times New Roman" w:hAnsi="Times New Roman" w:cs="Times New Roman"/>
          <w:sz w:val="22"/>
          <w:szCs w:val="22"/>
        </w:rPr>
        <w:t>(</w:t>
      </w:r>
      <w:r>
        <w:rPr>
          <w:rFonts w:ascii="Times New Roman" w:hAnsi="Times New Roman" w:cs="Times New Roman"/>
          <w:sz w:val="22"/>
          <w:szCs w:val="22"/>
        </w:rPr>
        <w:t>A</w:t>
      </w:r>
      <w:r w:rsidRPr="00DF1D9A">
        <w:rPr>
          <w:rFonts w:ascii="Times New Roman" w:hAnsi="Times New Roman" w:cs="Times New Roman"/>
          <w:sz w:val="22"/>
          <w:szCs w:val="22"/>
        </w:rPr>
        <w:t xml:space="preserve">) </w:t>
      </w:r>
      <w:r>
        <w:rPr>
          <w:rFonts w:ascii="Times New Roman" w:hAnsi="Times New Roman" w:cs="Times New Roman"/>
          <w:sz w:val="22"/>
          <w:szCs w:val="22"/>
        </w:rPr>
        <w:t>MUT</w:t>
      </w:r>
      <w:r w:rsidRPr="00DF1D9A">
        <w:rPr>
          <w:rFonts w:ascii="Times New Roman" w:hAnsi="Times New Roman" w:cs="Times New Roman"/>
          <w:sz w:val="22"/>
          <w:szCs w:val="22"/>
        </w:rPr>
        <w:t xml:space="preserve"> forelimb TC-seq clusters (k = 13). Z-scored gene expression across E10.5 to E13.5 for each TC-seq cluster. Each line represents the expression profile of an individual gene, with colors indicating membership value (i.e., the strength of a gene’s association with a given cluster). Higher membership values denote stronger cluster assignment.</w:t>
      </w:r>
      <w:r>
        <w:rPr>
          <w:rFonts w:ascii="Times New Roman" w:hAnsi="Times New Roman" w:cs="Times New Roman"/>
          <w:sz w:val="22"/>
          <w:szCs w:val="22"/>
        </w:rPr>
        <w:t xml:space="preserve"> </w:t>
      </w:r>
      <w:r w:rsidRPr="00DF1D9A">
        <w:rPr>
          <w:rFonts w:ascii="Times New Roman" w:hAnsi="Times New Roman" w:cs="Times New Roman"/>
          <w:sz w:val="22"/>
          <w:szCs w:val="22"/>
        </w:rPr>
        <w:t>(</w:t>
      </w:r>
      <w:r>
        <w:rPr>
          <w:rFonts w:ascii="Times New Roman" w:hAnsi="Times New Roman" w:cs="Times New Roman"/>
          <w:sz w:val="22"/>
          <w:szCs w:val="22"/>
        </w:rPr>
        <w:t>B</w:t>
      </w:r>
      <w:r w:rsidRPr="00DF1D9A">
        <w:rPr>
          <w:rFonts w:ascii="Times New Roman" w:hAnsi="Times New Roman" w:cs="Times New Roman"/>
          <w:sz w:val="22"/>
          <w:szCs w:val="22"/>
        </w:rPr>
        <w:t>) Pearson correlation analysis between TC-seq and WATER trajectories. The highest correlation for each TC-seq cluster is indicated by (*). Correlation values were used to match TC-seq and WATER trajectories. Red dashed boxes indicate WATER trajectories that lack a confident TC-seq match.</w:t>
      </w:r>
      <w:r>
        <w:rPr>
          <w:rFonts w:ascii="Times New Roman" w:hAnsi="Times New Roman" w:cs="Times New Roman"/>
          <w:sz w:val="22"/>
          <w:szCs w:val="22"/>
        </w:rPr>
        <w:t xml:space="preserve"> (C) Overall comparison of mutant trajectory assignments between TC-seq and WATER. Genes were classified as concordant when the TC-seq-derived trajectory assignment matched the WATER trajectory assignment and discordant when the assignments differed. (D) Plotting WT only genes captured by TC-seq and their corresponding mutant expression. Genes undergoing the most common trajectory shift are colored according to their mutant trajectory. Grey lines represent the expression of all other genes in the WT only category that have shifted in the mutant but do not belong to the dominant shift category. Trajectories that were detected by WATER but not by TC-seq have been noted. (E) Gene ontology enrichment analysis of select WT-to-MUT trajectory shifts as detected by TC-seq. </w:t>
      </w:r>
      <w:r w:rsidRPr="00DF1D9A">
        <w:rPr>
          <w:rFonts w:ascii="Times New Roman" w:hAnsi="Times New Roman" w:cs="Times New Roman"/>
          <w:sz w:val="22"/>
          <w:szCs w:val="22"/>
        </w:rPr>
        <w:t>Bars represent significantly enriched GO terms (BP, CC, MF; adjusted p &lt; 0.05), with bar length indicating the log10(adjusted p-value) and numbers denoting the number of genes underlying enrichment of each term</w:t>
      </w:r>
      <w:r>
        <w:rPr>
          <w:rFonts w:ascii="Times New Roman" w:hAnsi="Times New Roman" w:cs="Times New Roman"/>
          <w:sz w:val="22"/>
          <w:szCs w:val="22"/>
        </w:rPr>
        <w:t xml:space="preserve">. Red terms denote GO terms also observed for the same trajectory shift using WATER. (F) Overall agreement of gene-level WT-to-MUT trajectory shifts between TC-seq and WATER. </w:t>
      </w:r>
    </w:p>
    <w:p w14:paraId="3BBC1614" w14:textId="77777777" w:rsidR="00FA5D9B" w:rsidRPr="00DF1D9A" w:rsidRDefault="00FA5D9B" w:rsidP="00FA5D9B">
      <w:pPr>
        <w:rPr>
          <w:rFonts w:ascii="Times New Roman" w:hAnsi="Times New Roman" w:cs="Times New Roman"/>
          <w:b/>
          <w:bCs/>
          <w:sz w:val="22"/>
          <w:szCs w:val="22"/>
        </w:rPr>
      </w:pPr>
      <w:r w:rsidRPr="00DF1D9A">
        <w:rPr>
          <w:rFonts w:ascii="Times New Roman" w:hAnsi="Times New Roman" w:cs="Times New Roman"/>
          <w:b/>
          <w:bCs/>
          <w:sz w:val="22"/>
          <w:szCs w:val="22"/>
        </w:rPr>
        <w:br w:type="page"/>
      </w:r>
    </w:p>
    <w:p w14:paraId="39A7D887" w14:textId="77777777" w:rsidR="00FA5D9B" w:rsidRPr="00DF1D9A" w:rsidRDefault="00FA5D9B" w:rsidP="00FA5D9B">
      <w:pPr>
        <w:rPr>
          <w:rFonts w:ascii="Times New Roman" w:hAnsi="Times New Roman" w:cs="Times New Roman"/>
          <w:b/>
          <w:bCs/>
          <w:sz w:val="22"/>
          <w:szCs w:val="22"/>
        </w:rPr>
      </w:pPr>
      <w:r w:rsidRPr="00DF1D9A">
        <w:rPr>
          <w:rFonts w:ascii="Times New Roman" w:hAnsi="Times New Roman" w:cs="Times New Roman"/>
          <w:noProof/>
          <w:sz w:val="22"/>
          <w:szCs w:val="22"/>
        </w:rPr>
        <w:lastRenderedPageBreak/>
        <w:drawing>
          <wp:inline distT="0" distB="0" distL="0" distR="0" wp14:anchorId="2D7EF78F" wp14:editId="7AEC04E2">
            <wp:extent cx="6858000" cy="8783955"/>
            <wp:effectExtent l="0" t="0" r="0" b="0"/>
            <wp:docPr id="13500442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8783955"/>
                    </a:xfrm>
                    <a:prstGeom prst="rect">
                      <a:avLst/>
                    </a:prstGeom>
                    <a:noFill/>
                    <a:ln>
                      <a:noFill/>
                    </a:ln>
                  </pic:spPr>
                </pic:pic>
              </a:graphicData>
            </a:graphic>
          </wp:inline>
        </w:drawing>
      </w:r>
      <w:r w:rsidRPr="00DF1D9A">
        <w:rPr>
          <w:rFonts w:ascii="Times New Roman" w:hAnsi="Times New Roman" w:cs="Times New Roman"/>
          <w:b/>
          <w:bCs/>
          <w:sz w:val="22"/>
          <w:szCs w:val="22"/>
        </w:rPr>
        <w:br w:type="page"/>
      </w:r>
    </w:p>
    <w:p w14:paraId="772A9605" w14:textId="77777777" w:rsidR="00FA5D9B" w:rsidRPr="00DF1D9A" w:rsidRDefault="00FA5D9B" w:rsidP="00FA5D9B">
      <w:pPr>
        <w:jc w:val="both"/>
        <w:rPr>
          <w:rFonts w:ascii="Times New Roman" w:hAnsi="Times New Roman" w:cs="Times New Roman"/>
          <w:sz w:val="22"/>
          <w:szCs w:val="22"/>
        </w:rPr>
      </w:pPr>
      <w:r w:rsidRPr="00DF1D9A">
        <w:rPr>
          <w:rFonts w:ascii="Times New Roman" w:hAnsi="Times New Roman" w:cs="Times New Roman"/>
          <w:b/>
          <w:bCs/>
          <w:sz w:val="22"/>
          <w:szCs w:val="22"/>
        </w:rPr>
        <w:lastRenderedPageBreak/>
        <w:t xml:space="preserve">Supplementary Figure 8. Loss of Eed in mouse embryonic stem cells results in shifts in transcriptional trajectories that regulate pluripotency and differentiation. </w:t>
      </w:r>
      <w:r w:rsidRPr="00DF1D9A">
        <w:rPr>
          <w:rFonts w:ascii="Times New Roman" w:hAnsi="Times New Roman" w:cs="Times New Roman"/>
          <w:sz w:val="22"/>
          <w:szCs w:val="22"/>
        </w:rPr>
        <w:t>(A) Expression of</w:t>
      </w:r>
      <w:r w:rsidRPr="00DF1D9A">
        <w:rPr>
          <w:rFonts w:ascii="Times New Roman" w:hAnsi="Times New Roman" w:cs="Times New Roman"/>
          <w:i/>
          <w:iCs/>
          <w:sz w:val="22"/>
          <w:szCs w:val="22"/>
        </w:rPr>
        <w:t xml:space="preserve"> Eed</w:t>
      </w:r>
      <w:r w:rsidRPr="00DF1D9A">
        <w:rPr>
          <w:rFonts w:ascii="Times New Roman" w:hAnsi="Times New Roman" w:cs="Times New Roman"/>
          <w:sz w:val="22"/>
          <w:szCs w:val="22"/>
        </w:rPr>
        <w:t xml:space="preserve"> across time (0, 12, 24, 48, 96 hr) in WT and Eed-KO mouse embryonic stem cells. Points represent individual replicates; lines indicate mean expression (TPM). </w:t>
      </w:r>
      <w:r w:rsidRPr="00DF1D9A">
        <w:rPr>
          <w:rFonts w:ascii="Times New Roman" w:hAnsi="Times New Roman" w:cs="Times New Roman"/>
          <w:i/>
          <w:iCs/>
          <w:sz w:val="22"/>
          <w:szCs w:val="22"/>
        </w:rPr>
        <w:t>Eed</w:t>
      </w:r>
      <w:r w:rsidRPr="00DF1D9A">
        <w:rPr>
          <w:rFonts w:ascii="Times New Roman" w:hAnsi="Times New Roman" w:cs="Times New Roman"/>
          <w:sz w:val="22"/>
          <w:szCs w:val="22"/>
        </w:rPr>
        <w:t xml:space="preserve"> expression is dramatically reduced in KO cells across all timepoints. (B) GO enrichment analysis of WT trajectories. Terms are grouped by trajectory. Bar length indicates significance (-log10 adjusted p-value), and numbers indicate gene count per term. (B’) Colored boxes indicate whether the same GO term is present in the corresponding Eed-KO trajectories or shifted to different temporal programs. (C-D) Representative expression trajectories illustrate altered temporal dynamics in Eed-KO cells. (C) </w:t>
      </w:r>
      <w:r w:rsidRPr="00DF1D9A">
        <w:rPr>
          <w:rFonts w:ascii="Times New Roman" w:hAnsi="Times New Roman" w:cs="Times New Roman"/>
          <w:i/>
          <w:iCs/>
          <w:sz w:val="22"/>
          <w:szCs w:val="22"/>
        </w:rPr>
        <w:t>Bmp7</w:t>
      </w:r>
      <w:r w:rsidRPr="00DF1D9A">
        <w:rPr>
          <w:rFonts w:ascii="Times New Roman" w:hAnsi="Times New Roman" w:cs="Times New Roman"/>
          <w:sz w:val="22"/>
          <w:szCs w:val="22"/>
        </w:rPr>
        <w:t xml:space="preserve"> and (D) </w:t>
      </w:r>
      <w:r w:rsidRPr="00DF1D9A">
        <w:rPr>
          <w:rFonts w:ascii="Times New Roman" w:hAnsi="Times New Roman" w:cs="Times New Roman"/>
          <w:i/>
          <w:iCs/>
          <w:sz w:val="22"/>
          <w:szCs w:val="22"/>
        </w:rPr>
        <w:t>Msx2</w:t>
      </w:r>
      <w:r w:rsidRPr="00DF1D9A">
        <w:rPr>
          <w:rFonts w:ascii="Times New Roman" w:hAnsi="Times New Roman" w:cs="Times New Roman"/>
          <w:sz w:val="22"/>
          <w:szCs w:val="22"/>
        </w:rPr>
        <w:t xml:space="preserve"> show shifted expression patterns in the Eed-KO relative to WT cells. (E) For each WT trajectory (left), z-scored expression trajectories are shown in the Eed-KO (right) for the same gene set. The most frequently reassigned Eed-KO trajectory is highlighted in color, with the number of genes undergoing that shift indicated to the right; all other trajectories are shown in grey. Not all trajectories are shown. (F) GO enrichment analysis for subsets of WT genes that shift to alternative trajectories in the Eed-KO. Bars represent significantly enriched GO terms (BP, CC, MF; adjusted p &lt; 0.05), with bar length indicating the log</w:t>
      </w:r>
      <w:r w:rsidRPr="00DF1D9A">
        <w:rPr>
          <w:rFonts w:ascii="Times New Roman" w:hAnsi="Times New Roman" w:cs="Times New Roman"/>
          <w:sz w:val="22"/>
          <w:szCs w:val="22"/>
          <w:vertAlign w:val="subscript"/>
        </w:rPr>
        <w:t>10</w:t>
      </w:r>
      <w:r w:rsidRPr="00DF1D9A">
        <w:rPr>
          <w:rFonts w:ascii="Times New Roman" w:hAnsi="Times New Roman" w:cs="Times New Roman"/>
          <w:sz w:val="22"/>
          <w:szCs w:val="22"/>
        </w:rPr>
        <w:t xml:space="preserve">(adjusted p-value) and numbers denoting the number of genes underlying enrichment of each term. (G) Top trajectory shifts ranked by the number of genes changing between WT and Eed-KO data. (H-I) Examples of genes not expressed in the WT but aberrantly activated in Eed-KO cells at specific timepoints. (H) </w:t>
      </w:r>
      <w:r w:rsidRPr="00DF1D9A">
        <w:rPr>
          <w:rFonts w:ascii="Times New Roman" w:hAnsi="Times New Roman" w:cs="Times New Roman"/>
          <w:i/>
          <w:iCs/>
          <w:sz w:val="22"/>
          <w:szCs w:val="22"/>
        </w:rPr>
        <w:t>Msx1</w:t>
      </w:r>
      <w:r w:rsidRPr="00DF1D9A">
        <w:rPr>
          <w:rFonts w:ascii="Times New Roman" w:hAnsi="Times New Roman" w:cs="Times New Roman"/>
          <w:sz w:val="22"/>
          <w:szCs w:val="22"/>
        </w:rPr>
        <w:t xml:space="preserve"> and (I) </w:t>
      </w:r>
      <w:r w:rsidRPr="00DF1D9A">
        <w:rPr>
          <w:rFonts w:ascii="Times New Roman" w:hAnsi="Times New Roman" w:cs="Times New Roman"/>
          <w:i/>
          <w:iCs/>
          <w:sz w:val="22"/>
          <w:szCs w:val="22"/>
        </w:rPr>
        <w:t>Dlx3</w:t>
      </w:r>
      <w:r w:rsidRPr="00DF1D9A">
        <w:rPr>
          <w:rFonts w:ascii="Times New Roman" w:hAnsi="Times New Roman" w:cs="Times New Roman"/>
          <w:sz w:val="22"/>
          <w:szCs w:val="22"/>
        </w:rPr>
        <w:t xml:space="preserve"> illustrate activation in KO cells. </w:t>
      </w:r>
    </w:p>
    <w:p w14:paraId="37CA3BFF" w14:textId="77777777" w:rsidR="00FA5D9B" w:rsidRPr="00DF1D9A" w:rsidRDefault="00FA5D9B" w:rsidP="00FA5D9B">
      <w:pPr>
        <w:rPr>
          <w:rFonts w:ascii="Times New Roman" w:hAnsi="Times New Roman" w:cs="Times New Roman"/>
          <w:b/>
          <w:bCs/>
          <w:sz w:val="22"/>
          <w:szCs w:val="22"/>
        </w:rPr>
      </w:pPr>
      <w:r>
        <w:rPr>
          <w:rFonts w:ascii="Times New Roman" w:hAnsi="Times New Roman" w:cs="Times New Roman"/>
          <w:b/>
          <w:bCs/>
          <w:sz w:val="22"/>
          <w:szCs w:val="22"/>
        </w:rPr>
        <w:br w:type="page"/>
      </w:r>
    </w:p>
    <w:p w14:paraId="646C7AFA" w14:textId="77777777" w:rsidR="00FA5D9B" w:rsidRPr="00DF1D9A" w:rsidRDefault="00FA5D9B" w:rsidP="00FA5D9B">
      <w:pPr>
        <w:rPr>
          <w:rFonts w:ascii="Times New Roman" w:hAnsi="Times New Roman" w:cs="Times New Roman"/>
          <w:b/>
          <w:bCs/>
          <w:sz w:val="22"/>
          <w:szCs w:val="22"/>
        </w:rPr>
      </w:pPr>
      <w:r w:rsidRPr="00DF1D9A">
        <w:rPr>
          <w:rFonts w:ascii="Times New Roman" w:hAnsi="Times New Roman" w:cs="Times New Roman"/>
          <w:b/>
          <w:bCs/>
          <w:sz w:val="22"/>
          <w:szCs w:val="22"/>
        </w:rPr>
        <w:lastRenderedPageBreak/>
        <w:t>Supplementary Tables</w:t>
      </w:r>
    </w:p>
    <w:p w14:paraId="30B6C4C1" w14:textId="77777777" w:rsidR="00FA5D9B" w:rsidRDefault="00FA5D9B" w:rsidP="00FA5D9B">
      <w:pPr>
        <w:jc w:val="both"/>
        <w:rPr>
          <w:rFonts w:ascii="Times New Roman" w:hAnsi="Times New Roman" w:cs="Times New Roman"/>
          <w:b/>
          <w:bCs/>
        </w:rPr>
      </w:pPr>
      <w:r w:rsidRPr="00B3336C">
        <w:rPr>
          <w:rFonts w:ascii="Times New Roman" w:hAnsi="Times New Roman" w:cs="Times New Roman"/>
          <w:b/>
          <w:bCs/>
        </w:rPr>
        <w:t>Table S</w:t>
      </w:r>
      <w:r>
        <w:rPr>
          <w:rFonts w:ascii="Times New Roman" w:hAnsi="Times New Roman" w:cs="Times New Roman"/>
          <w:b/>
          <w:bCs/>
        </w:rPr>
        <w:t>1</w:t>
      </w:r>
      <w:r w:rsidRPr="00B3336C">
        <w:rPr>
          <w:rFonts w:ascii="Times New Roman" w:hAnsi="Times New Roman" w:cs="Times New Roman"/>
          <w:b/>
          <w:bCs/>
        </w:rPr>
        <w:t xml:space="preserve">. </w:t>
      </w:r>
      <w:r>
        <w:rPr>
          <w:rFonts w:ascii="Times New Roman" w:hAnsi="Times New Roman" w:cs="Times New Roman"/>
          <w:b/>
          <w:bCs/>
        </w:rPr>
        <w:t>Primer sequences for RNA probe generation,</w:t>
      </w:r>
      <w:r w:rsidRPr="00B3336C">
        <w:rPr>
          <w:rFonts w:ascii="Times New Roman" w:hAnsi="Times New Roman" w:cs="Times New Roman"/>
          <w:b/>
          <w:bCs/>
        </w:rPr>
        <w:t xml:space="preserve"> related to Figure </w:t>
      </w:r>
      <w:r>
        <w:rPr>
          <w:rFonts w:ascii="Times New Roman" w:hAnsi="Times New Roman" w:cs="Times New Roman"/>
          <w:b/>
          <w:bCs/>
        </w:rPr>
        <w:t>2.</w:t>
      </w:r>
    </w:p>
    <w:tbl>
      <w:tblPr>
        <w:tblStyle w:val="TableGrid"/>
        <w:tblW w:w="10345" w:type="dxa"/>
        <w:jc w:val="center"/>
        <w:tblLayout w:type="fixed"/>
        <w:tblLook w:val="04A0" w:firstRow="1" w:lastRow="0" w:firstColumn="1" w:lastColumn="0" w:noHBand="0" w:noVBand="1"/>
      </w:tblPr>
      <w:tblGrid>
        <w:gridCol w:w="985"/>
        <w:gridCol w:w="1232"/>
        <w:gridCol w:w="3988"/>
        <w:gridCol w:w="3330"/>
        <w:gridCol w:w="810"/>
      </w:tblGrid>
      <w:tr w:rsidR="00FA5D9B" w14:paraId="4180C107" w14:textId="77777777" w:rsidTr="00BB448C">
        <w:trPr>
          <w:jc w:val="center"/>
        </w:trPr>
        <w:tc>
          <w:tcPr>
            <w:tcW w:w="985" w:type="dxa"/>
          </w:tcPr>
          <w:p w14:paraId="6EA6E438" w14:textId="77777777" w:rsidR="00FA5D9B" w:rsidRDefault="00FA5D9B" w:rsidP="00BB448C">
            <w:pPr>
              <w:jc w:val="both"/>
              <w:rPr>
                <w:rFonts w:ascii="Times New Roman" w:hAnsi="Times New Roman" w:cs="Times New Roman"/>
                <w:b/>
                <w:bCs/>
              </w:rPr>
            </w:pPr>
            <w:r>
              <w:rPr>
                <w:rFonts w:ascii="Times New Roman" w:hAnsi="Times New Roman" w:cs="Times New Roman"/>
                <w:b/>
                <w:bCs/>
              </w:rPr>
              <w:t>Gene</w:t>
            </w:r>
          </w:p>
        </w:tc>
        <w:tc>
          <w:tcPr>
            <w:tcW w:w="1232" w:type="dxa"/>
          </w:tcPr>
          <w:p w14:paraId="138E3CD2" w14:textId="77777777" w:rsidR="00FA5D9B" w:rsidRDefault="00FA5D9B" w:rsidP="00BB448C">
            <w:pPr>
              <w:jc w:val="both"/>
              <w:rPr>
                <w:rFonts w:ascii="Times New Roman" w:hAnsi="Times New Roman" w:cs="Times New Roman"/>
                <w:b/>
                <w:bCs/>
              </w:rPr>
            </w:pPr>
            <w:r>
              <w:rPr>
                <w:rFonts w:ascii="Times New Roman" w:hAnsi="Times New Roman" w:cs="Times New Roman"/>
                <w:b/>
                <w:bCs/>
              </w:rPr>
              <w:t>Strand</w:t>
            </w:r>
          </w:p>
        </w:tc>
        <w:tc>
          <w:tcPr>
            <w:tcW w:w="3988" w:type="dxa"/>
          </w:tcPr>
          <w:p w14:paraId="52BFFD29" w14:textId="77777777" w:rsidR="00FA5D9B" w:rsidRDefault="00FA5D9B" w:rsidP="00BB448C">
            <w:pPr>
              <w:jc w:val="both"/>
              <w:rPr>
                <w:rFonts w:ascii="Times New Roman" w:hAnsi="Times New Roman" w:cs="Times New Roman"/>
                <w:b/>
                <w:bCs/>
              </w:rPr>
            </w:pPr>
            <w:r>
              <w:rPr>
                <w:rFonts w:ascii="Times New Roman" w:hAnsi="Times New Roman" w:cs="Times New Roman"/>
                <w:b/>
                <w:bCs/>
              </w:rPr>
              <w:t>Sequence</w:t>
            </w:r>
          </w:p>
        </w:tc>
        <w:tc>
          <w:tcPr>
            <w:tcW w:w="3330" w:type="dxa"/>
          </w:tcPr>
          <w:p w14:paraId="2A5FE291" w14:textId="77777777" w:rsidR="00FA5D9B" w:rsidRDefault="00FA5D9B" w:rsidP="00BB448C">
            <w:pPr>
              <w:jc w:val="both"/>
              <w:rPr>
                <w:rFonts w:ascii="Times New Roman" w:hAnsi="Times New Roman" w:cs="Times New Roman"/>
                <w:b/>
                <w:bCs/>
              </w:rPr>
            </w:pPr>
            <w:r>
              <w:rPr>
                <w:rFonts w:ascii="Times New Roman" w:hAnsi="Times New Roman" w:cs="Times New Roman"/>
                <w:b/>
                <w:bCs/>
              </w:rPr>
              <w:t>Usage</w:t>
            </w:r>
          </w:p>
        </w:tc>
        <w:tc>
          <w:tcPr>
            <w:tcW w:w="810" w:type="dxa"/>
          </w:tcPr>
          <w:p w14:paraId="3B8391E5" w14:textId="77777777" w:rsidR="00FA5D9B" w:rsidRDefault="00FA5D9B" w:rsidP="00BB448C">
            <w:pPr>
              <w:jc w:val="both"/>
              <w:rPr>
                <w:rFonts w:ascii="Times New Roman" w:hAnsi="Times New Roman" w:cs="Times New Roman"/>
                <w:b/>
                <w:bCs/>
              </w:rPr>
            </w:pPr>
            <w:r>
              <w:rPr>
                <w:rFonts w:ascii="Times New Roman" w:hAnsi="Times New Roman" w:cs="Times New Roman"/>
                <w:b/>
                <w:bCs/>
              </w:rPr>
              <w:t>Fig.</w:t>
            </w:r>
          </w:p>
        </w:tc>
      </w:tr>
      <w:tr w:rsidR="00FA5D9B" w14:paraId="317A9B80" w14:textId="77777777" w:rsidTr="00BB448C">
        <w:trPr>
          <w:jc w:val="center"/>
        </w:trPr>
        <w:tc>
          <w:tcPr>
            <w:tcW w:w="985" w:type="dxa"/>
            <w:vMerge w:val="restart"/>
          </w:tcPr>
          <w:p w14:paraId="037A0449" w14:textId="77777777" w:rsidR="00FA5D9B" w:rsidRPr="00052DFB" w:rsidRDefault="00FA5D9B" w:rsidP="00BB448C">
            <w:pPr>
              <w:jc w:val="both"/>
              <w:rPr>
                <w:rFonts w:ascii="Times New Roman" w:hAnsi="Times New Roman" w:cs="Times New Roman"/>
              </w:rPr>
            </w:pPr>
            <w:r w:rsidRPr="00052DFB">
              <w:rPr>
                <w:rFonts w:ascii="Times New Roman" w:hAnsi="Times New Roman" w:cs="Times New Roman"/>
              </w:rPr>
              <w:t>Fgf8</w:t>
            </w:r>
          </w:p>
        </w:tc>
        <w:tc>
          <w:tcPr>
            <w:tcW w:w="1232" w:type="dxa"/>
          </w:tcPr>
          <w:p w14:paraId="7B0316B8" w14:textId="77777777" w:rsidR="00FA5D9B" w:rsidRPr="00052DFB" w:rsidRDefault="00FA5D9B" w:rsidP="00BB448C">
            <w:pPr>
              <w:jc w:val="both"/>
              <w:rPr>
                <w:rFonts w:ascii="Times New Roman" w:hAnsi="Times New Roman" w:cs="Times New Roman"/>
              </w:rPr>
            </w:pPr>
            <w:r w:rsidRPr="00052DFB">
              <w:rPr>
                <w:rFonts w:ascii="Times New Roman" w:hAnsi="Times New Roman" w:cs="Times New Roman"/>
              </w:rPr>
              <w:t>Fwd</w:t>
            </w:r>
          </w:p>
        </w:tc>
        <w:tc>
          <w:tcPr>
            <w:tcW w:w="3988" w:type="dxa"/>
          </w:tcPr>
          <w:p w14:paraId="408B8582" w14:textId="77777777" w:rsidR="00FA5D9B" w:rsidRPr="00052DFB" w:rsidRDefault="00FA5D9B" w:rsidP="00BB448C">
            <w:pPr>
              <w:jc w:val="both"/>
              <w:rPr>
                <w:rFonts w:ascii="Times New Roman" w:hAnsi="Times New Roman" w:cs="Times New Roman"/>
              </w:rPr>
            </w:pPr>
            <w:r w:rsidRPr="00EA2C95">
              <w:rPr>
                <w:rFonts w:ascii="Times New Roman" w:hAnsi="Times New Roman" w:cs="Times New Roman"/>
              </w:rPr>
              <w:t>CAGGTCCTGGCCAACAAG</w:t>
            </w:r>
          </w:p>
        </w:tc>
        <w:tc>
          <w:tcPr>
            <w:tcW w:w="3330" w:type="dxa"/>
            <w:vMerge w:val="restart"/>
          </w:tcPr>
          <w:p w14:paraId="438D9F06" w14:textId="77777777" w:rsidR="00FA5D9B" w:rsidRPr="00052DFB" w:rsidRDefault="00FA5D9B" w:rsidP="00BB448C">
            <w:pPr>
              <w:jc w:val="both"/>
              <w:rPr>
                <w:rFonts w:ascii="Times New Roman" w:hAnsi="Times New Roman" w:cs="Times New Roman"/>
              </w:rPr>
            </w:pPr>
            <w:r w:rsidRPr="00052DFB">
              <w:rPr>
                <w:rFonts w:ascii="Times New Roman" w:hAnsi="Times New Roman" w:cs="Times New Roman"/>
              </w:rPr>
              <w:t>In situ probe preparation</w:t>
            </w:r>
          </w:p>
        </w:tc>
        <w:tc>
          <w:tcPr>
            <w:tcW w:w="810" w:type="dxa"/>
            <w:vMerge w:val="restart"/>
          </w:tcPr>
          <w:p w14:paraId="2B1A7801" w14:textId="77777777" w:rsidR="00FA5D9B" w:rsidRPr="00052DFB" w:rsidRDefault="00FA5D9B" w:rsidP="00BB448C">
            <w:pPr>
              <w:jc w:val="both"/>
              <w:rPr>
                <w:rFonts w:ascii="Times New Roman" w:hAnsi="Times New Roman" w:cs="Times New Roman"/>
              </w:rPr>
            </w:pPr>
            <w:r>
              <w:rPr>
                <w:rFonts w:ascii="Times New Roman" w:hAnsi="Times New Roman" w:cs="Times New Roman"/>
              </w:rPr>
              <w:t>2G</w:t>
            </w:r>
          </w:p>
        </w:tc>
      </w:tr>
      <w:tr w:rsidR="00FA5D9B" w14:paraId="470B2C45" w14:textId="77777777" w:rsidTr="00BB448C">
        <w:trPr>
          <w:jc w:val="center"/>
        </w:trPr>
        <w:tc>
          <w:tcPr>
            <w:tcW w:w="985" w:type="dxa"/>
            <w:vMerge/>
          </w:tcPr>
          <w:p w14:paraId="47AC4EDF" w14:textId="77777777" w:rsidR="00FA5D9B" w:rsidRPr="00052DFB" w:rsidRDefault="00FA5D9B" w:rsidP="00BB448C">
            <w:pPr>
              <w:jc w:val="both"/>
              <w:rPr>
                <w:rFonts w:ascii="Times New Roman" w:hAnsi="Times New Roman" w:cs="Times New Roman"/>
              </w:rPr>
            </w:pPr>
          </w:p>
        </w:tc>
        <w:tc>
          <w:tcPr>
            <w:tcW w:w="1232" w:type="dxa"/>
          </w:tcPr>
          <w:p w14:paraId="385AA4E4" w14:textId="77777777" w:rsidR="00FA5D9B" w:rsidRPr="00052DFB" w:rsidRDefault="00FA5D9B" w:rsidP="00BB448C">
            <w:pPr>
              <w:jc w:val="both"/>
              <w:rPr>
                <w:rFonts w:ascii="Times New Roman" w:hAnsi="Times New Roman" w:cs="Times New Roman"/>
              </w:rPr>
            </w:pPr>
            <w:r w:rsidRPr="00052DFB">
              <w:rPr>
                <w:rFonts w:ascii="Times New Roman" w:hAnsi="Times New Roman" w:cs="Times New Roman"/>
              </w:rPr>
              <w:t>Rvs</w:t>
            </w:r>
          </w:p>
        </w:tc>
        <w:tc>
          <w:tcPr>
            <w:tcW w:w="3988" w:type="dxa"/>
          </w:tcPr>
          <w:p w14:paraId="08749D8B" w14:textId="77777777" w:rsidR="00FA5D9B" w:rsidRPr="00052DFB" w:rsidRDefault="00FA5D9B" w:rsidP="00BB448C">
            <w:pPr>
              <w:jc w:val="both"/>
              <w:rPr>
                <w:rFonts w:ascii="Times New Roman" w:hAnsi="Times New Roman" w:cs="Times New Roman"/>
              </w:rPr>
            </w:pPr>
            <w:r w:rsidRPr="00EA2C95">
              <w:rPr>
                <w:rFonts w:ascii="Times New Roman" w:hAnsi="Times New Roman" w:cs="Times New Roman"/>
              </w:rPr>
              <w:t>AGCTCCCGCTGGATTCCT</w:t>
            </w:r>
          </w:p>
        </w:tc>
        <w:tc>
          <w:tcPr>
            <w:tcW w:w="3330" w:type="dxa"/>
            <w:vMerge/>
          </w:tcPr>
          <w:p w14:paraId="7CCC8162" w14:textId="77777777" w:rsidR="00FA5D9B" w:rsidRPr="00052DFB" w:rsidRDefault="00FA5D9B" w:rsidP="00BB448C">
            <w:pPr>
              <w:jc w:val="both"/>
              <w:rPr>
                <w:rFonts w:ascii="Times New Roman" w:hAnsi="Times New Roman" w:cs="Times New Roman"/>
              </w:rPr>
            </w:pPr>
          </w:p>
        </w:tc>
        <w:tc>
          <w:tcPr>
            <w:tcW w:w="810" w:type="dxa"/>
            <w:vMerge/>
          </w:tcPr>
          <w:p w14:paraId="4C8C8D07" w14:textId="77777777" w:rsidR="00FA5D9B" w:rsidRPr="00052DFB" w:rsidRDefault="00FA5D9B" w:rsidP="00BB448C">
            <w:pPr>
              <w:jc w:val="both"/>
              <w:rPr>
                <w:rFonts w:ascii="Times New Roman" w:hAnsi="Times New Roman" w:cs="Times New Roman"/>
              </w:rPr>
            </w:pPr>
          </w:p>
        </w:tc>
      </w:tr>
    </w:tbl>
    <w:p w14:paraId="12AE2E08" w14:textId="77777777" w:rsidR="00FA5D9B" w:rsidRPr="00DF1D9A" w:rsidRDefault="00FA5D9B" w:rsidP="00FA5D9B">
      <w:pPr>
        <w:rPr>
          <w:rFonts w:ascii="Times New Roman" w:hAnsi="Times New Roman" w:cs="Times New Roman"/>
          <w:b/>
          <w:bCs/>
          <w:sz w:val="22"/>
          <w:szCs w:val="22"/>
        </w:rPr>
      </w:pPr>
      <w:r w:rsidRPr="00DF1D9A">
        <w:rPr>
          <w:rFonts w:ascii="Times New Roman" w:hAnsi="Times New Roman" w:cs="Times New Roman"/>
          <w:b/>
          <w:bCs/>
          <w:sz w:val="22"/>
          <w:szCs w:val="22"/>
        </w:rPr>
        <w:br w:type="page"/>
      </w:r>
    </w:p>
    <w:p w14:paraId="3F28B003" w14:textId="77777777" w:rsidR="00FA5D9B" w:rsidRPr="00DF1D9A" w:rsidRDefault="00FA5D9B" w:rsidP="00FA5D9B">
      <w:pPr>
        <w:rPr>
          <w:rFonts w:ascii="Times New Roman" w:hAnsi="Times New Roman" w:cs="Times New Roman"/>
          <w:b/>
          <w:bCs/>
          <w:sz w:val="22"/>
          <w:szCs w:val="22"/>
        </w:rPr>
      </w:pPr>
      <w:r w:rsidRPr="00DF1D9A">
        <w:rPr>
          <w:rFonts w:ascii="Times New Roman" w:hAnsi="Times New Roman" w:cs="Times New Roman"/>
          <w:b/>
          <w:bCs/>
          <w:sz w:val="22"/>
          <w:szCs w:val="22"/>
        </w:rPr>
        <w:lastRenderedPageBreak/>
        <w:t>Supplementary Datasets</w:t>
      </w:r>
    </w:p>
    <w:p w14:paraId="16F54B65" w14:textId="77777777" w:rsidR="00FA5D9B" w:rsidRDefault="00FA5D9B" w:rsidP="00FA5D9B">
      <w:pPr>
        <w:spacing w:after="200"/>
        <w:jc w:val="both"/>
      </w:pPr>
      <w:r>
        <w:rPr>
          <w:rFonts w:ascii="Times New Roman" w:hAnsi="Times New Roman"/>
          <w:b/>
          <w:sz w:val="20"/>
        </w:rPr>
        <w:t>Data S1.</w:t>
      </w:r>
      <w:r>
        <w:rPr>
          <w:rFonts w:ascii="Times New Roman" w:hAnsi="Times New Roman"/>
          <w:sz w:val="20"/>
        </w:rPr>
        <w:t xml:space="preserve"> Replicate expression and log2 fold-change data from WT and U11 mutant forelimbs across time.</w:t>
      </w:r>
    </w:p>
    <w:p w14:paraId="5B5A0F2C" w14:textId="77777777" w:rsidR="00FA5D9B" w:rsidRDefault="00FA5D9B" w:rsidP="00FA5D9B">
      <w:pPr>
        <w:spacing w:after="200"/>
        <w:jc w:val="both"/>
      </w:pPr>
      <w:r>
        <w:rPr>
          <w:rFonts w:ascii="Times New Roman" w:hAnsi="Times New Roman"/>
          <w:b/>
          <w:sz w:val="20"/>
        </w:rPr>
        <w:t>Data S2.</w:t>
      </w:r>
      <w:r>
        <w:rPr>
          <w:rFonts w:ascii="Times New Roman" w:hAnsi="Times New Roman"/>
          <w:sz w:val="20"/>
        </w:rPr>
        <w:t xml:space="preserve"> WATER trajectories for WT and U11 mutant forelimb datasets.</w:t>
      </w:r>
    </w:p>
    <w:p w14:paraId="2904EEA4" w14:textId="77777777" w:rsidR="00FA5D9B" w:rsidRDefault="00FA5D9B" w:rsidP="00FA5D9B">
      <w:pPr>
        <w:spacing w:after="200"/>
        <w:jc w:val="both"/>
      </w:pPr>
      <w:r>
        <w:rPr>
          <w:rFonts w:ascii="Times New Roman" w:hAnsi="Times New Roman"/>
          <w:b/>
          <w:sz w:val="20"/>
        </w:rPr>
        <w:t>Data S3.</w:t>
      </w:r>
      <w:r>
        <w:rPr>
          <w:rFonts w:ascii="Times New Roman" w:hAnsi="Times New Roman"/>
          <w:sz w:val="20"/>
        </w:rPr>
        <w:t xml:space="preserve"> Functional enrichment results of all WT gene expression trajectories.</w:t>
      </w:r>
    </w:p>
    <w:p w14:paraId="3D43D362" w14:textId="77777777" w:rsidR="00FA5D9B" w:rsidRDefault="00FA5D9B" w:rsidP="00FA5D9B">
      <w:pPr>
        <w:spacing w:after="200"/>
        <w:jc w:val="both"/>
      </w:pPr>
      <w:r>
        <w:rPr>
          <w:rFonts w:ascii="Times New Roman" w:hAnsi="Times New Roman"/>
          <w:b/>
          <w:sz w:val="20"/>
        </w:rPr>
        <w:t>Data S4.</w:t>
      </w:r>
      <w:r>
        <w:rPr>
          <w:rFonts w:ascii="Times New Roman" w:hAnsi="Times New Roman"/>
          <w:sz w:val="20"/>
        </w:rPr>
        <w:t xml:space="preserve"> Functional enrichment results of all U11 mutant gene expression trajectories.</w:t>
      </w:r>
    </w:p>
    <w:p w14:paraId="6E112D37" w14:textId="77777777" w:rsidR="00FA5D9B" w:rsidRDefault="00FA5D9B" w:rsidP="00FA5D9B">
      <w:pPr>
        <w:spacing w:after="200"/>
        <w:jc w:val="both"/>
      </w:pPr>
      <w:r>
        <w:rPr>
          <w:rFonts w:ascii="Times New Roman" w:hAnsi="Times New Roman"/>
          <w:b/>
          <w:sz w:val="20"/>
        </w:rPr>
        <w:t>Data S5.</w:t>
      </w:r>
      <w:r>
        <w:rPr>
          <w:rFonts w:ascii="Times New Roman" w:hAnsi="Times New Roman"/>
          <w:sz w:val="20"/>
        </w:rPr>
        <w:t xml:space="preserve"> Functional enrichment results for all trajectory shift categories between WT and U11 mutant datasets.</w:t>
      </w:r>
    </w:p>
    <w:p w14:paraId="24009649" w14:textId="77777777" w:rsidR="00FA5D9B" w:rsidRDefault="00FA5D9B" w:rsidP="00FA5D9B">
      <w:pPr>
        <w:spacing w:after="200"/>
        <w:jc w:val="both"/>
      </w:pPr>
      <w:r>
        <w:rPr>
          <w:rFonts w:ascii="Times New Roman" w:hAnsi="Times New Roman"/>
          <w:b/>
          <w:sz w:val="20"/>
        </w:rPr>
        <w:t>Data S6.</w:t>
      </w:r>
      <w:r>
        <w:rPr>
          <w:rFonts w:ascii="Times New Roman" w:hAnsi="Times New Roman"/>
          <w:sz w:val="20"/>
        </w:rPr>
        <w:t xml:space="preserve"> WATER trajectories from WT and U11 mutant single-cell RNA-seq data.</w:t>
      </w:r>
    </w:p>
    <w:p w14:paraId="4592395F" w14:textId="77777777" w:rsidR="00FA5D9B" w:rsidRDefault="00FA5D9B" w:rsidP="00FA5D9B">
      <w:pPr>
        <w:spacing w:after="200"/>
        <w:jc w:val="both"/>
      </w:pPr>
      <w:r>
        <w:rPr>
          <w:rFonts w:ascii="Times New Roman" w:hAnsi="Times New Roman"/>
          <w:b/>
          <w:sz w:val="20"/>
        </w:rPr>
        <w:t>Data S7.</w:t>
      </w:r>
      <w:r>
        <w:rPr>
          <w:rFonts w:ascii="Times New Roman" w:hAnsi="Times New Roman"/>
          <w:sz w:val="20"/>
        </w:rPr>
        <w:t xml:space="preserve"> Hierarchical clustering (Hclust) clusters from WT forelimb bulk RNA-seq data.</w:t>
      </w:r>
    </w:p>
    <w:p w14:paraId="15AFDCF6" w14:textId="77777777" w:rsidR="00FA5D9B" w:rsidRDefault="00FA5D9B" w:rsidP="00FA5D9B">
      <w:pPr>
        <w:spacing w:after="200"/>
        <w:jc w:val="both"/>
      </w:pPr>
      <w:r>
        <w:rPr>
          <w:rFonts w:ascii="Times New Roman" w:hAnsi="Times New Roman"/>
          <w:b/>
          <w:sz w:val="20"/>
        </w:rPr>
        <w:t>Data S8.</w:t>
      </w:r>
      <w:r>
        <w:rPr>
          <w:rFonts w:ascii="Times New Roman" w:hAnsi="Times New Roman"/>
          <w:sz w:val="20"/>
        </w:rPr>
        <w:t xml:space="preserve"> TC-seq (Mfuzz) fuzzy clusters from WT and U11 mutant forelimb bulk RNA-seq data.</w:t>
      </w:r>
    </w:p>
    <w:p w14:paraId="16BC8EFA" w14:textId="77777777" w:rsidR="00FA5D9B" w:rsidRDefault="00FA5D9B" w:rsidP="00FA5D9B">
      <w:pPr>
        <w:spacing w:after="200"/>
        <w:jc w:val="both"/>
      </w:pPr>
      <w:r>
        <w:rPr>
          <w:rFonts w:ascii="Times New Roman" w:hAnsi="Times New Roman"/>
          <w:b/>
          <w:sz w:val="20"/>
        </w:rPr>
        <w:t>Data S9.</w:t>
      </w:r>
      <w:r>
        <w:rPr>
          <w:rFonts w:ascii="Times New Roman" w:hAnsi="Times New Roman"/>
          <w:sz w:val="20"/>
        </w:rPr>
        <w:t xml:space="preserve"> TC-seq (k-means) clusters from WT forelimb bulk RNA-seq data.</w:t>
      </w:r>
    </w:p>
    <w:p w14:paraId="5AC5DCD8" w14:textId="77777777" w:rsidR="00FA5D9B" w:rsidRDefault="00FA5D9B" w:rsidP="00FA5D9B">
      <w:pPr>
        <w:spacing w:after="200"/>
        <w:jc w:val="both"/>
      </w:pPr>
      <w:r>
        <w:rPr>
          <w:rFonts w:ascii="Times New Roman" w:hAnsi="Times New Roman"/>
          <w:b/>
          <w:sz w:val="20"/>
        </w:rPr>
        <w:t>Data S10.</w:t>
      </w:r>
      <w:r>
        <w:rPr>
          <w:rFonts w:ascii="Times New Roman" w:hAnsi="Times New Roman"/>
          <w:sz w:val="20"/>
        </w:rPr>
        <w:t xml:space="preserve"> maSigPro results from WT and U11 mutant forelimb bulk RNA-seq data.</w:t>
      </w:r>
    </w:p>
    <w:p w14:paraId="73B62401" w14:textId="77777777" w:rsidR="00FA5D9B" w:rsidRDefault="00FA5D9B" w:rsidP="00FA5D9B">
      <w:pPr>
        <w:spacing w:after="200"/>
        <w:jc w:val="both"/>
      </w:pPr>
      <w:r>
        <w:rPr>
          <w:rFonts w:ascii="Times New Roman" w:hAnsi="Times New Roman"/>
          <w:b/>
          <w:sz w:val="20"/>
        </w:rPr>
        <w:t>Data S11.</w:t>
      </w:r>
      <w:r>
        <w:rPr>
          <w:rFonts w:ascii="Times New Roman" w:hAnsi="Times New Roman"/>
          <w:sz w:val="20"/>
        </w:rPr>
        <w:t xml:space="preserve"> Trendy results from WT and U11 mutant forelimb bulk RNA-seq data.</w:t>
      </w:r>
    </w:p>
    <w:p w14:paraId="2D903CE4" w14:textId="77777777" w:rsidR="00FA5D9B" w:rsidRDefault="00FA5D9B" w:rsidP="00FA5D9B">
      <w:pPr>
        <w:spacing w:after="200"/>
        <w:jc w:val="both"/>
      </w:pPr>
      <w:r>
        <w:rPr>
          <w:rFonts w:ascii="Times New Roman" w:hAnsi="Times New Roman"/>
          <w:b/>
          <w:sz w:val="20"/>
        </w:rPr>
        <w:t>Data S12.</w:t>
      </w:r>
      <w:r>
        <w:rPr>
          <w:rFonts w:ascii="Times New Roman" w:hAnsi="Times New Roman"/>
          <w:sz w:val="20"/>
        </w:rPr>
        <w:t xml:space="preserve"> WATER trajectories for WT mouse forelimb and bat forelimb datasets.</w:t>
      </w:r>
    </w:p>
    <w:p w14:paraId="117CBA7E" w14:textId="77777777" w:rsidR="00FA5D9B" w:rsidRDefault="00FA5D9B" w:rsidP="00FA5D9B">
      <w:pPr>
        <w:spacing w:after="200"/>
        <w:jc w:val="both"/>
      </w:pPr>
      <w:r>
        <w:rPr>
          <w:rFonts w:ascii="Times New Roman" w:hAnsi="Times New Roman"/>
          <w:b/>
          <w:sz w:val="20"/>
        </w:rPr>
        <w:t>Data S13.</w:t>
      </w:r>
      <w:r>
        <w:rPr>
          <w:rFonts w:ascii="Times New Roman" w:hAnsi="Times New Roman"/>
          <w:sz w:val="20"/>
        </w:rPr>
        <w:t xml:space="preserve"> WATER trajectories for WT and Eed-KO mouse embryonic stem cell datasets.</w:t>
      </w:r>
    </w:p>
    <w:p w14:paraId="790B2812" w14:textId="77777777" w:rsidR="00FA5D9B" w:rsidRDefault="00FA5D9B" w:rsidP="00FA5D9B">
      <w:pPr>
        <w:spacing w:after="200"/>
        <w:jc w:val="both"/>
      </w:pPr>
      <w:r>
        <w:rPr>
          <w:rFonts w:ascii="Times New Roman" w:hAnsi="Times New Roman"/>
          <w:b/>
          <w:sz w:val="20"/>
        </w:rPr>
        <w:t>Data S14.</w:t>
      </w:r>
      <w:r>
        <w:rPr>
          <w:rFonts w:ascii="Times New Roman" w:hAnsi="Times New Roman"/>
          <w:sz w:val="20"/>
        </w:rPr>
        <w:t xml:space="preserve"> Functional enrichment results for WT, Eed-KO, and shifts between the two datasets.</w:t>
      </w:r>
    </w:p>
    <w:p w14:paraId="3C0D3280" w14:textId="77777777" w:rsidR="00FA5D9B" w:rsidRDefault="00FA5D9B" w:rsidP="00FA5D9B">
      <w:pPr>
        <w:spacing w:after="200"/>
        <w:jc w:val="both"/>
      </w:pPr>
      <w:r>
        <w:rPr>
          <w:rFonts w:ascii="Times New Roman" w:hAnsi="Times New Roman"/>
          <w:b/>
          <w:sz w:val="20"/>
        </w:rPr>
        <w:t>Data S15.</w:t>
      </w:r>
      <w:r>
        <w:rPr>
          <w:rFonts w:ascii="Times New Roman" w:hAnsi="Times New Roman"/>
          <w:sz w:val="20"/>
        </w:rPr>
        <w:t xml:space="preserve"> WATER trajectories for WT and 5xFAD cortex datasets.</w:t>
      </w:r>
    </w:p>
    <w:p w14:paraId="61572AFF" w14:textId="77777777" w:rsidR="00E023F9" w:rsidRDefault="00E023F9"/>
    <w:sectPr w:rsidR="00E023F9" w:rsidSect="00FA5D9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D9B"/>
    <w:rsid w:val="000C4033"/>
    <w:rsid w:val="00173ED8"/>
    <w:rsid w:val="002F50B1"/>
    <w:rsid w:val="003D2883"/>
    <w:rsid w:val="004B42CB"/>
    <w:rsid w:val="005F2B46"/>
    <w:rsid w:val="006E1731"/>
    <w:rsid w:val="00866D74"/>
    <w:rsid w:val="00882A73"/>
    <w:rsid w:val="00906905"/>
    <w:rsid w:val="0095305D"/>
    <w:rsid w:val="00B10170"/>
    <w:rsid w:val="00B260B7"/>
    <w:rsid w:val="00B85331"/>
    <w:rsid w:val="00C94D66"/>
    <w:rsid w:val="00DE7E69"/>
    <w:rsid w:val="00E023F9"/>
    <w:rsid w:val="00FA5D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ABAFD"/>
  <w15:chartTrackingRefBased/>
  <w15:docId w15:val="{66EB303B-D001-416A-BBF0-32775B4A9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D9B"/>
    <w:rPr>
      <w:lang w:val="en-US"/>
    </w:rPr>
  </w:style>
  <w:style w:type="paragraph" w:styleId="Heading1">
    <w:name w:val="heading 1"/>
    <w:basedOn w:val="Normal"/>
    <w:next w:val="Normal"/>
    <w:link w:val="Heading1Char"/>
    <w:uiPriority w:val="9"/>
    <w:qFormat/>
    <w:rsid w:val="00FA5D9B"/>
    <w:pPr>
      <w:keepNext/>
      <w:keepLines/>
      <w:spacing w:before="360" w:after="80"/>
      <w:outlineLvl w:val="0"/>
    </w:pPr>
    <w:rPr>
      <w:rFonts w:asciiTheme="majorHAnsi" w:eastAsiaTheme="majorEastAsia" w:hAnsiTheme="majorHAnsi" w:cstheme="majorBidi"/>
      <w:color w:val="0F4761" w:themeColor="accent1" w:themeShade="BF"/>
      <w:sz w:val="40"/>
      <w:szCs w:val="40"/>
      <w:lang w:val="en-IN"/>
    </w:rPr>
  </w:style>
  <w:style w:type="paragraph" w:styleId="Heading2">
    <w:name w:val="heading 2"/>
    <w:basedOn w:val="Normal"/>
    <w:next w:val="Normal"/>
    <w:link w:val="Heading2Char"/>
    <w:uiPriority w:val="9"/>
    <w:semiHidden/>
    <w:unhideWhenUsed/>
    <w:qFormat/>
    <w:rsid w:val="00FA5D9B"/>
    <w:pPr>
      <w:keepNext/>
      <w:keepLines/>
      <w:spacing w:before="160" w:after="80"/>
      <w:outlineLvl w:val="1"/>
    </w:pPr>
    <w:rPr>
      <w:rFonts w:asciiTheme="majorHAnsi" w:eastAsiaTheme="majorEastAsia" w:hAnsiTheme="majorHAnsi" w:cstheme="majorBidi"/>
      <w:color w:val="0F4761" w:themeColor="accent1" w:themeShade="BF"/>
      <w:sz w:val="32"/>
      <w:szCs w:val="32"/>
      <w:lang w:val="en-IN"/>
    </w:rPr>
  </w:style>
  <w:style w:type="paragraph" w:styleId="Heading3">
    <w:name w:val="heading 3"/>
    <w:basedOn w:val="Normal"/>
    <w:next w:val="Normal"/>
    <w:link w:val="Heading3Char"/>
    <w:uiPriority w:val="9"/>
    <w:semiHidden/>
    <w:unhideWhenUsed/>
    <w:qFormat/>
    <w:rsid w:val="00FA5D9B"/>
    <w:pPr>
      <w:keepNext/>
      <w:keepLines/>
      <w:spacing w:before="160" w:after="80"/>
      <w:outlineLvl w:val="2"/>
    </w:pPr>
    <w:rPr>
      <w:rFonts w:eastAsiaTheme="majorEastAsia" w:cstheme="majorBidi"/>
      <w:color w:val="0F4761" w:themeColor="accent1" w:themeShade="BF"/>
      <w:sz w:val="28"/>
      <w:szCs w:val="28"/>
      <w:lang w:val="en-IN"/>
    </w:rPr>
  </w:style>
  <w:style w:type="paragraph" w:styleId="Heading4">
    <w:name w:val="heading 4"/>
    <w:basedOn w:val="Normal"/>
    <w:next w:val="Normal"/>
    <w:link w:val="Heading4Char"/>
    <w:uiPriority w:val="9"/>
    <w:semiHidden/>
    <w:unhideWhenUsed/>
    <w:qFormat/>
    <w:rsid w:val="00FA5D9B"/>
    <w:pPr>
      <w:keepNext/>
      <w:keepLines/>
      <w:spacing w:before="80" w:after="40"/>
      <w:outlineLvl w:val="3"/>
    </w:pPr>
    <w:rPr>
      <w:rFonts w:eastAsiaTheme="majorEastAsia" w:cstheme="majorBidi"/>
      <w:i/>
      <w:iCs/>
      <w:color w:val="0F4761" w:themeColor="accent1" w:themeShade="BF"/>
      <w:lang w:val="en-IN"/>
    </w:rPr>
  </w:style>
  <w:style w:type="paragraph" w:styleId="Heading5">
    <w:name w:val="heading 5"/>
    <w:basedOn w:val="Normal"/>
    <w:next w:val="Normal"/>
    <w:link w:val="Heading5Char"/>
    <w:uiPriority w:val="9"/>
    <w:semiHidden/>
    <w:unhideWhenUsed/>
    <w:qFormat/>
    <w:rsid w:val="00FA5D9B"/>
    <w:pPr>
      <w:keepNext/>
      <w:keepLines/>
      <w:spacing w:before="80" w:after="40"/>
      <w:outlineLvl w:val="4"/>
    </w:pPr>
    <w:rPr>
      <w:rFonts w:eastAsiaTheme="majorEastAsia" w:cstheme="majorBidi"/>
      <w:color w:val="0F4761" w:themeColor="accent1" w:themeShade="BF"/>
      <w:lang w:val="en-IN"/>
    </w:rPr>
  </w:style>
  <w:style w:type="paragraph" w:styleId="Heading6">
    <w:name w:val="heading 6"/>
    <w:basedOn w:val="Normal"/>
    <w:next w:val="Normal"/>
    <w:link w:val="Heading6Char"/>
    <w:uiPriority w:val="9"/>
    <w:semiHidden/>
    <w:unhideWhenUsed/>
    <w:qFormat/>
    <w:rsid w:val="00FA5D9B"/>
    <w:pPr>
      <w:keepNext/>
      <w:keepLines/>
      <w:spacing w:before="40" w:after="0"/>
      <w:outlineLvl w:val="5"/>
    </w:pPr>
    <w:rPr>
      <w:rFonts w:eastAsiaTheme="majorEastAsia" w:cstheme="majorBidi"/>
      <w:i/>
      <w:iCs/>
      <w:color w:val="595959" w:themeColor="text1" w:themeTint="A6"/>
      <w:lang w:val="en-IN"/>
    </w:rPr>
  </w:style>
  <w:style w:type="paragraph" w:styleId="Heading7">
    <w:name w:val="heading 7"/>
    <w:basedOn w:val="Normal"/>
    <w:next w:val="Normal"/>
    <w:link w:val="Heading7Char"/>
    <w:uiPriority w:val="9"/>
    <w:semiHidden/>
    <w:unhideWhenUsed/>
    <w:qFormat/>
    <w:rsid w:val="00FA5D9B"/>
    <w:pPr>
      <w:keepNext/>
      <w:keepLines/>
      <w:spacing w:before="40" w:after="0"/>
      <w:outlineLvl w:val="6"/>
    </w:pPr>
    <w:rPr>
      <w:rFonts w:eastAsiaTheme="majorEastAsia" w:cstheme="majorBidi"/>
      <w:color w:val="595959" w:themeColor="text1" w:themeTint="A6"/>
      <w:lang w:val="en-IN"/>
    </w:rPr>
  </w:style>
  <w:style w:type="paragraph" w:styleId="Heading8">
    <w:name w:val="heading 8"/>
    <w:basedOn w:val="Normal"/>
    <w:next w:val="Normal"/>
    <w:link w:val="Heading8Char"/>
    <w:uiPriority w:val="9"/>
    <w:semiHidden/>
    <w:unhideWhenUsed/>
    <w:qFormat/>
    <w:rsid w:val="00FA5D9B"/>
    <w:pPr>
      <w:keepNext/>
      <w:keepLines/>
      <w:spacing w:after="0"/>
      <w:outlineLvl w:val="7"/>
    </w:pPr>
    <w:rPr>
      <w:rFonts w:eastAsiaTheme="majorEastAsia" w:cstheme="majorBidi"/>
      <w:i/>
      <w:iCs/>
      <w:color w:val="272727" w:themeColor="text1" w:themeTint="D8"/>
      <w:lang w:val="en-IN"/>
    </w:rPr>
  </w:style>
  <w:style w:type="paragraph" w:styleId="Heading9">
    <w:name w:val="heading 9"/>
    <w:basedOn w:val="Normal"/>
    <w:next w:val="Normal"/>
    <w:link w:val="Heading9Char"/>
    <w:uiPriority w:val="9"/>
    <w:semiHidden/>
    <w:unhideWhenUsed/>
    <w:qFormat/>
    <w:rsid w:val="00FA5D9B"/>
    <w:pPr>
      <w:keepNext/>
      <w:keepLines/>
      <w:spacing w:after="0"/>
      <w:outlineLvl w:val="8"/>
    </w:pPr>
    <w:rPr>
      <w:rFonts w:eastAsiaTheme="majorEastAsia" w:cstheme="majorBidi"/>
      <w:color w:val="272727" w:themeColor="text1" w:themeTint="D8"/>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D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5D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5D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5D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5D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5D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5D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5D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5D9B"/>
    <w:rPr>
      <w:rFonts w:eastAsiaTheme="majorEastAsia" w:cstheme="majorBidi"/>
      <w:color w:val="272727" w:themeColor="text1" w:themeTint="D8"/>
    </w:rPr>
  </w:style>
  <w:style w:type="paragraph" w:styleId="Title">
    <w:name w:val="Title"/>
    <w:basedOn w:val="Normal"/>
    <w:next w:val="Normal"/>
    <w:link w:val="TitleChar"/>
    <w:uiPriority w:val="10"/>
    <w:qFormat/>
    <w:rsid w:val="00FA5D9B"/>
    <w:pPr>
      <w:spacing w:after="80" w:line="240" w:lineRule="auto"/>
      <w:contextualSpacing/>
    </w:pPr>
    <w:rPr>
      <w:rFonts w:asciiTheme="majorHAnsi" w:eastAsiaTheme="majorEastAsia" w:hAnsiTheme="majorHAnsi" w:cstheme="majorBidi"/>
      <w:spacing w:val="-10"/>
      <w:kern w:val="28"/>
      <w:sz w:val="56"/>
      <w:szCs w:val="56"/>
      <w:lang w:val="en-IN"/>
    </w:rPr>
  </w:style>
  <w:style w:type="character" w:customStyle="1" w:styleId="TitleChar">
    <w:name w:val="Title Char"/>
    <w:basedOn w:val="DefaultParagraphFont"/>
    <w:link w:val="Title"/>
    <w:uiPriority w:val="10"/>
    <w:rsid w:val="00FA5D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5D9B"/>
    <w:pPr>
      <w:numPr>
        <w:ilvl w:val="1"/>
      </w:numPr>
    </w:pPr>
    <w:rPr>
      <w:rFonts w:eastAsiaTheme="majorEastAsia" w:cstheme="majorBidi"/>
      <w:color w:val="595959" w:themeColor="text1" w:themeTint="A6"/>
      <w:spacing w:val="15"/>
      <w:sz w:val="28"/>
      <w:szCs w:val="28"/>
      <w:lang w:val="en-IN"/>
    </w:rPr>
  </w:style>
  <w:style w:type="character" w:customStyle="1" w:styleId="SubtitleChar">
    <w:name w:val="Subtitle Char"/>
    <w:basedOn w:val="DefaultParagraphFont"/>
    <w:link w:val="Subtitle"/>
    <w:uiPriority w:val="11"/>
    <w:rsid w:val="00FA5D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5D9B"/>
    <w:pPr>
      <w:spacing w:before="160"/>
      <w:jc w:val="center"/>
    </w:pPr>
    <w:rPr>
      <w:i/>
      <w:iCs/>
      <w:color w:val="404040" w:themeColor="text1" w:themeTint="BF"/>
      <w:lang w:val="en-IN"/>
    </w:rPr>
  </w:style>
  <w:style w:type="character" w:customStyle="1" w:styleId="QuoteChar">
    <w:name w:val="Quote Char"/>
    <w:basedOn w:val="DefaultParagraphFont"/>
    <w:link w:val="Quote"/>
    <w:uiPriority w:val="29"/>
    <w:rsid w:val="00FA5D9B"/>
    <w:rPr>
      <w:i/>
      <w:iCs/>
      <w:color w:val="404040" w:themeColor="text1" w:themeTint="BF"/>
    </w:rPr>
  </w:style>
  <w:style w:type="paragraph" w:styleId="ListParagraph">
    <w:name w:val="List Paragraph"/>
    <w:basedOn w:val="Normal"/>
    <w:uiPriority w:val="34"/>
    <w:qFormat/>
    <w:rsid w:val="00FA5D9B"/>
    <w:pPr>
      <w:ind w:left="720"/>
      <w:contextualSpacing/>
    </w:pPr>
    <w:rPr>
      <w:lang w:val="en-IN"/>
    </w:rPr>
  </w:style>
  <w:style w:type="character" w:styleId="IntenseEmphasis">
    <w:name w:val="Intense Emphasis"/>
    <w:basedOn w:val="DefaultParagraphFont"/>
    <w:uiPriority w:val="21"/>
    <w:qFormat/>
    <w:rsid w:val="00FA5D9B"/>
    <w:rPr>
      <w:i/>
      <w:iCs/>
      <w:color w:val="0F4761" w:themeColor="accent1" w:themeShade="BF"/>
    </w:rPr>
  </w:style>
  <w:style w:type="paragraph" w:styleId="IntenseQuote">
    <w:name w:val="Intense Quote"/>
    <w:basedOn w:val="Normal"/>
    <w:next w:val="Normal"/>
    <w:link w:val="IntenseQuoteChar"/>
    <w:uiPriority w:val="30"/>
    <w:qFormat/>
    <w:rsid w:val="00FA5D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lang w:val="en-IN"/>
    </w:rPr>
  </w:style>
  <w:style w:type="character" w:customStyle="1" w:styleId="IntenseQuoteChar">
    <w:name w:val="Intense Quote Char"/>
    <w:basedOn w:val="DefaultParagraphFont"/>
    <w:link w:val="IntenseQuote"/>
    <w:uiPriority w:val="30"/>
    <w:rsid w:val="00FA5D9B"/>
    <w:rPr>
      <w:i/>
      <w:iCs/>
      <w:color w:val="0F4761" w:themeColor="accent1" w:themeShade="BF"/>
    </w:rPr>
  </w:style>
  <w:style w:type="character" w:styleId="IntenseReference">
    <w:name w:val="Intense Reference"/>
    <w:basedOn w:val="DefaultParagraphFont"/>
    <w:uiPriority w:val="32"/>
    <w:qFormat/>
    <w:rsid w:val="00FA5D9B"/>
    <w:rPr>
      <w:b/>
      <w:bCs/>
      <w:smallCaps/>
      <w:color w:val="0F4761" w:themeColor="accent1" w:themeShade="BF"/>
      <w:spacing w:val="5"/>
    </w:rPr>
  </w:style>
  <w:style w:type="table" w:styleId="TableGrid">
    <w:name w:val="Table Grid"/>
    <w:basedOn w:val="TableNormal"/>
    <w:uiPriority w:val="39"/>
    <w:rsid w:val="00FA5D9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3707</Words>
  <Characters>21134</Characters>
  <Application>Microsoft Office Word</Application>
  <DocSecurity>0</DocSecurity>
  <Lines>176</Lines>
  <Paragraphs>49</Paragraphs>
  <ScaleCrop>false</ScaleCrop>
  <Company/>
  <LinksUpToDate>false</LinksUpToDate>
  <CharactersWithSpaces>24792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Trupti Sudge</dc:creator>
  <cp:keywords/>
  <dc:description/>
  <cp:lastModifiedBy>Trupti Sudge</cp:lastModifiedBy>
  <cp:revision>1</cp:revision>
  <dcterms:created xsi:type="dcterms:W3CDTF">2026-07-16T09:53:00Z</dcterms:created>
  <dcterms:modified xsi:type="dcterms:W3CDTF">2026-07-16T09:53:00Z</dcterms:modified>
</cp:coreProperties>
</file>