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07E2" w14:textId="5B72DF19" w:rsidR="006F55B5" w:rsidRPr="008E0656" w:rsidRDefault="007D560B" w:rsidP="00C54E32">
      <w:pPr>
        <w:jc w:val="center"/>
        <w:rPr>
          <w:rFonts w:ascii="Times New Roman" w:hAnsi="Times New Roman" w:cs="Times New Roman"/>
          <w:b/>
          <w:bCs/>
          <w:lang w:val="en-GB"/>
        </w:rPr>
      </w:pPr>
      <w:r w:rsidRPr="4865F3EF">
        <w:rPr>
          <w:rFonts w:ascii="Times New Roman" w:hAnsi="Times New Roman" w:cs="Times New Roman"/>
          <w:b/>
          <w:bCs/>
          <w:lang w:val="en-GB"/>
        </w:rPr>
        <w:t>SUPPLEMENTARY M</w:t>
      </w:r>
      <w:r w:rsidR="3E18103E" w:rsidRPr="4865F3EF">
        <w:rPr>
          <w:rFonts w:ascii="Times New Roman" w:hAnsi="Times New Roman" w:cs="Times New Roman"/>
          <w:b/>
          <w:bCs/>
          <w:lang w:val="en-GB"/>
        </w:rPr>
        <w:t>ETHODS</w:t>
      </w:r>
    </w:p>
    <w:p w14:paraId="7386B6C9" w14:textId="77777777" w:rsidR="002143AD" w:rsidRPr="008E0656" w:rsidRDefault="002143AD" w:rsidP="00C54E32">
      <w:pPr>
        <w:jc w:val="center"/>
        <w:rPr>
          <w:rFonts w:ascii="Times New Roman" w:hAnsi="Times New Roman" w:cs="Times New Roman"/>
          <w:b/>
          <w:bCs/>
          <w:lang w:val="en-GB"/>
        </w:rPr>
      </w:pPr>
    </w:p>
    <w:p w14:paraId="2415A2CA" w14:textId="77777777" w:rsidR="007960F7" w:rsidRPr="007960F7" w:rsidRDefault="007960F7" w:rsidP="007960F7">
      <w:pPr>
        <w:spacing w:before="160" w:line="360" w:lineRule="auto"/>
        <w:jc w:val="both"/>
        <w:rPr>
          <w:rFonts w:ascii="Times New Roman" w:hAnsi="Times New Roman"/>
          <w:b/>
          <w:bCs/>
          <w:color w:val="000000" w:themeColor="text1"/>
          <w:sz w:val="22"/>
          <w:lang w:val="en-GB"/>
        </w:rPr>
      </w:pPr>
      <w:r w:rsidRPr="007960F7">
        <w:rPr>
          <w:rFonts w:ascii="Times New Roman" w:hAnsi="Times New Roman"/>
          <w:b/>
          <w:bCs/>
          <w:color w:val="000000" w:themeColor="text1"/>
          <w:sz w:val="22"/>
          <w:lang w:val="en-GB"/>
        </w:rPr>
        <w:t>Study design</w:t>
      </w:r>
    </w:p>
    <w:p w14:paraId="6D12E5D0" w14:textId="42169572" w:rsidR="007960F7" w:rsidRPr="007960F7" w:rsidRDefault="00EC1F07" w:rsidP="007960F7">
      <w:pPr>
        <w:spacing w:before="160" w:line="360" w:lineRule="auto"/>
        <w:jc w:val="both"/>
        <w:rPr>
          <w:rFonts w:ascii="Times New Roman" w:hAnsi="Times New Roman"/>
          <w:color w:val="000000" w:themeColor="text1"/>
          <w:sz w:val="22"/>
          <w:lang w:val="en-GB"/>
        </w:rPr>
      </w:pPr>
      <w:r>
        <w:rPr>
          <w:rFonts w:ascii="Times New Roman" w:hAnsi="Times New Roman"/>
          <w:color w:val="000000" w:themeColor="text1"/>
          <w:sz w:val="22"/>
          <w:lang w:val="en-GB"/>
        </w:rPr>
        <w:t>This r</w:t>
      </w:r>
      <w:r w:rsidR="007960F7" w:rsidRPr="007960F7">
        <w:rPr>
          <w:rFonts w:ascii="Times New Roman" w:hAnsi="Times New Roman"/>
          <w:color w:val="000000" w:themeColor="text1"/>
          <w:sz w:val="22"/>
          <w:lang w:val="en-GB"/>
        </w:rPr>
        <w:t xml:space="preserve">etrospective, real-world, single-centre validation study </w:t>
      </w:r>
      <w:r>
        <w:rPr>
          <w:rFonts w:ascii="Times New Roman" w:hAnsi="Times New Roman"/>
          <w:color w:val="000000" w:themeColor="text1"/>
          <w:sz w:val="22"/>
          <w:lang w:val="en-GB"/>
        </w:rPr>
        <w:t xml:space="preserve">was </w:t>
      </w:r>
      <w:r w:rsidR="007960F7" w:rsidRPr="007960F7">
        <w:rPr>
          <w:rFonts w:ascii="Times New Roman" w:hAnsi="Times New Roman"/>
          <w:color w:val="000000" w:themeColor="text1"/>
          <w:sz w:val="22"/>
          <w:lang w:val="en-GB"/>
        </w:rPr>
        <w:t>performed at Clínica Girona (Girona, Spain). All imaging, biopsy and histopathological procedures followed standard clinical workflows and were not modified for research purposes</w:t>
      </w:r>
      <w:r>
        <w:rPr>
          <w:rFonts w:ascii="Times New Roman" w:hAnsi="Times New Roman"/>
          <w:color w:val="000000" w:themeColor="text1"/>
          <w:sz w:val="22"/>
          <w:lang w:val="en-GB"/>
        </w:rPr>
        <w:t>.</w:t>
      </w:r>
      <w:r w:rsidR="007960F7" w:rsidRPr="007960F7">
        <w:rPr>
          <w:rFonts w:ascii="Times New Roman" w:hAnsi="Times New Roman"/>
          <w:color w:val="000000" w:themeColor="text1"/>
          <w:sz w:val="22"/>
          <w:lang w:val="en-GB"/>
        </w:rPr>
        <w:t xml:space="preserve"> Th</w:t>
      </w:r>
      <w:r>
        <w:rPr>
          <w:rFonts w:ascii="Times New Roman" w:hAnsi="Times New Roman"/>
          <w:color w:val="000000" w:themeColor="text1"/>
          <w:sz w:val="22"/>
          <w:lang w:val="en-GB"/>
        </w:rPr>
        <w:t>e</w:t>
      </w:r>
      <w:r w:rsidR="007960F7" w:rsidRPr="007960F7">
        <w:rPr>
          <w:rFonts w:ascii="Times New Roman" w:hAnsi="Times New Roman"/>
          <w:color w:val="000000" w:themeColor="text1"/>
          <w:sz w:val="22"/>
          <w:lang w:val="en-GB"/>
        </w:rPr>
        <w:t xml:space="preserve"> study assessed the lesion-level performance of an AI-based CAD system using </w:t>
      </w:r>
      <w:proofErr w:type="spellStart"/>
      <w:r w:rsidR="007960F7" w:rsidRPr="007960F7">
        <w:rPr>
          <w:rFonts w:ascii="Times New Roman" w:hAnsi="Times New Roman"/>
          <w:color w:val="000000" w:themeColor="text1"/>
          <w:sz w:val="22"/>
          <w:lang w:val="en-GB"/>
        </w:rPr>
        <w:t>bpMRI</w:t>
      </w:r>
      <w:proofErr w:type="spellEnd"/>
      <w:r w:rsidR="007960F7" w:rsidRPr="007960F7">
        <w:rPr>
          <w:rFonts w:ascii="Times New Roman" w:hAnsi="Times New Roman"/>
          <w:color w:val="000000" w:themeColor="text1"/>
          <w:sz w:val="22"/>
          <w:lang w:val="en-GB"/>
        </w:rPr>
        <w:t xml:space="preserve"> sequences (T2-weighted and DWI) derived from routine clinical prostate </w:t>
      </w:r>
      <w:proofErr w:type="spellStart"/>
      <w:r w:rsidR="007960F7" w:rsidRPr="007960F7">
        <w:rPr>
          <w:rFonts w:ascii="Times New Roman" w:hAnsi="Times New Roman"/>
          <w:color w:val="000000" w:themeColor="text1"/>
          <w:sz w:val="22"/>
          <w:lang w:val="en-GB"/>
        </w:rPr>
        <w:t>mpMRI</w:t>
      </w:r>
      <w:proofErr w:type="spellEnd"/>
      <w:r w:rsidR="007960F7" w:rsidRPr="007960F7">
        <w:rPr>
          <w:rFonts w:ascii="Times New Roman" w:hAnsi="Times New Roman"/>
          <w:color w:val="000000" w:themeColor="text1"/>
          <w:sz w:val="22"/>
          <w:lang w:val="en-GB"/>
        </w:rPr>
        <w:t xml:space="preserve"> examinations, with MRI-targeted biopsy histopathology as the reference standard. </w:t>
      </w:r>
    </w:p>
    <w:p w14:paraId="3E24CD51" w14:textId="29AFCDE2" w:rsidR="00C56756" w:rsidRDefault="007960F7" w:rsidP="0015160D">
      <w:pPr>
        <w:spacing w:before="160" w:line="360" w:lineRule="auto"/>
        <w:jc w:val="both"/>
        <w:rPr>
          <w:rFonts w:ascii="Times New Roman" w:hAnsi="Times New Roman"/>
          <w:color w:val="000000" w:themeColor="text1"/>
          <w:sz w:val="22"/>
          <w:lang w:val="en-GB"/>
        </w:rPr>
      </w:pPr>
      <w:r w:rsidRPr="007960F7">
        <w:rPr>
          <w:rFonts w:ascii="Times New Roman" w:hAnsi="Times New Roman"/>
          <w:color w:val="000000" w:themeColor="text1"/>
          <w:sz w:val="22"/>
          <w:lang w:val="en-GB"/>
        </w:rPr>
        <w:t>This study was conducted in compliance with applicable ethical and data protection regulations. Due to the retrospective nature of the analysis and the use of anonymized clinical data, the requirement for written informed consent was waived according to institutional policy.</w:t>
      </w:r>
    </w:p>
    <w:p w14:paraId="1FDF41FB" w14:textId="5E72B3C3" w:rsidR="000E04DD" w:rsidRDefault="000E04DD" w:rsidP="000E04DD">
      <w:pPr>
        <w:spacing w:before="160" w:line="360" w:lineRule="auto"/>
        <w:jc w:val="both"/>
        <w:rPr>
          <w:rFonts w:ascii="Times New Roman" w:hAnsi="Times New Roman"/>
          <w:b/>
          <w:bCs/>
          <w:color w:val="000000" w:themeColor="text1"/>
          <w:sz w:val="22"/>
          <w:lang w:val="en-GB"/>
        </w:rPr>
      </w:pPr>
      <w:r>
        <w:rPr>
          <w:rFonts w:ascii="Times New Roman" w:hAnsi="Times New Roman"/>
          <w:b/>
          <w:bCs/>
          <w:color w:val="000000" w:themeColor="text1"/>
          <w:sz w:val="22"/>
          <w:lang w:val="en-GB"/>
        </w:rPr>
        <w:t>Patient cohort</w:t>
      </w:r>
    </w:p>
    <w:p w14:paraId="1BE6AFF7" w14:textId="74D0716E" w:rsidR="00367129" w:rsidRPr="00367129" w:rsidRDefault="00367129" w:rsidP="00367129">
      <w:pPr>
        <w:spacing w:before="160" w:line="360" w:lineRule="auto"/>
        <w:jc w:val="both"/>
        <w:rPr>
          <w:rFonts w:ascii="Times New Roman" w:hAnsi="Times New Roman"/>
          <w:color w:val="000000" w:themeColor="text1"/>
          <w:sz w:val="22"/>
          <w:lang w:val="en-GB"/>
        </w:rPr>
      </w:pPr>
      <w:r w:rsidRPr="00367129">
        <w:rPr>
          <w:rFonts w:ascii="Times New Roman" w:hAnsi="Times New Roman"/>
          <w:color w:val="000000" w:themeColor="text1"/>
          <w:sz w:val="22"/>
          <w:lang w:val="en-GB"/>
        </w:rPr>
        <w:t xml:space="preserve">In this study, patient selection reflected routine clinical practice for in-bore MRI-guided robotic prostate biopsy at </w:t>
      </w:r>
      <w:r w:rsidR="00A46995">
        <w:rPr>
          <w:rFonts w:ascii="Times New Roman" w:hAnsi="Times New Roman"/>
          <w:color w:val="000000" w:themeColor="text1"/>
          <w:sz w:val="22"/>
          <w:lang w:val="en-GB"/>
        </w:rPr>
        <w:t>Clínica Girona</w:t>
      </w:r>
      <w:r w:rsidRPr="00367129">
        <w:rPr>
          <w:rFonts w:ascii="Times New Roman" w:hAnsi="Times New Roman"/>
          <w:color w:val="000000" w:themeColor="text1"/>
          <w:sz w:val="22"/>
          <w:lang w:val="en-GB"/>
        </w:rPr>
        <w:t xml:space="preserve">. In this setting, biopsy targeting is focused on a single index lesion, defined as the lesion with the highest level of suspicion (PI-RADS ≥3) on </w:t>
      </w:r>
      <w:proofErr w:type="spellStart"/>
      <w:r w:rsidRPr="00367129">
        <w:rPr>
          <w:rFonts w:ascii="Times New Roman" w:hAnsi="Times New Roman"/>
          <w:color w:val="000000" w:themeColor="text1"/>
          <w:sz w:val="22"/>
          <w:lang w:val="en-GB"/>
        </w:rPr>
        <w:t>mpMRI</w:t>
      </w:r>
      <w:proofErr w:type="spellEnd"/>
      <w:r w:rsidRPr="00367129">
        <w:rPr>
          <w:rFonts w:ascii="Times New Roman" w:hAnsi="Times New Roman"/>
          <w:color w:val="000000" w:themeColor="text1"/>
          <w:sz w:val="22"/>
          <w:lang w:val="en-GB"/>
        </w:rPr>
        <w:t>.</w:t>
      </w:r>
    </w:p>
    <w:p w14:paraId="7BF952BF" w14:textId="77777777" w:rsidR="00367129" w:rsidRPr="00367129" w:rsidRDefault="00367129" w:rsidP="00367129">
      <w:pPr>
        <w:spacing w:before="160" w:line="360" w:lineRule="auto"/>
        <w:jc w:val="both"/>
        <w:rPr>
          <w:rFonts w:ascii="Times New Roman" w:hAnsi="Times New Roman"/>
          <w:color w:val="000000" w:themeColor="text1"/>
          <w:sz w:val="22"/>
          <w:lang w:val="en-GB"/>
        </w:rPr>
      </w:pPr>
      <w:r w:rsidRPr="00367129">
        <w:rPr>
          <w:rFonts w:ascii="Times New Roman" w:hAnsi="Times New Roman"/>
          <w:color w:val="000000" w:themeColor="text1"/>
          <w:sz w:val="22"/>
          <w:lang w:val="en-GB"/>
        </w:rPr>
        <w:t>Although the robotic system allows sampling of more than one lesion (typically up to 2–3), standard clinical practice prioritizes biopsy of the index lesion only. This approach is driven by procedural considerations and the objective of maximizing diagnostic yield while maintaining procedural efficiency. Consequently, patients included in this study presented with a single MRI-visible lesion classified as PI-RADS ≥3 that was selected for biopsy.</w:t>
      </w:r>
    </w:p>
    <w:p w14:paraId="26E8562F" w14:textId="77777777" w:rsidR="00367129" w:rsidRPr="00367129" w:rsidRDefault="00367129" w:rsidP="00367129">
      <w:pPr>
        <w:spacing w:before="160" w:line="360" w:lineRule="auto"/>
        <w:jc w:val="both"/>
        <w:rPr>
          <w:rFonts w:ascii="Times New Roman" w:hAnsi="Times New Roman"/>
          <w:color w:val="000000" w:themeColor="text1"/>
          <w:sz w:val="22"/>
          <w:lang w:val="en-GB"/>
        </w:rPr>
      </w:pPr>
      <w:r w:rsidRPr="00367129">
        <w:rPr>
          <w:rFonts w:ascii="Times New Roman" w:hAnsi="Times New Roman"/>
          <w:color w:val="000000" w:themeColor="text1"/>
          <w:sz w:val="22"/>
          <w:lang w:val="en-GB"/>
        </w:rPr>
        <w:t>In cases where additional lesions were present, these were typically classified as PI-RADS &lt;3 and were not targeted for biopsy. Therefore, the study design does not reflect an arbitrary restriction to single-lesion cases, but rather the standard clinical workflow used for MRI-guided in-bore biopsy in routine practice.</w:t>
      </w:r>
    </w:p>
    <w:p w14:paraId="3A3F1906" w14:textId="77777777" w:rsidR="00367129" w:rsidRPr="00367129" w:rsidRDefault="00367129" w:rsidP="00367129">
      <w:pPr>
        <w:spacing w:before="160" w:line="360" w:lineRule="auto"/>
        <w:jc w:val="both"/>
        <w:rPr>
          <w:rFonts w:ascii="Times New Roman" w:hAnsi="Times New Roman"/>
          <w:color w:val="000000" w:themeColor="text1"/>
          <w:sz w:val="22"/>
          <w:lang w:val="en-GB"/>
        </w:rPr>
      </w:pPr>
      <w:r w:rsidRPr="00367129">
        <w:rPr>
          <w:rFonts w:ascii="Times New Roman" w:hAnsi="Times New Roman"/>
          <w:color w:val="000000" w:themeColor="text1"/>
          <w:sz w:val="22"/>
          <w:lang w:val="en-GB"/>
        </w:rPr>
        <w:t>Histopathological outcomes were derived from targeted biopsies of the index lesion, and these results were used as the reference standard for correlation with both radiological assessment and AI-CAD (QP-Prostate</w:t>
      </w:r>
      <w:r w:rsidRPr="00367129">
        <w:rPr>
          <w:rFonts w:ascii="Times New Roman" w:hAnsi="Times New Roman"/>
          <w:color w:val="000000" w:themeColor="text1"/>
          <w:sz w:val="22"/>
          <w:vertAlign w:val="superscript"/>
          <w:lang w:val="en-GB"/>
        </w:rPr>
        <w:t>®</w:t>
      </w:r>
      <w:r w:rsidRPr="00367129">
        <w:rPr>
          <w:rFonts w:ascii="Times New Roman" w:hAnsi="Times New Roman"/>
          <w:color w:val="000000" w:themeColor="text1"/>
          <w:sz w:val="22"/>
          <w:lang w:val="en-GB"/>
        </w:rPr>
        <w:t>) outputs.</w:t>
      </w:r>
    </w:p>
    <w:p w14:paraId="72552E6A" w14:textId="66F74933" w:rsidR="0015160D" w:rsidRPr="008E0656" w:rsidRDefault="002239B9" w:rsidP="0015160D">
      <w:pPr>
        <w:spacing w:before="160" w:line="360" w:lineRule="auto"/>
        <w:jc w:val="both"/>
        <w:rPr>
          <w:rFonts w:ascii="Times New Roman" w:hAnsi="Times New Roman"/>
          <w:b/>
          <w:bCs/>
          <w:color w:val="000000" w:themeColor="text1"/>
          <w:sz w:val="22"/>
          <w:lang w:val="en-GB"/>
        </w:rPr>
      </w:pPr>
      <w:r w:rsidRPr="008E0656">
        <w:rPr>
          <w:rFonts w:ascii="Times New Roman" w:hAnsi="Times New Roman"/>
          <w:b/>
          <w:bCs/>
          <w:color w:val="000000" w:themeColor="text1"/>
          <w:sz w:val="22"/>
          <w:lang w:val="en-GB"/>
        </w:rPr>
        <w:t xml:space="preserve">MRI acquisition </w:t>
      </w:r>
    </w:p>
    <w:p w14:paraId="08A77299" w14:textId="4CC3104D" w:rsidR="0015160D" w:rsidRPr="008E0656" w:rsidRDefault="0015160D" w:rsidP="0015160D">
      <w:pPr>
        <w:spacing w:before="160" w:line="360" w:lineRule="auto"/>
        <w:jc w:val="both"/>
        <w:rPr>
          <w:rFonts w:ascii="Times New Roman" w:hAnsi="Times New Roman"/>
          <w:color w:val="000000" w:themeColor="text1"/>
          <w:sz w:val="22"/>
          <w:lang w:val="en-GB"/>
        </w:rPr>
      </w:pPr>
      <w:r w:rsidRPr="008E0656">
        <w:rPr>
          <w:rFonts w:ascii="Times New Roman" w:hAnsi="Times New Roman"/>
          <w:color w:val="000000" w:themeColor="text1"/>
          <w:sz w:val="22"/>
          <w:lang w:val="en-GB"/>
        </w:rPr>
        <w:t xml:space="preserve">DCE imaging was obtained using a T1-weighted gradient-echo sequence with high spatial resolution (TR 4.69 </w:t>
      </w:r>
      <w:proofErr w:type="spellStart"/>
      <w:r w:rsidRPr="008E0656">
        <w:rPr>
          <w:rFonts w:ascii="Times New Roman" w:hAnsi="Times New Roman"/>
          <w:color w:val="000000" w:themeColor="text1"/>
          <w:sz w:val="22"/>
          <w:lang w:val="en-GB"/>
        </w:rPr>
        <w:t>ms</w:t>
      </w:r>
      <w:proofErr w:type="spellEnd"/>
      <w:r w:rsidRPr="008E0656">
        <w:rPr>
          <w:rFonts w:ascii="Times New Roman" w:hAnsi="Times New Roman"/>
          <w:color w:val="000000" w:themeColor="text1"/>
          <w:sz w:val="22"/>
          <w:lang w:val="en-GB"/>
        </w:rPr>
        <w:t xml:space="preserve">, TE 1.6 </w:t>
      </w:r>
      <w:proofErr w:type="spellStart"/>
      <w:r w:rsidRPr="008E0656">
        <w:rPr>
          <w:rFonts w:ascii="Times New Roman" w:hAnsi="Times New Roman"/>
          <w:color w:val="000000" w:themeColor="text1"/>
          <w:sz w:val="22"/>
          <w:lang w:val="en-GB"/>
        </w:rPr>
        <w:t>ms</w:t>
      </w:r>
      <w:proofErr w:type="spellEnd"/>
      <w:r w:rsidRPr="008E0656">
        <w:rPr>
          <w:rFonts w:ascii="Times New Roman" w:hAnsi="Times New Roman"/>
          <w:color w:val="000000" w:themeColor="text1"/>
          <w:sz w:val="22"/>
          <w:lang w:val="en-GB"/>
        </w:rPr>
        <w:t xml:space="preserve">, flip angle 12°, isotropic voxel size 1.6 mm, field of view 100 mm). A total of 50 temporal phases were acquired with a temporal resolution of 3 s, resulting in an overall acquisition </w:t>
      </w:r>
      <w:r w:rsidRPr="008E0656">
        <w:rPr>
          <w:rFonts w:ascii="Times New Roman" w:hAnsi="Times New Roman"/>
          <w:color w:val="000000" w:themeColor="text1"/>
          <w:sz w:val="22"/>
          <w:lang w:val="en-GB"/>
        </w:rPr>
        <w:lastRenderedPageBreak/>
        <w:t>time of approximately 2.5 minutes, including preparation pulses. A gadolinium-based contrast agent (Gd-DTPA) was administered intravenously at a dose of 2 mL/kg.</w:t>
      </w:r>
    </w:p>
    <w:p w14:paraId="1AE41C5E" w14:textId="77777777" w:rsidR="0015160D" w:rsidRPr="008E0656" w:rsidRDefault="0015160D" w:rsidP="0015160D">
      <w:pPr>
        <w:spacing w:before="160" w:line="360" w:lineRule="auto"/>
        <w:jc w:val="both"/>
        <w:rPr>
          <w:rFonts w:ascii="Times New Roman" w:hAnsi="Times New Roman"/>
          <w:color w:val="000000" w:themeColor="text1"/>
          <w:sz w:val="22"/>
          <w:lang w:val="en-GB"/>
        </w:rPr>
      </w:pPr>
      <w:r w:rsidRPr="008E0656">
        <w:rPr>
          <w:rFonts w:ascii="Times New Roman" w:hAnsi="Times New Roman"/>
          <w:color w:val="000000" w:themeColor="text1"/>
          <w:sz w:val="22"/>
          <w:lang w:val="en-GB"/>
        </w:rPr>
        <w:t xml:space="preserve">DWI sequences were acquired using an echo-planar imaging sequence (TR [4788 – 10867] </w:t>
      </w:r>
      <w:proofErr w:type="spellStart"/>
      <w:r w:rsidRPr="008E0656">
        <w:rPr>
          <w:rFonts w:ascii="Times New Roman" w:hAnsi="Times New Roman"/>
          <w:color w:val="000000" w:themeColor="text1"/>
          <w:sz w:val="22"/>
          <w:lang w:val="en-GB"/>
        </w:rPr>
        <w:t>ms</w:t>
      </w:r>
      <w:proofErr w:type="spellEnd"/>
      <w:r w:rsidRPr="008E0656">
        <w:rPr>
          <w:rFonts w:ascii="Times New Roman" w:hAnsi="Times New Roman"/>
          <w:color w:val="000000" w:themeColor="text1"/>
          <w:sz w:val="22"/>
          <w:lang w:val="en-GB"/>
        </w:rPr>
        <w:t xml:space="preserve">, TE [72.1 – 74.1] </w:t>
      </w:r>
      <w:proofErr w:type="spellStart"/>
      <w:r w:rsidRPr="008E0656">
        <w:rPr>
          <w:rFonts w:ascii="Times New Roman" w:hAnsi="Times New Roman"/>
          <w:color w:val="000000" w:themeColor="text1"/>
          <w:sz w:val="22"/>
          <w:lang w:val="en-GB"/>
        </w:rPr>
        <w:t>ms</w:t>
      </w:r>
      <w:proofErr w:type="spellEnd"/>
      <w:r w:rsidRPr="008E0656">
        <w:rPr>
          <w:rFonts w:ascii="Times New Roman" w:hAnsi="Times New Roman"/>
          <w:color w:val="000000" w:themeColor="text1"/>
          <w:sz w:val="22"/>
          <w:lang w:val="en-GB"/>
        </w:rPr>
        <w:t>), with an in-plane resolution between 0.6 and 1.0 mm, slice thickness between 3 and 4 mm, and b-values of 50 and 1000 s/mm².</w:t>
      </w:r>
    </w:p>
    <w:p w14:paraId="3C21123F" w14:textId="77777777" w:rsidR="0015160D" w:rsidRPr="008E0656" w:rsidRDefault="0015160D" w:rsidP="0015160D">
      <w:pPr>
        <w:spacing w:before="160" w:line="360" w:lineRule="auto"/>
        <w:jc w:val="both"/>
        <w:rPr>
          <w:rFonts w:ascii="Times New Roman" w:hAnsi="Times New Roman"/>
          <w:color w:val="000000" w:themeColor="text1"/>
          <w:sz w:val="22"/>
          <w:lang w:val="en-GB"/>
        </w:rPr>
      </w:pPr>
      <w:r w:rsidRPr="008E0656">
        <w:rPr>
          <w:rFonts w:ascii="Times New Roman" w:hAnsi="Times New Roman"/>
          <w:color w:val="000000" w:themeColor="text1"/>
          <w:sz w:val="22"/>
          <w:lang w:val="en-GB"/>
        </w:rPr>
        <w:t xml:space="preserve">T2-weighted sequences (TR [5000 – 14636] </w:t>
      </w:r>
      <w:proofErr w:type="spellStart"/>
      <w:r w:rsidRPr="008E0656">
        <w:rPr>
          <w:rFonts w:ascii="Times New Roman" w:hAnsi="Times New Roman"/>
          <w:color w:val="000000" w:themeColor="text1"/>
          <w:sz w:val="22"/>
          <w:lang w:val="en-GB"/>
        </w:rPr>
        <w:t>ms</w:t>
      </w:r>
      <w:proofErr w:type="spellEnd"/>
      <w:r w:rsidRPr="008E0656">
        <w:rPr>
          <w:rFonts w:ascii="Times New Roman" w:hAnsi="Times New Roman"/>
          <w:color w:val="000000" w:themeColor="text1"/>
          <w:sz w:val="22"/>
          <w:lang w:val="en-GB"/>
        </w:rPr>
        <w:t xml:space="preserve">, TE [146.53 – 173.06] </w:t>
      </w:r>
      <w:proofErr w:type="spellStart"/>
      <w:r w:rsidRPr="008E0656">
        <w:rPr>
          <w:rFonts w:ascii="Times New Roman" w:hAnsi="Times New Roman"/>
          <w:color w:val="000000" w:themeColor="text1"/>
          <w:sz w:val="22"/>
          <w:lang w:val="en-GB"/>
        </w:rPr>
        <w:t>ms</w:t>
      </w:r>
      <w:proofErr w:type="spellEnd"/>
      <w:r w:rsidRPr="008E0656">
        <w:rPr>
          <w:rFonts w:ascii="Times New Roman" w:hAnsi="Times New Roman"/>
          <w:color w:val="000000" w:themeColor="text1"/>
          <w:sz w:val="22"/>
          <w:lang w:val="en-GB"/>
        </w:rPr>
        <w:t xml:space="preserve">) were acquired with an isotropic voxel size between 0.18 and 0.35 mm, and a slice thickness of 3 mm. </w:t>
      </w:r>
    </w:p>
    <w:p w14:paraId="5BC5DB65" w14:textId="77777777" w:rsidR="0015160D" w:rsidRPr="008E0656" w:rsidRDefault="0015160D" w:rsidP="0015160D">
      <w:pPr>
        <w:spacing w:before="160" w:line="360" w:lineRule="auto"/>
        <w:jc w:val="both"/>
        <w:rPr>
          <w:rFonts w:ascii="Times New Roman" w:hAnsi="Times New Roman"/>
          <w:color w:val="000000" w:themeColor="text1"/>
          <w:sz w:val="22"/>
          <w:lang w:val="en-GB"/>
        </w:rPr>
      </w:pPr>
      <w:r w:rsidRPr="008E0656">
        <w:rPr>
          <w:rFonts w:ascii="Times New Roman" w:hAnsi="Times New Roman"/>
          <w:color w:val="000000" w:themeColor="text1"/>
          <w:sz w:val="22"/>
          <w:lang w:val="en-GB"/>
        </w:rPr>
        <w:t>All MRI datasets were transferred in DICOM format from the institutional PACS using a secure imaging connector, enabling centralized storage and analysis. Prior to further processing, all examinations underwent a standardized quality control procedure to ensure suitability for analysis. Quality control included verification of the presence and completeness of the required sequences, adequate contrast-to-noise characteristics, full prostate coverage within the field of view, and absence of significant artifacts that could interfere with image interpretation.</w:t>
      </w:r>
    </w:p>
    <w:p w14:paraId="1E6A56CC" w14:textId="77777777" w:rsidR="00476F73" w:rsidRPr="008E0656" w:rsidRDefault="00476F73" w:rsidP="00476F73">
      <w:pPr>
        <w:spacing w:before="160" w:line="360" w:lineRule="auto"/>
        <w:jc w:val="both"/>
        <w:rPr>
          <w:rFonts w:ascii="Times New Roman" w:hAnsi="Times New Roman"/>
          <w:b/>
          <w:bCs/>
          <w:color w:val="000000" w:themeColor="text1"/>
          <w:sz w:val="22"/>
          <w:lang w:val="en-GB"/>
        </w:rPr>
      </w:pPr>
      <w:r w:rsidRPr="008E0656">
        <w:rPr>
          <w:rFonts w:ascii="Times New Roman" w:hAnsi="Times New Roman"/>
          <w:b/>
          <w:bCs/>
          <w:color w:val="000000" w:themeColor="text1"/>
          <w:sz w:val="22"/>
          <w:lang w:val="en-GB"/>
        </w:rPr>
        <w:t>Biopsy procedure and reference standard</w:t>
      </w:r>
    </w:p>
    <w:p w14:paraId="00D38F49" w14:textId="77662870" w:rsidR="000C7985" w:rsidRPr="008E0656" w:rsidRDefault="000C7985" w:rsidP="000C7985">
      <w:pPr>
        <w:spacing w:before="160" w:line="360" w:lineRule="auto"/>
        <w:jc w:val="both"/>
        <w:rPr>
          <w:rFonts w:ascii="Times New Roman" w:hAnsi="Times New Roman"/>
          <w:color w:val="000000" w:themeColor="text1"/>
          <w:sz w:val="22"/>
          <w:lang w:val="en-GB"/>
        </w:rPr>
      </w:pPr>
      <w:r w:rsidRPr="008E0656">
        <w:rPr>
          <w:rFonts w:ascii="Times New Roman" w:hAnsi="Times New Roman"/>
          <w:color w:val="000000" w:themeColor="text1"/>
          <w:sz w:val="22"/>
          <w:lang w:val="en-GB"/>
        </w:rPr>
        <w:t>Biopsy procedures were performed using an in-bore MRI-targeted robotic system (Soteria Medical BV, Arnhem, the Netherlands). In routine clinical practice at this institution, biopsy targeting is limited to the radiologist-defined index lesion, corresponding to the lesion of highest suspicion on MRI (PI-RADS ≥3).</w:t>
      </w:r>
    </w:p>
    <w:p w14:paraId="7C9E06D3" w14:textId="6FDBA756" w:rsidR="000C7985" w:rsidRPr="008E0656" w:rsidRDefault="000C7985" w:rsidP="000C7985">
      <w:pPr>
        <w:spacing w:before="160" w:line="360" w:lineRule="auto"/>
        <w:jc w:val="both"/>
        <w:rPr>
          <w:rFonts w:ascii="Times New Roman" w:hAnsi="Times New Roman"/>
          <w:color w:val="000000" w:themeColor="text1"/>
          <w:sz w:val="22"/>
          <w:lang w:val="en-GB"/>
        </w:rPr>
      </w:pPr>
      <w:r w:rsidRPr="008E0656">
        <w:rPr>
          <w:rFonts w:ascii="Times New Roman" w:hAnsi="Times New Roman"/>
          <w:color w:val="000000" w:themeColor="text1"/>
          <w:sz w:val="22"/>
          <w:lang w:val="en-GB"/>
        </w:rPr>
        <w:t>Although the robotic system allows sampling of multiple lesions (typically up to 2–3), standard clinical workflow prioritizes biopsy of a single index lesion. Accordingly, when additional lesions were present, these were classified as PI-RADS &lt;3 and were not routinely sampled.</w:t>
      </w:r>
    </w:p>
    <w:p w14:paraId="5578C1FD" w14:textId="77777777" w:rsidR="000C7985" w:rsidRPr="008E0656" w:rsidRDefault="000C7985" w:rsidP="000C7985">
      <w:pPr>
        <w:spacing w:before="160" w:line="360" w:lineRule="auto"/>
        <w:jc w:val="both"/>
        <w:rPr>
          <w:rFonts w:ascii="Times New Roman" w:hAnsi="Times New Roman"/>
          <w:color w:val="000000" w:themeColor="text1"/>
          <w:sz w:val="22"/>
          <w:lang w:val="en-GB"/>
        </w:rPr>
      </w:pPr>
      <w:r w:rsidRPr="008E0656">
        <w:rPr>
          <w:rFonts w:ascii="Times New Roman" w:hAnsi="Times New Roman"/>
          <w:color w:val="000000" w:themeColor="text1"/>
          <w:sz w:val="22"/>
          <w:lang w:val="en-GB"/>
        </w:rPr>
        <w:t>AI-CAD outputs were not available at the time of biopsy decision-making, and lesion targeting was based exclusively on the radiologist’s assessment. Therefore, lesions identified as suspicious only by AI-CAD during retrospective analysis were not biopsied.</w:t>
      </w:r>
    </w:p>
    <w:p w14:paraId="7C68BA41" w14:textId="066B8EED" w:rsidR="000C7985" w:rsidRPr="008E0656" w:rsidRDefault="000C7985" w:rsidP="000C7985">
      <w:pPr>
        <w:spacing w:before="160" w:line="360" w:lineRule="auto"/>
        <w:jc w:val="both"/>
        <w:rPr>
          <w:rFonts w:ascii="Times New Roman" w:hAnsi="Times New Roman"/>
          <w:color w:val="000000" w:themeColor="text1"/>
          <w:sz w:val="22"/>
          <w:lang w:val="en-GB"/>
        </w:rPr>
      </w:pPr>
      <w:r w:rsidRPr="008E0656">
        <w:rPr>
          <w:rFonts w:ascii="Times New Roman" w:hAnsi="Times New Roman"/>
          <w:color w:val="000000" w:themeColor="text1"/>
          <w:sz w:val="22"/>
          <w:lang w:val="en-GB"/>
        </w:rPr>
        <w:t>As a result, the study cohort consists of patients with a single PI-RADS ≥3 index lesion, reflecting routine clinical practice rather than a study-specific selection criterion.</w:t>
      </w:r>
    </w:p>
    <w:p w14:paraId="2CA037F1" w14:textId="58BE4E64" w:rsidR="00476F73" w:rsidRPr="008E0656" w:rsidRDefault="000C7985" w:rsidP="000C7985">
      <w:pPr>
        <w:spacing w:before="160" w:line="360" w:lineRule="auto"/>
        <w:jc w:val="both"/>
        <w:rPr>
          <w:rFonts w:ascii="Times New Roman" w:hAnsi="Times New Roman"/>
          <w:color w:val="000000" w:themeColor="text1"/>
          <w:sz w:val="22"/>
          <w:lang w:val="en-GB"/>
        </w:rPr>
      </w:pPr>
      <w:r w:rsidRPr="008E0656">
        <w:rPr>
          <w:rFonts w:ascii="Times New Roman" w:hAnsi="Times New Roman"/>
          <w:color w:val="000000" w:themeColor="text1"/>
          <w:sz w:val="22"/>
          <w:lang w:val="en-GB"/>
        </w:rPr>
        <w:t>Histopathological evaluation of biopsy specimens was performed by experienced genitourinary pathologists according to standard diagnostic criteria. Clinically significant prostate cancer (</w:t>
      </w:r>
      <w:proofErr w:type="spellStart"/>
      <w:r w:rsidRPr="008E0656">
        <w:rPr>
          <w:rFonts w:ascii="Times New Roman" w:hAnsi="Times New Roman"/>
          <w:color w:val="000000" w:themeColor="text1"/>
          <w:sz w:val="22"/>
          <w:lang w:val="en-GB"/>
        </w:rPr>
        <w:t>csPCa</w:t>
      </w:r>
      <w:proofErr w:type="spellEnd"/>
      <w:r w:rsidRPr="008E0656">
        <w:rPr>
          <w:rFonts w:ascii="Times New Roman" w:hAnsi="Times New Roman"/>
          <w:color w:val="000000" w:themeColor="text1"/>
          <w:sz w:val="22"/>
          <w:lang w:val="en-GB"/>
        </w:rPr>
        <w:t>) was defined as ISUP grade ≥2 (Gleason score ≥3+4), whereas ISUP grade 1 (Gleason score 3+3) was considered clinically insignificant, and remaining findings were classified as benign.</w:t>
      </w:r>
    </w:p>
    <w:p w14:paraId="441B14EA" w14:textId="77777777" w:rsidR="00651D06" w:rsidRDefault="00651D06" w:rsidP="00266928">
      <w:pPr>
        <w:spacing w:before="160" w:line="360" w:lineRule="auto"/>
        <w:jc w:val="both"/>
        <w:rPr>
          <w:rFonts w:ascii="Times New Roman" w:hAnsi="Times New Roman"/>
          <w:b/>
          <w:bCs/>
          <w:color w:val="000000" w:themeColor="text1"/>
          <w:sz w:val="22"/>
          <w:lang w:val="en-GB"/>
        </w:rPr>
      </w:pPr>
    </w:p>
    <w:p w14:paraId="79CE3E38" w14:textId="77777777" w:rsidR="00651D06" w:rsidRDefault="00651D06" w:rsidP="00266928">
      <w:pPr>
        <w:spacing w:before="160" w:line="360" w:lineRule="auto"/>
        <w:jc w:val="both"/>
        <w:rPr>
          <w:rFonts w:ascii="Times New Roman" w:hAnsi="Times New Roman"/>
          <w:b/>
          <w:bCs/>
          <w:color w:val="000000" w:themeColor="text1"/>
          <w:sz w:val="22"/>
          <w:lang w:val="en-GB"/>
        </w:rPr>
      </w:pPr>
    </w:p>
    <w:p w14:paraId="4303EECE" w14:textId="5DFE2495" w:rsidR="00266928" w:rsidRPr="008E0656" w:rsidRDefault="00266928" w:rsidP="00266928">
      <w:pPr>
        <w:spacing w:before="160" w:line="360" w:lineRule="auto"/>
        <w:jc w:val="both"/>
        <w:rPr>
          <w:rFonts w:ascii="Times New Roman" w:hAnsi="Times New Roman"/>
          <w:b/>
          <w:bCs/>
          <w:color w:val="000000" w:themeColor="text1"/>
          <w:sz w:val="22"/>
          <w:lang w:val="en-GB"/>
        </w:rPr>
      </w:pPr>
      <w:r w:rsidRPr="008E0656">
        <w:rPr>
          <w:rFonts w:ascii="Times New Roman" w:hAnsi="Times New Roman"/>
          <w:b/>
          <w:bCs/>
          <w:color w:val="000000" w:themeColor="text1"/>
          <w:sz w:val="22"/>
          <w:lang w:val="en-GB"/>
        </w:rPr>
        <w:lastRenderedPageBreak/>
        <w:t>AI-CAD system features and study-specific implementation</w:t>
      </w:r>
    </w:p>
    <w:p w14:paraId="50CEF5FA" w14:textId="6632F91E" w:rsidR="00266928" w:rsidRPr="008E0656" w:rsidRDefault="006E481A" w:rsidP="000C7985">
      <w:pPr>
        <w:spacing w:before="160" w:line="360" w:lineRule="auto"/>
        <w:jc w:val="both"/>
        <w:rPr>
          <w:rFonts w:ascii="Times New Roman" w:hAnsi="Times New Roman"/>
          <w:color w:val="000000" w:themeColor="text1"/>
          <w:sz w:val="22"/>
          <w:lang w:val="en-GB"/>
        </w:rPr>
      </w:pPr>
      <w:r w:rsidRPr="008E0656">
        <w:rPr>
          <w:rFonts w:ascii="Times New Roman" w:hAnsi="Times New Roman"/>
          <w:color w:val="000000" w:themeColor="text1"/>
          <w:sz w:val="22"/>
          <w:lang w:val="en-GB"/>
        </w:rPr>
        <w:t>QP-Prostate</w:t>
      </w:r>
      <w:r w:rsidRPr="008E0656">
        <w:rPr>
          <w:rFonts w:ascii="Times New Roman" w:hAnsi="Times New Roman"/>
          <w:color w:val="000000" w:themeColor="text1"/>
          <w:sz w:val="22"/>
          <w:vertAlign w:val="superscript"/>
          <w:lang w:val="en-GB"/>
        </w:rPr>
        <w:t>®</w:t>
      </w:r>
      <w:r w:rsidR="006E5A06" w:rsidRPr="008E0656">
        <w:rPr>
          <w:rFonts w:ascii="Times New Roman" w:hAnsi="Times New Roman"/>
          <w:color w:val="000000" w:themeColor="text1"/>
          <w:sz w:val="22"/>
          <w:vertAlign w:val="superscript"/>
          <w:lang w:val="en-GB"/>
        </w:rPr>
        <w:t xml:space="preserve"> </w:t>
      </w:r>
      <w:r w:rsidR="006E5A06" w:rsidRPr="008E0656">
        <w:rPr>
          <w:rFonts w:ascii="Times New Roman" w:hAnsi="Times New Roman"/>
          <w:color w:val="000000" w:themeColor="text1"/>
          <w:sz w:val="22"/>
          <w:lang w:val="en-GB"/>
        </w:rPr>
        <w:t xml:space="preserve">processes prostate MRI examinations using standard DICOM inputs and operates without user interaction or manual parameter adjustment. In the present study, the software </w:t>
      </w:r>
      <w:r w:rsidR="008E0656" w:rsidRPr="008E0656">
        <w:rPr>
          <w:rFonts w:ascii="Times New Roman" w:hAnsi="Times New Roman"/>
          <w:color w:val="000000" w:themeColor="text1"/>
          <w:sz w:val="22"/>
          <w:lang w:val="en-GB"/>
        </w:rPr>
        <w:t>analysed</w:t>
      </w:r>
      <w:r w:rsidR="006E5A06" w:rsidRPr="008E0656">
        <w:rPr>
          <w:rFonts w:ascii="Times New Roman" w:hAnsi="Times New Roman"/>
          <w:color w:val="000000" w:themeColor="text1"/>
          <w:sz w:val="22"/>
          <w:lang w:val="en-GB"/>
        </w:rPr>
        <w:t xml:space="preserve"> </w:t>
      </w:r>
      <w:proofErr w:type="spellStart"/>
      <w:r w:rsidR="006E5A06" w:rsidRPr="008E0656">
        <w:rPr>
          <w:rFonts w:ascii="Times New Roman" w:hAnsi="Times New Roman"/>
          <w:color w:val="000000" w:themeColor="text1"/>
          <w:sz w:val="22"/>
          <w:lang w:val="en-GB"/>
        </w:rPr>
        <w:t>bpMRI</w:t>
      </w:r>
      <w:proofErr w:type="spellEnd"/>
      <w:r w:rsidR="006E5A06" w:rsidRPr="008E0656">
        <w:rPr>
          <w:rFonts w:ascii="Times New Roman" w:hAnsi="Times New Roman"/>
          <w:color w:val="000000" w:themeColor="text1"/>
          <w:sz w:val="22"/>
          <w:lang w:val="en-GB"/>
        </w:rPr>
        <w:t xml:space="preserve"> data, including T2-weighted and DWI sequences.</w:t>
      </w:r>
      <w:r w:rsidR="006E5A06" w:rsidRPr="008E0656">
        <w:rPr>
          <w:rFonts w:ascii="Times New Roman" w:hAnsi="Times New Roman"/>
          <w:color w:val="000000" w:themeColor="text1"/>
          <w:sz w:val="22"/>
          <w:vertAlign w:val="superscript"/>
          <w:lang w:val="en-GB"/>
        </w:rPr>
        <w:t xml:space="preserve"> </w:t>
      </w:r>
      <w:r w:rsidR="00CD3FE4" w:rsidRPr="008E0656">
        <w:rPr>
          <w:rFonts w:ascii="Times New Roman" w:hAnsi="Times New Roman"/>
          <w:color w:val="000000" w:themeColor="text1"/>
          <w:sz w:val="22"/>
          <w:lang w:val="en-GB"/>
        </w:rPr>
        <w:t>Based on quantitative image-derived information, the AI-CAD generated lesion-level outputs consisting of spatial overlays highlighting regions of interest within the prostate gland together with a categorical risk assignment. All outputs were generated automatically and exported in standard DICOM format for retrospective analysis. The software was applied retrospectively to all MRI examinations included in the study, and its outputs were generated independently of radiological interpretation and were not available to radiologists at the time of MRI reading or biopsy decision-making. For performance evaluation, only the AI-CAD output corresponding to the radiologist-identified index lesion targeted for biopsy was considered. No modification of the software configuration, thresholds, or operating parameters was performed beyond the default settings of the device. QP-Prostate® v.2 was used for the present study.</w:t>
      </w:r>
    </w:p>
    <w:p w14:paraId="525D1263" w14:textId="74EEA25C" w:rsidR="002143AD" w:rsidRPr="008E0656" w:rsidRDefault="00D94959" w:rsidP="00D94959">
      <w:pPr>
        <w:rPr>
          <w:rFonts w:ascii="Times New Roman" w:hAnsi="Times New Roman" w:cs="Times New Roman"/>
          <w:b/>
          <w:bCs/>
          <w:lang w:val="en-GB"/>
        </w:rPr>
      </w:pPr>
      <w:r w:rsidRPr="008E0656">
        <w:rPr>
          <w:rFonts w:ascii="Times New Roman" w:hAnsi="Times New Roman" w:cs="Times New Roman"/>
          <w:b/>
          <w:bCs/>
          <w:lang w:val="en-GB"/>
        </w:rPr>
        <w:t>Statistical analysis</w:t>
      </w:r>
    </w:p>
    <w:p w14:paraId="2055FAE3" w14:textId="3110B153" w:rsidR="000035F5" w:rsidRDefault="000035F5" w:rsidP="00D94959">
      <w:pPr>
        <w:spacing w:before="160" w:line="360" w:lineRule="auto"/>
        <w:jc w:val="both"/>
        <w:rPr>
          <w:rFonts w:ascii="Times New Roman" w:hAnsi="Times New Roman"/>
          <w:color w:val="000000" w:themeColor="text1"/>
          <w:sz w:val="22"/>
          <w:lang w:val="en-GB"/>
        </w:rPr>
      </w:pPr>
      <w:r w:rsidRPr="005C38FF">
        <w:rPr>
          <w:rFonts w:ascii="Times New Roman" w:hAnsi="Times New Roman"/>
          <w:color w:val="000000" w:themeColor="text1"/>
          <w:sz w:val="22"/>
          <w:lang w:val="en-GB"/>
        </w:rPr>
        <w:t>Given the retrospective observational design, no formal sample size calculation was performed. Sample size was determined by all eligible consecutive patients meeting study inclusion criteria during the predefined study period</w:t>
      </w:r>
    </w:p>
    <w:p w14:paraId="7C481438" w14:textId="530C779F" w:rsidR="00D94959" w:rsidRDefault="00D94959" w:rsidP="00D94959">
      <w:pPr>
        <w:spacing w:before="160" w:line="360" w:lineRule="auto"/>
        <w:jc w:val="both"/>
        <w:rPr>
          <w:rFonts w:ascii="Times New Roman" w:hAnsi="Times New Roman"/>
          <w:color w:val="000000" w:themeColor="text1"/>
          <w:sz w:val="22"/>
          <w:lang w:val="en-GB"/>
        </w:rPr>
      </w:pPr>
      <w:r w:rsidRPr="008E0656">
        <w:rPr>
          <w:rFonts w:ascii="Times New Roman" w:hAnsi="Times New Roman"/>
          <w:color w:val="000000" w:themeColor="text1"/>
          <w:sz w:val="22"/>
          <w:lang w:val="en-GB"/>
        </w:rPr>
        <w:t>Descriptive statistics were used to summarize patient and lesion characteristics. Continuous variables are reported as mean ± standard deviation (SD) and median (range), as appropriate. Categorical variables are reported as absolute and relative frequencies.</w:t>
      </w:r>
    </w:p>
    <w:p w14:paraId="743C9B22" w14:textId="77777777" w:rsidR="00D94959" w:rsidRPr="008E0656" w:rsidRDefault="00D94959" w:rsidP="00D94959">
      <w:pPr>
        <w:spacing w:before="160" w:line="360" w:lineRule="auto"/>
        <w:jc w:val="both"/>
        <w:rPr>
          <w:rFonts w:ascii="Times New Roman" w:hAnsi="Times New Roman"/>
          <w:color w:val="000000" w:themeColor="text1"/>
          <w:sz w:val="22"/>
          <w:lang w:val="en-GB"/>
        </w:rPr>
      </w:pPr>
      <w:r w:rsidRPr="008E0656">
        <w:rPr>
          <w:rFonts w:ascii="Times New Roman" w:hAnsi="Times New Roman"/>
          <w:color w:val="000000" w:themeColor="text1"/>
          <w:sz w:val="22"/>
          <w:lang w:val="en-GB"/>
        </w:rPr>
        <w:t>The diagnostic performance of the AI-CAD was evaluated according to the predefined primary and secondary study objectives, applying two operating thresholds to dichotomize its output (Moderate-or-High as positive and High-risk only as positive).</w:t>
      </w:r>
    </w:p>
    <w:p w14:paraId="54184BAE" w14:textId="77777777" w:rsidR="00D94959" w:rsidRPr="008E0656" w:rsidRDefault="00D94959" w:rsidP="00D94959">
      <w:pPr>
        <w:spacing w:before="160" w:line="360" w:lineRule="auto"/>
        <w:jc w:val="both"/>
        <w:rPr>
          <w:rFonts w:ascii="Times New Roman" w:hAnsi="Times New Roman"/>
          <w:color w:val="000000" w:themeColor="text1"/>
          <w:sz w:val="22"/>
          <w:lang w:val="en-GB"/>
        </w:rPr>
      </w:pPr>
      <w:r w:rsidRPr="008E0656">
        <w:rPr>
          <w:rFonts w:ascii="Times New Roman" w:hAnsi="Times New Roman"/>
          <w:color w:val="000000" w:themeColor="text1"/>
          <w:sz w:val="22"/>
          <w:lang w:val="en-GB"/>
        </w:rPr>
        <w:t xml:space="preserve">For each combination of reference standard and threshold configuration, lesion-level diagnostic performance metrics were calculated, including sensitivity, specificity, positive predictive value (PPV), negative predictive value (NPV), and overall accuracy. </w:t>
      </w:r>
      <w:r w:rsidRPr="008E0656">
        <w:rPr>
          <w:rFonts w:ascii="Times New Roman" w:hAnsi="Times New Roman"/>
          <w:sz w:val="22"/>
          <w:lang w:val="en-GB"/>
        </w:rPr>
        <w:t>All metrics are reported with 95% confidence intervals, computed using the Wilson score method.</w:t>
      </w:r>
    </w:p>
    <w:p w14:paraId="2A9A77C8" w14:textId="201BC80C" w:rsidR="00E866E5" w:rsidRDefault="00E866E5" w:rsidP="00D94959">
      <w:pPr>
        <w:spacing w:before="160" w:line="360" w:lineRule="auto"/>
        <w:jc w:val="both"/>
        <w:rPr>
          <w:rFonts w:ascii="Times New Roman" w:hAnsi="Times New Roman"/>
          <w:color w:val="000000" w:themeColor="text1"/>
          <w:sz w:val="22"/>
          <w:lang w:val="en-GB"/>
        </w:rPr>
      </w:pPr>
      <w:r w:rsidRPr="00E866E5">
        <w:rPr>
          <w:rFonts w:ascii="Times New Roman" w:hAnsi="Times New Roman"/>
          <w:color w:val="000000" w:themeColor="text1"/>
          <w:sz w:val="22"/>
          <w:lang w:val="en-GB"/>
        </w:rPr>
        <w:t>All included cases generated valid AI-CAD outputs and conclusive histopathological reference standard assessments. No indeterminate results or missing data were observed for index test or reference standard analyses.</w:t>
      </w:r>
    </w:p>
    <w:p w14:paraId="431C3471" w14:textId="1456B981" w:rsidR="00D94959" w:rsidRPr="008E0656" w:rsidRDefault="00D94959" w:rsidP="00D94959">
      <w:pPr>
        <w:spacing w:before="160" w:line="360" w:lineRule="auto"/>
        <w:jc w:val="both"/>
        <w:rPr>
          <w:rFonts w:ascii="Times New Roman" w:hAnsi="Times New Roman"/>
          <w:color w:val="000000" w:themeColor="text1"/>
          <w:sz w:val="22"/>
          <w:lang w:val="en-GB"/>
        </w:rPr>
      </w:pPr>
      <w:r w:rsidRPr="008E0656">
        <w:rPr>
          <w:rFonts w:ascii="Times New Roman" w:hAnsi="Times New Roman"/>
          <w:color w:val="000000" w:themeColor="text1"/>
          <w:sz w:val="22"/>
          <w:lang w:val="en-GB"/>
        </w:rPr>
        <w:t>Additional exploratory analyses were performed for the primary endpoint (</w:t>
      </w:r>
      <w:proofErr w:type="spellStart"/>
      <w:r w:rsidRPr="008E0656">
        <w:rPr>
          <w:rFonts w:ascii="Times New Roman" w:hAnsi="Times New Roman"/>
          <w:color w:val="000000" w:themeColor="text1"/>
          <w:sz w:val="22"/>
          <w:lang w:val="en-GB"/>
        </w:rPr>
        <w:t>csPCa</w:t>
      </w:r>
      <w:proofErr w:type="spellEnd"/>
      <w:r w:rsidRPr="008E0656">
        <w:rPr>
          <w:rFonts w:ascii="Times New Roman" w:hAnsi="Times New Roman"/>
          <w:color w:val="000000" w:themeColor="text1"/>
          <w:sz w:val="22"/>
          <w:lang w:val="en-GB"/>
        </w:rPr>
        <w:t xml:space="preserve">) to investigate potential factors associated with false-positive and false-negative AI-CAD results. Discordant cases </w:t>
      </w:r>
      <w:r w:rsidRPr="008E0656">
        <w:rPr>
          <w:rFonts w:ascii="Times New Roman" w:hAnsi="Times New Roman"/>
          <w:color w:val="000000" w:themeColor="text1"/>
          <w:sz w:val="22"/>
          <w:lang w:val="en-GB"/>
        </w:rPr>
        <w:lastRenderedPageBreak/>
        <w:t xml:space="preserve">were reviewed in conjunction with the corresponding radiologist’s comments. Lesion anatomical location was </w:t>
      </w:r>
      <w:proofErr w:type="spellStart"/>
      <w:r w:rsidRPr="008E0656">
        <w:rPr>
          <w:rFonts w:ascii="Times New Roman" w:hAnsi="Times New Roman"/>
          <w:color w:val="000000" w:themeColor="text1"/>
          <w:sz w:val="22"/>
          <w:lang w:val="en-GB"/>
        </w:rPr>
        <w:t>analyzed</w:t>
      </w:r>
      <w:proofErr w:type="spellEnd"/>
      <w:r w:rsidRPr="008E0656">
        <w:rPr>
          <w:rFonts w:ascii="Times New Roman" w:hAnsi="Times New Roman"/>
          <w:color w:val="000000" w:themeColor="text1"/>
          <w:sz w:val="22"/>
          <w:lang w:val="en-GB"/>
        </w:rPr>
        <w:t xml:space="preserve"> by prostate zone (PZ vs TZ + CZ), separately for each threshold configuration.</w:t>
      </w:r>
    </w:p>
    <w:p w14:paraId="2C14B1E9" w14:textId="77777777" w:rsidR="00D94959" w:rsidRPr="008E0656" w:rsidRDefault="00D94959" w:rsidP="00D94959">
      <w:pPr>
        <w:spacing w:before="160" w:line="360" w:lineRule="auto"/>
        <w:jc w:val="both"/>
        <w:rPr>
          <w:rFonts w:ascii="Times New Roman" w:hAnsi="Times New Roman"/>
          <w:color w:val="000000" w:themeColor="text1"/>
          <w:sz w:val="22"/>
          <w:lang w:val="en-GB"/>
        </w:rPr>
      </w:pPr>
      <w:r w:rsidRPr="008E0656">
        <w:rPr>
          <w:rFonts w:ascii="Times New Roman" w:hAnsi="Times New Roman"/>
          <w:color w:val="000000" w:themeColor="text1"/>
          <w:sz w:val="22"/>
          <w:lang w:val="en-GB"/>
        </w:rPr>
        <w:t xml:space="preserve">A dedicated subgroup analysis (exploratory endpoint) was conducted for lesions classified as PI-RADS 3. In this subgroup, biopsy results were used to determine whether lesions corresponded to </w:t>
      </w:r>
      <w:proofErr w:type="spellStart"/>
      <w:r w:rsidRPr="008E0656">
        <w:rPr>
          <w:rFonts w:ascii="Times New Roman" w:hAnsi="Times New Roman"/>
          <w:color w:val="000000" w:themeColor="text1"/>
          <w:sz w:val="22"/>
          <w:lang w:val="en-GB"/>
        </w:rPr>
        <w:t>csPCa</w:t>
      </w:r>
      <w:proofErr w:type="spellEnd"/>
      <w:r w:rsidRPr="008E0656">
        <w:rPr>
          <w:rFonts w:ascii="Times New Roman" w:hAnsi="Times New Roman"/>
          <w:color w:val="000000" w:themeColor="text1"/>
          <w:sz w:val="22"/>
          <w:lang w:val="en-GB"/>
        </w:rPr>
        <w:t>, clinically insignificant (ci)</w:t>
      </w:r>
      <w:proofErr w:type="spellStart"/>
      <w:r w:rsidRPr="008E0656">
        <w:rPr>
          <w:rFonts w:ascii="Times New Roman" w:hAnsi="Times New Roman"/>
          <w:color w:val="000000" w:themeColor="text1"/>
          <w:sz w:val="22"/>
          <w:lang w:val="en-GB"/>
        </w:rPr>
        <w:t>PCa</w:t>
      </w:r>
      <w:proofErr w:type="spellEnd"/>
      <w:r w:rsidRPr="008E0656">
        <w:rPr>
          <w:rFonts w:ascii="Times New Roman" w:hAnsi="Times New Roman"/>
          <w:color w:val="000000" w:themeColor="text1"/>
          <w:sz w:val="22"/>
          <w:lang w:val="en-GB"/>
        </w:rPr>
        <w:t>, or benign findings. Diagnostic performance in PI-RADS 3 lesions was further evaluated according to lesion location, considering the Moderate-or-High threshold configuration.</w:t>
      </w:r>
    </w:p>
    <w:p w14:paraId="30FA0FD6" w14:textId="77777777" w:rsidR="00D94959" w:rsidRPr="008E0656" w:rsidRDefault="00D94959" w:rsidP="00D94959">
      <w:pPr>
        <w:spacing w:before="160" w:line="360" w:lineRule="auto"/>
        <w:jc w:val="both"/>
        <w:rPr>
          <w:rFonts w:ascii="Times New Roman" w:hAnsi="Times New Roman"/>
          <w:color w:val="000000" w:themeColor="text1"/>
          <w:sz w:val="22"/>
          <w:lang w:val="en-GB"/>
        </w:rPr>
      </w:pPr>
      <w:r w:rsidRPr="008E0656">
        <w:rPr>
          <w:rFonts w:ascii="Times New Roman" w:hAnsi="Times New Roman"/>
          <w:color w:val="000000" w:themeColor="text1"/>
          <w:sz w:val="22"/>
          <w:lang w:val="en-GB"/>
        </w:rPr>
        <w:t xml:space="preserve">Additionally, the potential clinical impact of the AI-CAD was explored by </w:t>
      </w:r>
      <w:r w:rsidRPr="008E0656">
        <w:rPr>
          <w:rFonts w:ascii="Times New Roman" w:hAnsi="Times New Roman"/>
          <w:sz w:val="22"/>
          <w:lang w:val="en-GB"/>
        </w:rPr>
        <w:t xml:space="preserve">estimating how many biopsies might have been avoided and how many </w:t>
      </w:r>
      <w:proofErr w:type="spellStart"/>
      <w:r w:rsidRPr="008E0656">
        <w:rPr>
          <w:rFonts w:ascii="Times New Roman" w:hAnsi="Times New Roman"/>
          <w:sz w:val="22"/>
          <w:lang w:val="en-GB"/>
        </w:rPr>
        <w:t>csPCa</w:t>
      </w:r>
      <w:proofErr w:type="spellEnd"/>
      <w:r w:rsidRPr="008E0656">
        <w:rPr>
          <w:rFonts w:ascii="Times New Roman" w:hAnsi="Times New Roman"/>
          <w:sz w:val="22"/>
          <w:lang w:val="en-GB"/>
        </w:rPr>
        <w:t xml:space="preserve"> cases might have been missed if biopsy decisions had been guided by AI-CAD classifications under the two evaluated thresholds (Moderate + High and High-only). Lesions classified by the system as negative for </w:t>
      </w:r>
      <w:proofErr w:type="spellStart"/>
      <w:r w:rsidRPr="008E0656">
        <w:rPr>
          <w:rFonts w:ascii="Times New Roman" w:hAnsi="Times New Roman"/>
          <w:sz w:val="22"/>
          <w:lang w:val="en-GB"/>
        </w:rPr>
        <w:t>csPCa</w:t>
      </w:r>
      <w:proofErr w:type="spellEnd"/>
      <w:r w:rsidRPr="008E0656">
        <w:rPr>
          <w:rFonts w:ascii="Times New Roman" w:hAnsi="Times New Roman"/>
          <w:sz w:val="22"/>
          <w:lang w:val="en-GB"/>
        </w:rPr>
        <w:t xml:space="preserve"> were considered as potentially avoided biopsies. Missed </w:t>
      </w:r>
      <w:proofErr w:type="spellStart"/>
      <w:r w:rsidRPr="008E0656">
        <w:rPr>
          <w:rFonts w:ascii="Times New Roman" w:hAnsi="Times New Roman"/>
          <w:sz w:val="22"/>
          <w:lang w:val="en-GB"/>
        </w:rPr>
        <w:t>csPCa</w:t>
      </w:r>
      <w:proofErr w:type="spellEnd"/>
      <w:r w:rsidRPr="008E0656">
        <w:rPr>
          <w:rFonts w:ascii="Times New Roman" w:hAnsi="Times New Roman"/>
          <w:sz w:val="22"/>
          <w:lang w:val="en-GB"/>
        </w:rPr>
        <w:t xml:space="preserve"> corresponded to cases with </w:t>
      </w:r>
      <w:proofErr w:type="spellStart"/>
      <w:r w:rsidRPr="008E0656">
        <w:rPr>
          <w:rFonts w:ascii="Times New Roman" w:hAnsi="Times New Roman"/>
          <w:sz w:val="22"/>
          <w:lang w:val="en-GB"/>
        </w:rPr>
        <w:t>csPCa</w:t>
      </w:r>
      <w:proofErr w:type="spellEnd"/>
      <w:r w:rsidRPr="008E0656">
        <w:rPr>
          <w:rFonts w:ascii="Times New Roman" w:hAnsi="Times New Roman"/>
          <w:sz w:val="22"/>
          <w:lang w:val="en-GB"/>
        </w:rPr>
        <w:t xml:space="preserve"> at histopathology that were classified as negative for </w:t>
      </w:r>
      <w:proofErr w:type="spellStart"/>
      <w:r w:rsidRPr="008E0656">
        <w:rPr>
          <w:rFonts w:ascii="Times New Roman" w:hAnsi="Times New Roman"/>
          <w:sz w:val="22"/>
          <w:lang w:val="en-GB"/>
        </w:rPr>
        <w:t>csPCa</w:t>
      </w:r>
      <w:proofErr w:type="spellEnd"/>
      <w:r w:rsidRPr="008E0656">
        <w:rPr>
          <w:rFonts w:ascii="Times New Roman" w:hAnsi="Times New Roman"/>
          <w:sz w:val="22"/>
          <w:lang w:val="en-GB"/>
        </w:rPr>
        <w:t xml:space="preserve"> by the system. The analysis was performed in the full dataset and separately in the subset of PI-RADS 3 lesions.</w:t>
      </w:r>
    </w:p>
    <w:p w14:paraId="3603D77E" w14:textId="2BD1E204" w:rsidR="00D94959" w:rsidRPr="008E0656" w:rsidRDefault="00D94959" w:rsidP="00D94959">
      <w:pPr>
        <w:rPr>
          <w:rFonts w:ascii="Times New Roman" w:hAnsi="Times New Roman" w:cs="Times New Roman"/>
          <w:b/>
          <w:bCs/>
          <w:lang w:val="en-GB"/>
        </w:rPr>
      </w:pPr>
    </w:p>
    <w:sectPr w:rsidR="00D94959" w:rsidRPr="008E065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87FAF" w14:textId="77777777" w:rsidR="009A21AC" w:rsidRDefault="009A21AC" w:rsidP="00C54E32">
      <w:pPr>
        <w:spacing w:after="0" w:line="240" w:lineRule="auto"/>
      </w:pPr>
      <w:r>
        <w:separator/>
      </w:r>
    </w:p>
  </w:endnote>
  <w:endnote w:type="continuationSeparator" w:id="0">
    <w:p w14:paraId="010B3D7E" w14:textId="77777777" w:rsidR="009A21AC" w:rsidRDefault="009A21AC" w:rsidP="00C5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FD872" w14:textId="77777777" w:rsidR="009A21AC" w:rsidRDefault="009A21AC" w:rsidP="00C54E32">
      <w:pPr>
        <w:spacing w:after="0" w:line="240" w:lineRule="auto"/>
      </w:pPr>
      <w:r>
        <w:separator/>
      </w:r>
    </w:p>
  </w:footnote>
  <w:footnote w:type="continuationSeparator" w:id="0">
    <w:p w14:paraId="2899A854" w14:textId="77777777" w:rsidR="009A21AC" w:rsidRDefault="009A21AC" w:rsidP="00C54E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3A93C5"/>
    <w:rsid w:val="000035F5"/>
    <w:rsid w:val="000C7985"/>
    <w:rsid w:val="000E04DD"/>
    <w:rsid w:val="0015160D"/>
    <w:rsid w:val="002143AD"/>
    <w:rsid w:val="002239B9"/>
    <w:rsid w:val="00266928"/>
    <w:rsid w:val="002D2E89"/>
    <w:rsid w:val="00367129"/>
    <w:rsid w:val="003E659F"/>
    <w:rsid w:val="00457008"/>
    <w:rsid w:val="00476F73"/>
    <w:rsid w:val="005A774D"/>
    <w:rsid w:val="005C38FF"/>
    <w:rsid w:val="00622FC2"/>
    <w:rsid w:val="00651D06"/>
    <w:rsid w:val="006E481A"/>
    <w:rsid w:val="006E5A06"/>
    <w:rsid w:val="006F55B5"/>
    <w:rsid w:val="007960F7"/>
    <w:rsid w:val="007D560B"/>
    <w:rsid w:val="00856241"/>
    <w:rsid w:val="008E0656"/>
    <w:rsid w:val="009A1E09"/>
    <w:rsid w:val="009A21AC"/>
    <w:rsid w:val="00A46995"/>
    <w:rsid w:val="00BA04A6"/>
    <w:rsid w:val="00C54E32"/>
    <w:rsid w:val="00C56756"/>
    <w:rsid w:val="00C70A83"/>
    <w:rsid w:val="00C80DE4"/>
    <w:rsid w:val="00CB2070"/>
    <w:rsid w:val="00CD3FE4"/>
    <w:rsid w:val="00D123C7"/>
    <w:rsid w:val="00D94959"/>
    <w:rsid w:val="00E866E5"/>
    <w:rsid w:val="00EC1F07"/>
    <w:rsid w:val="3D3A93C5"/>
    <w:rsid w:val="3E18103E"/>
    <w:rsid w:val="4865F3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8922"/>
  <w15:chartTrackingRefBased/>
  <w15:docId w15:val="{20EBAE7E-A715-4F04-83B3-08B40C8C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4E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4E32"/>
  </w:style>
  <w:style w:type="paragraph" w:styleId="Piedepgina">
    <w:name w:val="footer"/>
    <w:basedOn w:val="Normal"/>
    <w:link w:val="PiedepginaCar"/>
    <w:uiPriority w:val="99"/>
    <w:unhideWhenUsed/>
    <w:rsid w:val="00C54E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4E32"/>
  </w:style>
  <w:style w:type="paragraph" w:styleId="Revisin">
    <w:name w:val="Revision"/>
    <w:hidden/>
    <w:uiPriority w:val="99"/>
    <w:semiHidden/>
    <w:rsid w:val="003671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fidentiality xmlns="041c5c9c-a38f-48cd-8fe8-0a1b756c4309" xsi:nil="true"/>
    <TreatmentorDiagnosticCategory xmlns="041c5c9c-a38f-48cd-8fe8-0a1b756c4309" xsi:nil="true"/>
    <lcf76f155ced4ddcb4097134ff3c332f xmlns="041c5c9c-a38f-48cd-8fe8-0a1b756c4309">
      <Terms xmlns="http://schemas.microsoft.com/office/infopath/2007/PartnerControls"/>
    </lcf76f155ced4ddcb4097134ff3c332f>
    <CaseStudyID xmlns="041c5c9c-a38f-48cd-8fe8-0a1b756c4309" xsi:nil="true"/>
    <TrialPhase xmlns="041c5c9c-a38f-48cd-8fe8-0a1b756c4309" xsi:nil="true"/>
    <QuibimsRole xmlns="041c5c9c-a38f-48cd-8fe8-0a1b756c4309" xsi:nil="true"/>
    <TaxCatchAll xmlns="e84258a0-0be7-48c5-a501-fb079150d7e9" xsi:nil="true"/>
    <Sponsor_x002f_Collaborator xmlns="041c5c9c-a38f-48cd-8fe8-0a1b756c4309" xsi:nil="true"/>
    <TherapeuticArea xmlns="041c5c9c-a38f-48cd-8fe8-0a1b756c4309" xsi:nil="true"/>
    <DiseaseSubarea xmlns="041c5c9c-a38f-48cd-8fe8-0a1b756c4309" xsi:nil="true"/>
    <Date xmlns="041c5c9c-a38f-48cd-8fe8-0a1b756c43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595D0977780348985DEBF35B52A065" ma:contentTypeVersion="30" ma:contentTypeDescription="Create a new document." ma:contentTypeScope="" ma:versionID="462203e6d57e9a8b37ac390cc7bef087">
  <xsd:schema xmlns:xsd="http://www.w3.org/2001/XMLSchema" xmlns:xs="http://www.w3.org/2001/XMLSchema" xmlns:p="http://schemas.microsoft.com/office/2006/metadata/properties" xmlns:ns2="041c5c9c-a38f-48cd-8fe8-0a1b756c4309" xmlns:ns3="e84258a0-0be7-48c5-a501-fb079150d7e9" targetNamespace="http://schemas.microsoft.com/office/2006/metadata/properties" ma:root="true" ma:fieldsID="b8b6f9f84457265853c4bc65e1d4d91b" ns2:_="" ns3:_="">
    <xsd:import namespace="041c5c9c-a38f-48cd-8fe8-0a1b756c4309"/>
    <xsd:import namespace="e84258a0-0be7-48c5-a501-fb079150d7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CaseStudyID" minOccurs="0"/>
                <xsd:element ref="ns2:TherapeuticArea" minOccurs="0"/>
                <xsd:element ref="ns2:TrialPhase" minOccurs="0"/>
                <xsd:element ref="ns2:DiseaseSubarea" minOccurs="0"/>
                <xsd:element ref="ns2:TreatmentorDiagnosticCategory" minOccurs="0"/>
                <xsd:element ref="ns2:QuibimsRole" minOccurs="0"/>
                <xsd:element ref="ns2:Confidentiality" minOccurs="0"/>
                <xsd:element ref="ns2:Sponsor_x002f_Collaborator"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c5c9c-a38f-48cd-8fe8-0a1b756c4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c477ec7-db96-464a-8e23-d479eea82f1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aseStudyID" ma:index="25" nillable="true" ma:displayName="Case Study ID" ma:description="include the case study ID, format &quot;CAS0123&quot;. The ID serves as a unique identifier referenced on any materials referring to that case study - a slide, brochure, blog post, etc" ma:format="Dropdown" ma:internalName="CaseStudyID">
      <xsd:simpleType>
        <xsd:restriction base="dms:Text">
          <xsd:maxLength value="255"/>
        </xsd:restriction>
      </xsd:simpleType>
    </xsd:element>
    <xsd:element name="TherapeuticArea" ma:index="26" nillable="true" ma:displayName="Therapeutic Area" ma:format="Dropdown" ma:internalName="TherapeuticArea">
      <xsd:complexType>
        <xsd:complexContent>
          <xsd:extension base="dms:MultiChoiceFillIn">
            <xsd:sequence>
              <xsd:element name="Value" maxOccurs="unbounded" minOccurs="0" nillable="true">
                <xsd:simpleType>
                  <xsd:union memberTypes="dms:Text">
                    <xsd:simpleType>
                      <xsd:restriction base="dms:Choice">
                        <xsd:enumeration value="Oncology"/>
                        <xsd:enumeration value="Rheumatology"/>
                        <xsd:enumeration value="Immunology"/>
                        <xsd:enumeration value="Gynecology"/>
                        <xsd:enumeration value="MSK"/>
                        <xsd:enumeration value="Neurdegenerative"/>
                        <xsd:enumeration value="Cardiovascular"/>
                      </xsd:restriction>
                    </xsd:simpleType>
                  </xsd:union>
                </xsd:simpleType>
              </xsd:element>
            </xsd:sequence>
          </xsd:extension>
        </xsd:complexContent>
      </xsd:complexType>
    </xsd:element>
    <xsd:element name="TrialPhase" ma:index="27" nillable="true" ma:displayName="Trial Phase" ma:format="Dropdown" ma:internalName="TrialPhase">
      <xsd:complexType>
        <xsd:complexContent>
          <xsd:extension base="dms:MultiChoice">
            <xsd:sequence>
              <xsd:element name="Value" maxOccurs="unbounded" minOccurs="0" nillable="true">
                <xsd:simpleType>
                  <xsd:restriction base="dms:Choice">
                    <xsd:enumeration value="Phase I"/>
                    <xsd:enumeration value="Phase II"/>
                    <xsd:enumeration value="Phase III"/>
                    <xsd:enumeration value="Post-Approval"/>
                    <xsd:enumeration value="N/A"/>
                  </xsd:restriction>
                </xsd:simpleType>
              </xsd:element>
            </xsd:sequence>
          </xsd:extension>
        </xsd:complexContent>
      </xsd:complexType>
    </xsd:element>
    <xsd:element name="DiseaseSubarea" ma:index="28" nillable="true" ma:displayName="Disease Subarea" ma:format="Dropdown" ma:internalName="DiseaseSubarea">
      <xsd:complexType>
        <xsd:complexContent>
          <xsd:extension base="dms:MultiChoiceFillIn">
            <xsd:sequence>
              <xsd:element name="Value" maxOccurs="unbounded" minOccurs="0" nillable="true">
                <xsd:simpleType>
                  <xsd:union memberTypes="dms:Text">
                    <xsd:simpleType>
                      <xsd:restriction base="dms:Choice">
                        <xsd:enumeration value="Amyotrophic Lateral Sclerosis (ALS)"/>
                        <xsd:enumeration value="Axial spondyloarthritis"/>
                        <xsd:enumeration value="Brain Cancer"/>
                        <xsd:enumeration value="Brain Metastases"/>
                        <xsd:enumeration value="Breast Cancer"/>
                        <xsd:enumeration value="Characterization of cystic renal masses"/>
                        <xsd:enumeration value="Childhood Diffuse Intrinsic Pontine Glioma (DIPG)"/>
                        <xsd:enumeration value="Chronic pain"/>
                        <xsd:enumeration value="Colorectal Cancer"/>
                        <xsd:enumeration value="Dementia"/>
                        <xsd:enumeration value="Desmoid Tumor"/>
                        <xsd:enumeration value="Head and neck cancer"/>
                        <xsd:enumeration value="Leukaemia"/>
                        <xsd:enumeration value="Lymphoma"/>
                        <xsd:enumeration value="Liver"/>
                        <xsd:enumeration value="Lumbar disc herniation"/>
                        <xsd:enumeration value="Lung Cancer"/>
                        <xsd:enumeration value="Melanoma"/>
                        <xsd:enumeration value="Metastatic Cancer"/>
                        <xsd:enumeration value="Myeloma"/>
                        <xsd:enumeration value="Neuroblastoma"/>
                        <xsd:enumeration value="Neurodegenerative diseases"/>
                        <xsd:enumeration value="Non-small Cell Lung Cancer (NSCLC)"/>
                        <xsd:enumeration value="Pan-cancer"/>
                        <xsd:enumeration value="Pancreatic cancer"/>
                        <xsd:enumeration value="Polycystic ovary syndrome (PCOS)"/>
                        <xsd:enumeration value="Prostate Cancer"/>
                        <xsd:enumeration value="Rare disease"/>
                        <xsd:enumeration value="Rectal cancer"/>
                        <xsd:enumeration value="Renal cancer"/>
                        <xsd:enumeration value="Rett syndrome and documented MECP2 loss-of-function mutation"/>
                        <xsd:enumeration value="Stroke"/>
                        <xsd:enumeration value="Urethral vascular flow"/>
                        <xsd:enumeration value="Other"/>
                        <xsd:enumeration value="Not applicable"/>
                        <xsd:enumeration value="Interstitial lung disease"/>
                        <xsd:enumeration value="Diffuse Intrinsic Pontine Glioma (DIPG)"/>
                      </xsd:restriction>
                    </xsd:simpleType>
                  </xsd:union>
                </xsd:simpleType>
              </xsd:element>
            </xsd:sequence>
          </xsd:extension>
        </xsd:complexContent>
      </xsd:complexType>
    </xsd:element>
    <xsd:element name="TreatmentorDiagnosticCategory" ma:index="29" nillable="true" ma:displayName="Treatment or Diagnostic Category" ma:format="Dropdown" ma:internalName="TreatmentorDiagnosticCategory">
      <xsd:complexType>
        <xsd:complexContent>
          <xsd:extension base="dms:MultiChoiceFillIn">
            <xsd:sequence>
              <xsd:element name="Value" maxOccurs="unbounded" minOccurs="0" nillable="true">
                <xsd:simpleType>
                  <xsd:union memberTypes="dms:Text">
                    <xsd:simpleType>
                      <xsd:restriction base="dms:Choice">
                        <xsd:enumeration value="Imaging Agent"/>
                        <xsd:enumeration value="CAR-T cells"/>
                        <xsd:enumeration value="Gene Therapy"/>
                        <xsd:enumeration value="Sonodynamic Therapy (SDT)"/>
                        <xsd:enumeration value="Monoclonal Antibodies"/>
                        <xsd:enumeration value="Bispecific Antibodies"/>
                      </xsd:restriction>
                    </xsd:simpleType>
                  </xsd:union>
                </xsd:simpleType>
              </xsd:element>
            </xsd:sequence>
          </xsd:extension>
        </xsd:complexContent>
      </xsd:complexType>
    </xsd:element>
    <xsd:element name="QuibimsRole" ma:index="30" nillable="true" ma:displayName="Quibim's Role" ma:description="describes the role Quibim filled, in terms of what we offered to the client or collaborator" ma:format="Dropdown" ma:internalName="QuibimsRole">
      <xsd:complexType>
        <xsd:complexContent>
          <xsd:extension base="dms:MultiChoiceFillIn">
            <xsd:sequence>
              <xsd:element name="Value" maxOccurs="unbounded" minOccurs="0" nillable="true">
                <xsd:simpleType>
                  <xsd:union memberTypes="dms:Text">
                    <xsd:simpleType>
                      <xsd:restriction base="dms:Choice">
                        <xsd:enumeration value="Predictive Model"/>
                        <xsd:enumeration value="CDx Development"/>
                        <xsd:enumeration value="Theranostics"/>
                      </xsd:restriction>
                    </xsd:simpleType>
                  </xsd:union>
                </xsd:simpleType>
              </xsd:element>
            </xsd:sequence>
          </xsd:extension>
        </xsd:complexContent>
      </xsd:complexType>
    </xsd:element>
    <xsd:element name="Confidentiality" ma:index="31" nillable="true" ma:displayName="Document Confidentiality" ma:description="Reference the Asset Management ISMS procedure for definitions of what types of information are public, for internal use, or confidential" ma:format="Dropdown" ma:internalName="Confidentiality">
      <xsd:simpleType>
        <xsd:restriction base="dms:Choice">
          <xsd:enumeration value="Public"/>
          <xsd:enumeration value="Internal Use"/>
          <xsd:enumeration value="Confidential"/>
        </xsd:restriction>
      </xsd:simpleType>
    </xsd:element>
    <xsd:element name="Sponsor_x002f_Collaborator" ma:index="32" nillable="true" ma:displayName="Sponsor/Collaborator" ma:format="Dropdown" ma:internalName="Sponsor_x002f_Collaborator">
      <xsd:complexType>
        <xsd:complexContent>
          <xsd:extension base="dms:MultiChoiceFillIn">
            <xsd:sequence>
              <xsd:element name="Value" maxOccurs="unbounded" minOccurs="0" nillable="true">
                <xsd:simpleType>
                  <xsd:union memberTypes="dms:Text">
                    <xsd:simpleType>
                      <xsd:restriction base="dms:Choice">
                        <xsd:enumeration value="Imaging Endpoints"/>
                        <xsd:enumeration value="Clinical Trial Services"/>
                        <xsd:enumeration value="Instituto Valenciano de Oncología"/>
                        <xsd:enumeration value="Highlight Therapeutics"/>
                        <xsd:enumeration value="Incliva"/>
                        <xsd:enumeration value="Ayala Pharamceuticals"/>
                        <xsd:enumeration value="Consorci Hospitalari Provincial de Castelló"/>
                        <xsd:enumeration value="City of Hope"/>
                        <xsd:enumeration value="Sant Joan de Déu"/>
                        <xsd:enumeration value="Clínic Barcelona"/>
                        <xsd:enumeration value="Merck"/>
                        <xsd:enumeration value="Novartis"/>
                        <xsd:enumeration value="Instituto Ramón y Cajal de Investigación Sanitaria"/>
                        <xsd:enumeration value="Complexo Hospitalario Universitario de Vigo (CHUVI)"/>
                        <xsd:enumeration value="ImaginAb"/>
                        <xsd:enumeration value="Gilead"/>
                        <xsd:enumeration value="PentixaPharm"/>
                        <xsd:enumeration value="Vall d'Hebron Institut de Recerca"/>
                        <xsd:enumeration value="Janssen"/>
                        <xsd:enumeration value="European Commission HE"/>
                        <xsd:enumeration value="Spanish Ministry of Economic Affairs and Digital Transformation ENIA"/>
                        <xsd:enumeration value="Spanish Ministry of Science and Innovation MICINN"/>
                        <xsd:enumeration value="European Commission H2020"/>
                        <xsd:enumeration value="Generalitat Valenciana"/>
                        <xsd:enumeration value="ICON"/>
                      </xsd:restriction>
                    </xsd:simpleType>
                  </xsd:union>
                </xsd:simpleType>
              </xsd:element>
            </xsd:sequence>
          </xsd:extension>
        </xsd:complexContent>
      </xsd:complexType>
    </xsd:element>
    <xsd:element name="MediaServiceBillingMetadata" ma:index="33" nillable="true" ma:displayName="MediaServiceBillingMetadata" ma:hidden="true" ma:internalName="MediaServiceBillingMetadata" ma:readOnly="true">
      <xsd:simpleType>
        <xsd:restriction base="dms:Note"/>
      </xsd:simpleType>
    </xsd:element>
    <xsd:element name="Date" ma:index="3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84258a0-0be7-48c5-a501-fb079150d7e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e6d009-405c-4b63-b09e-46751c14188d}" ma:internalName="TaxCatchAll" ma:readOnly="false" ma:showField="CatchAllData" ma:web="e84258a0-0be7-48c5-a501-fb079150d7e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E8A3D-0044-4FC7-85FF-464D56102009}">
  <ds:schemaRefs>
    <ds:schemaRef ds:uri="http://schemas.microsoft.com/sharepoint/v3/contenttype/forms"/>
  </ds:schemaRefs>
</ds:datastoreItem>
</file>

<file path=customXml/itemProps2.xml><?xml version="1.0" encoding="utf-8"?>
<ds:datastoreItem xmlns:ds="http://schemas.openxmlformats.org/officeDocument/2006/customXml" ds:itemID="{63AFA61B-5248-45EA-A07A-F064E8422624}">
  <ds:schemaRefs>
    <ds:schemaRef ds:uri="http://schemas.microsoft.com/office/2006/metadata/properties"/>
    <ds:schemaRef ds:uri="http://schemas.microsoft.com/office/infopath/2007/PartnerControls"/>
    <ds:schemaRef ds:uri="041c5c9c-a38f-48cd-8fe8-0a1b756c4309"/>
    <ds:schemaRef ds:uri="e84258a0-0be7-48c5-a501-fb079150d7e9"/>
  </ds:schemaRefs>
</ds:datastoreItem>
</file>

<file path=customXml/itemProps3.xml><?xml version="1.0" encoding="utf-8"?>
<ds:datastoreItem xmlns:ds="http://schemas.openxmlformats.org/officeDocument/2006/customXml" ds:itemID="{7C0CEAAE-35C4-4245-95BC-C27F77D9DCF3}"/>
</file>

<file path=docProps/app.xml><?xml version="1.0" encoding="utf-8"?>
<Properties xmlns="http://schemas.openxmlformats.org/officeDocument/2006/extended-properties" xmlns:vt="http://schemas.openxmlformats.org/officeDocument/2006/docPropsVTypes">
  <Template>Normal.dotm</Template>
  <TotalTime>4</TotalTime>
  <Pages>4</Pages>
  <Words>1380</Words>
  <Characters>7592</Characters>
  <Application>Microsoft Office Word</Application>
  <DocSecurity>0</DocSecurity>
  <Lines>63</Lines>
  <Paragraphs>17</Paragraphs>
  <ScaleCrop>false</ScaleCrop>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Almudena Fuster Matanzo</dc:creator>
  <cp:keywords/>
  <dc:description/>
  <cp:lastModifiedBy>Almudena Fuster Matanzo</cp:lastModifiedBy>
  <cp:revision>32</cp:revision>
  <dcterms:created xsi:type="dcterms:W3CDTF">2026-04-20T09:45:00Z</dcterms:created>
  <dcterms:modified xsi:type="dcterms:W3CDTF">2026-05-22T08:07:00Z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0x01010034595D0977780348985DEBF35B52A065</vt:lpwstr>
  </property>
  <property fmtid="{D5CDD505-2E9C-101B-9397-08002B2CF9AE}" pid="3" name="MediaServiceImageTags">
    <vt:lpwstr/>
  </property>
</Properties>
</file>