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26F1" w14:textId="77777777" w:rsidR="000340E4" w:rsidRPr="000340E4" w:rsidRDefault="000340E4" w:rsidP="000340E4">
      <w:pPr>
        <w:spacing w:after="0" w:line="480" w:lineRule="auto"/>
        <w:jc w:val="both"/>
        <w:rPr>
          <w:rFonts w:ascii="Times New Roman" w:eastAsia="微软雅黑" w:hAnsi="Times New Roman" w:cs="Times New Roman"/>
          <w:b/>
          <w:bCs/>
          <w:szCs w:val="22"/>
          <w14:ligatures w14:val="none"/>
        </w:rPr>
      </w:pPr>
      <w:r w:rsidRPr="000340E4">
        <w:rPr>
          <w:rFonts w:ascii="Times New Roman" w:eastAsia="微软雅黑" w:hAnsi="Times New Roman" w:cs="Times New Roman"/>
          <w:b/>
          <w:bCs/>
          <w:szCs w:val="22"/>
          <w14:ligatures w14:val="none"/>
        </w:rPr>
        <w:t xml:space="preserve">Highlights: </w:t>
      </w:r>
    </w:p>
    <w:p w14:paraId="6AE09F53" w14:textId="77777777" w:rsidR="000340E4" w:rsidRPr="000340E4" w:rsidRDefault="000340E4" w:rsidP="000340E4">
      <w:pPr>
        <w:numPr>
          <w:ilvl w:val="0"/>
          <w:numId w:val="1"/>
        </w:numPr>
        <w:spacing w:beforeLines="50" w:before="156" w:after="0" w:line="240" w:lineRule="auto"/>
        <w:jc w:val="both"/>
        <w:rPr>
          <w:rFonts w:ascii="Times New Roman" w:eastAsia="宋体" w:hAnsi="Times New Roman" w:cs="Times New Roman"/>
          <w:szCs w:val="22"/>
          <w14:ligatures w14:val="none"/>
        </w:rPr>
      </w:pPr>
      <w:r w:rsidRPr="000340E4">
        <w:rPr>
          <w:rFonts w:ascii="Times New Roman" w:eastAsia="宋体" w:hAnsi="Times New Roman" w:cs="Times New Roman"/>
          <w:szCs w:val="22"/>
          <w14:ligatures w14:val="none"/>
        </w:rPr>
        <w:t>P</w:t>
      </w:r>
      <w:r w:rsidRPr="000340E4">
        <w:rPr>
          <w:rFonts w:ascii="Times New Roman" w:eastAsia="宋体" w:hAnsi="Times New Roman" w:cs="Times New Roman" w:hint="eastAsia"/>
          <w:szCs w:val="22"/>
          <w14:ligatures w14:val="none"/>
        </w:rPr>
        <w:t>G-modification raised the oil-binding capacity of starch oleogel to 98%.</w:t>
      </w:r>
    </w:p>
    <w:p w14:paraId="464D20B3" w14:textId="77777777" w:rsidR="000340E4" w:rsidRDefault="000340E4" w:rsidP="000340E4">
      <w:pPr>
        <w:numPr>
          <w:ilvl w:val="0"/>
          <w:numId w:val="1"/>
        </w:numPr>
        <w:spacing w:beforeLines="50" w:before="156" w:after="0" w:line="240" w:lineRule="auto"/>
        <w:jc w:val="both"/>
        <w:rPr>
          <w:rFonts w:ascii="Times New Roman" w:eastAsia="宋体" w:hAnsi="Times New Roman" w:cs="Times New Roman"/>
          <w:szCs w:val="22"/>
          <w14:ligatures w14:val="none"/>
        </w:rPr>
      </w:pPr>
      <w:r w:rsidRPr="000340E4">
        <w:rPr>
          <w:rFonts w:ascii="Times New Roman" w:eastAsia="宋体" w:hAnsi="Times New Roman" w:cs="Times New Roman" w:hint="eastAsia"/>
          <w:szCs w:val="22"/>
          <w14:ligatures w14:val="none"/>
        </w:rPr>
        <w:t>Moderate deamidation promotes amylopectin-protein hydrogen bond network formation</w:t>
      </w:r>
      <w:r w:rsidRPr="000340E4">
        <w:rPr>
          <w:rFonts w:ascii="Times New Roman" w:eastAsia="宋体" w:hAnsi="Times New Roman" w:cs="Times New Roman"/>
          <w:szCs w:val="22"/>
          <w14:ligatures w14:val="none"/>
        </w:rPr>
        <w:t>.</w:t>
      </w:r>
    </w:p>
    <w:p w14:paraId="793141D4" w14:textId="17EC3C16" w:rsidR="00DD3B80" w:rsidRPr="000340E4" w:rsidRDefault="000340E4" w:rsidP="000340E4">
      <w:pPr>
        <w:numPr>
          <w:ilvl w:val="0"/>
          <w:numId w:val="1"/>
        </w:numPr>
        <w:spacing w:beforeLines="50" w:before="156" w:after="0" w:line="240" w:lineRule="auto"/>
        <w:jc w:val="both"/>
        <w:rPr>
          <w:rFonts w:ascii="Times New Roman" w:eastAsia="宋体" w:hAnsi="Times New Roman" w:cs="Times New Roman" w:hint="eastAsia"/>
          <w:szCs w:val="22"/>
          <w14:ligatures w14:val="none"/>
        </w:rPr>
      </w:pPr>
      <w:r w:rsidRPr="000340E4">
        <w:rPr>
          <w:rFonts w:ascii="Times New Roman" w:eastAsia="宋体" w:hAnsi="Times New Roman" w:cs="Times New Roman" w:hint="eastAsia"/>
          <w:szCs w:val="22"/>
          <w14:ligatures w14:val="none"/>
        </w:rPr>
        <w:t>The optimized oleogel can fully replace butter in piped cookies.</w:t>
      </w:r>
    </w:p>
    <w:sectPr w:rsidR="00DD3B80" w:rsidRPr="00034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01BE7"/>
    <w:multiLevelType w:val="multilevel"/>
    <w:tmpl w:val="72101BE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5111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4E"/>
    <w:rsid w:val="000340E4"/>
    <w:rsid w:val="00124F25"/>
    <w:rsid w:val="00391893"/>
    <w:rsid w:val="006D0724"/>
    <w:rsid w:val="009435C0"/>
    <w:rsid w:val="009D1FA4"/>
    <w:rsid w:val="00A53A42"/>
    <w:rsid w:val="00B6224E"/>
    <w:rsid w:val="00BC260E"/>
    <w:rsid w:val="00DD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625E"/>
  <w15:chartTrackingRefBased/>
  <w15:docId w15:val="{6B1CE123-5129-493A-A701-ADF49C5E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2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2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24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24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24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2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2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2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2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2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24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24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2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2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2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2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2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2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2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2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2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2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62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2026-05-08T03:56:00Z</dcterms:created>
  <dcterms:modified xsi:type="dcterms:W3CDTF">2026-05-08T03:56:00Z</dcterms:modified>
</cp:coreProperties>
</file>