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\itemProps1.xml><?xml version="1.0" encoding="utf-8"?>
<ds:datastoreItem xmlns:ds="http://schemas.openxmlformats.org/officeDocument/2006/customXml" ds:itemID="{2E2A559C-681F-415B-A810-F2452CDC3915}">
  <ds:schemaRefs>
    <ds:schemaRef ds:uri="http://schemas.openxmlformats.org/officeDocument/2006/bibliography"/>
  </ds:schemaRefs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2903</CharactersWithSpaces>
  <SharedDoc>false</SharedDoc>
  <HyperlinkBase/>
  <HyperlinksChanged>false</HyperlinksChanged>
  <AppVersion>14.0000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18202</cp:lastModifiedBy>
  <cp:revision>21</cp:revision>
  <dcterms:created xsi:type="dcterms:W3CDTF">2013-12-23T23:15:00Z</dcterms:created>
  <dcterms:modified xsi:type="dcterms:W3CDTF">2026-04-27T14:40:00Z</dcterms:modified>
  <cp:category/>
</cp:coreProperties>
</file>

<file path=word\_rels\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AD" w:rsidRDefault="00F93BF2">
      <w:pPr>
        <w:pStyle w:val="1"/>
      </w:pPr>
      <w:r>
        <w:t>Supplementary Figures</w:t>
      </w:r>
    </w:p>
    <w:p>
      <w:pPr>
        <w:spacing w:before="180" w:after="80" w:line="360" w:lineRule="auto"/>
        <w:rPr>
          <w:rFonts w:ascii="Times New Roman" w:hAnsi="Times New Roman" w:eastAsia="Times New Roman" w:cs="Times New Roman"/>
          <w:sz w:val="24"/>
          <w:szCs w:val="24"/>
          <w:b/>
        </w:rPr>
      </w:pPr>
      <w:r>
        <w:rPr>
          <w:rFonts w:ascii="Times New Roman" w:hAnsi="Times New Roman" w:eastAsia="Times New Roman" w:cs="Times New Roman"/>
          <w:sz w:val="24"/>
          <w:szCs w:val="24"/>
          <w:b/>
        </w:rPr>
        <w:t xml:space="preserve">Figure S1. PCA before and after batch-effect correction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600620" w:rsidTr="00A718BA">
        <w:tc>
          <w:tcPr>
            <w:tcW w:w="4428" w:type="dxa"/>
          </w:tcPr>
          <w:p w:rsidR="00600620" w:rsidRDefault="00600620" w:rsidP="00A718BA">
            <w:pPr>
              <w:pStyle w:val="ab"/>
            </w:pPr>
            <w:r>
              <w:rPr>
                <w:rFonts w:ascii="宋体" w:eastAsia="宋体" w:hAnsi="宋体"/>
                <w:noProof/>
                <w:sz w:val="28"/>
                <w:szCs w:val="28"/>
                <w:lang w:eastAsia="zh-CN"/>
              </w:rPr>
              <w:drawing>
                <wp:inline distT="0" distB="0" distL="0" distR="0" wp14:anchorId="598784BF" wp14:editId="3EFC6954">
                  <wp:extent cx="2674620" cy="2066925"/>
                  <wp:effectExtent l="0" t="0" r="0" b="952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CA.preNorm_page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620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600620" w:rsidRDefault="00600620" w:rsidP="00A718BA">
            <w:pPr>
              <w:pStyle w:val="ab"/>
            </w:pPr>
            <w:r>
              <w:rPr>
                <w:rFonts w:ascii="宋体" w:eastAsia="宋体" w:hAnsi="宋体"/>
                <w:noProof/>
                <w:sz w:val="28"/>
                <w:szCs w:val="28"/>
                <w:lang w:eastAsia="zh-CN"/>
              </w:rPr>
              <w:drawing>
                <wp:inline distT="0" distB="0" distL="0" distR="0" wp14:anchorId="7461A277" wp14:editId="60A29F19">
                  <wp:extent cx="2674620" cy="2066925"/>
                  <wp:effectExtent l="0" t="0" r="0" b="952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CA.normalize_p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620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3AAD" w:rsidRPr="00130CE2" w:rsidRDefault="00BA3AAD">
      <w:pPr>
        <w:rPr>
          <w:rFonts w:eastAsia="宋体"/>
          <w:lang w:eastAsia="zh-CN"/>
        </w:rPr>
      </w:pPr>
    </w:p>
    <w:p w:rsidR="00BA3AAD" w:rsidRDefault="00F93BF2">
      <w:r>
        <w:rPr>
          <w:b/>
        </w:rPr>
        <w:t>Legend:</w:t>
      </w:r>
    </w:p>
    <w:p>
      <w:pPr>
        <w:spacing w:before="0" w:after="12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Principal component analysis of the merged CRC expression matrix before (first panel) and after (second panel) ComBat batch-effect correction. Each point represents one sample; color and point shape indicate cohort origin (GSE20916 or GSE41258), and ellipses visualize cohort distributions. The post-ComBat panel shows reduced cohort separation. Tumor/normal status is not encoded in these two panels.</w:t>
      </w:r>
    </w:p>
    <w:p w:rsidR="00BA3AAD" w:rsidRDefault="00F93BF2">
      <w:r>
        <w:br w:type="page"/>
      </w:r>
    </w:p>
    <w:p w:rsidR="00BA3AAD" w:rsidRDefault="00F93BF2">
      <w:r>
        <w:rPr>
          <w:b/>
        </w:rPr>
        <w:lastRenderedPageBreak/>
        <w:t>Figure S2. Solvent-accessible surface area (SASA) during 100-ns MD</w:t>
      </w:r>
    </w:p>
    <w:p w:rsidR="00BA3AAD" w:rsidRDefault="00F93BF2">
      <w:r>
        <w:rPr>
          <w:b/>
          <w:noProof/>
          <w:lang w:eastAsia="zh-CN"/>
        </w:rPr>
        <w:drawing>
          <wp:inline distT="0" distB="0" distL="0" distR="0">
            <wp:extent cx="5257800" cy="24003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2_SAS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473" cy="239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Legend:</w:t>
      </w:r>
    </w:p>
    <w:p>
      <w:pPr>
        <w:spacing w:before="0" w:after="12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Protein solvent-accessible surface area (SASA) of the NR3C1–RES complex over the 100 ns production simulation. The trajectory was processed with periodic-boundary correction and centering. Mean ± SD over the 20–100 ns window is annotated in the figure.</w:t>
      </w:r>
    </w:p>
    <w:p w:rsidR="00BA3AAD" w:rsidRDefault="00F93BF2">
      <w:r>
        <w:br w:type="page"/>
      </w:r>
    </w:p>
    <w:p w:rsidR="00BA3AAD" w:rsidRDefault="00F93BF2">
      <w:r>
        <w:rPr>
          <w:b/>
        </w:rPr>
        <w:lastRenderedPageBreak/>
        <w:t>Figure S3. Radius of gyration (Rg) during 100-ns MD</w:t>
      </w:r>
    </w:p>
    <w:p w:rsidR="00BA3AAD" w:rsidRDefault="00F93BF2">
      <w:r>
        <w:rPr>
          <w:b/>
          <w:noProof/>
          <w:lang w:eastAsia="zh-CN"/>
        </w:rPr>
        <w:drawing>
          <wp:inline distT="0" distB="0" distL="0" distR="0">
            <wp:extent cx="5585460" cy="27203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3_Rg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485" cy="272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Legend:</w:t>
      </w:r>
    </w:p>
    <w:p w:rsidR="00BA3AAD" w:rsidRDefault="00F93BF2">
      <w:r>
        <w:t>Radius of gyration (Rg) computed for the protein component of the biological-assembly-like single complex (NR3C1 LBD chain K plus coactivator peptide chain L). The trajectory was processed with PBC correction and centering. Mean ± SD over the 20–100 ns window is annotated.</w:t>
      </w:r>
    </w:p>
    <w:p w:rsidR="00BA3AAD" w:rsidRDefault="00F93BF2">
      <w:r>
        <w:br w:type="page"/>
      </w:r>
    </w:p>
    <w:p w:rsidR="00BA3AAD" w:rsidRDefault="00F93BF2">
      <w:r>
        <w:rPr>
          <w:b/>
        </w:rPr>
        <w:lastRenderedPageBreak/>
        <w:t>Figure S4. Free energy landscape (FEL) along PC1 and PC2</w:t>
      </w:r>
    </w:p>
    <w:p w:rsidR="00BA3AAD" w:rsidRDefault="00F93BF2">
      <w:r>
        <w:rPr>
          <w:b/>
          <w:noProof/>
          <w:lang w:eastAsia="zh-CN"/>
        </w:rPr>
        <w:drawing>
          <wp:inline distT="0" distB="0" distL="0" distR="0">
            <wp:extent cx="5661660" cy="27270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4_FE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333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Legend:</w:t>
      </w:r>
    </w:p>
    <w:p w:rsidR="00BA3AAD" w:rsidRDefault="00F93BF2">
      <w:r>
        <w:t>Two-dimensional free energy landscape constructed from the first two principal components (PC1–PC2) using the 20–100 ns window. Free energy was computed as ΔG = −kBT ln(P/Pmax) at T=300 K, where P is the 2D probability density estimated by binning followed by Gaussian smoothing (KDE-equivalent). For visualization only, the color scale was capped at 12 kJ/mol.</w:t>
      </w:r>
    </w:p>
    <w:p w:rsidR="00BA3AAD" w:rsidRDefault="00F93BF2">
      <w:r>
        <w:br w:type="page"/>
      </w:r>
    </w:p>
    <w:p w:rsidR="004B2927" w:rsidRDefault="004B2927"/>
    <w:p w:rsidR="004B2927" w:rsidRPr="00B463E6" w:rsidRDefault="008E34BA">
      <w:pPr>
        <w:rPr>
          <w:b/>
        </w:rPr>
      </w:pPr>
      <w:r w:rsidRPr="00B463E6">
        <w:rPr>
          <w:b/>
        </w:rPr>
        <w:t>Figure S5. Protein–ligand nonbonded interaction energy during 100-ns MD</w:t>
      </w:r>
    </w:p>
    <w:p w:rsidR="004B2927" w:rsidRDefault="008E34BA">
      <w:pPr>
        <w:jc w:val="center"/>
      </w:pPr>
      <w:r>
        <w:rPr>
          <w:noProof/>
          <w:lang w:eastAsia="zh-CN"/>
        </w:rPr>
        <w:drawing>
          <wp:inline distT="0" distB="0" distL="0" distR="0">
            <wp:extent cx="5486400" cy="596470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5_PL_interaction_energy_600dpi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927" w:rsidRDefault="008E34BA">
      <w:r>
        <w:t>Legend:</w:t>
      </w:r>
    </w:p>
    <w:p>
      <w:pPr>
        <w:spacing w:before="0" w:after="12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Protein–ligand nonbonded interaction energies were computed using a GROMACS rerun-based evaluation over the 20–100 ns window. (A) Total interaction energy (Coul-SR + LJ-SR; mean ± SD annotated). (B) Coul-SR and LJ-SR components. These terms describe trajectory-level nonbonded interaction patterns and do not represent absolute binding free energy or direct target engagement.</w:t>
      </w:r>
    </w:p>
    <w:p w:rsidR="004B2927" w:rsidRDefault="008E34BA">
      <w:r>
        <w:br w:type="page"/>
      </w:r>
    </w:p>
    <w:p w:rsidR="00BA3AAD" w:rsidRPr="00B463E6" w:rsidRDefault="00F93BF2">
      <w:pPr>
        <w:rPr>
          <w:b/>
        </w:rPr>
      </w:pPr>
      <w:r w:rsidRPr="00B463E6">
        <w:rPr>
          <w:b/>
        </w:rPr>
        <w:lastRenderedPageBreak/>
        <w:t>Figure S6. WGCNA network construction and module identification</w:t>
      </w:r>
    </w:p>
    <w:p w:rsidR="00BA3AAD" w:rsidRDefault="008E34BA">
      <w:pPr>
        <w:jc w:val="center"/>
      </w:pPr>
      <w:r>
        <w:rPr>
          <w:noProof/>
          <w:lang w:eastAsia="zh-CN"/>
        </w:rPr>
        <w:drawing>
          <wp:inline distT="0" distB="0" distL="0" distR="0" wp14:anchorId="6BD38E4D">
            <wp:extent cx="5487035" cy="203009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3AAD" w:rsidRDefault="00F93BF2">
      <w:r>
        <w:rPr>
          <w:b/>
        </w:rPr>
        <w:t>Legend:</w:t>
      </w:r>
    </w:p>
    <w:p w:rsidR="00BA3AAD" w:rsidRDefault="00F93BF2">
      <w:r>
        <w:t>(A) Soft-threshold power selection showing the scale-free topology fit index (signed R²) and mean connectivity across candidate powers. (B) Gene dendrogram and module colors derived from hierarchical clustering based on TOM distance.</w:t>
      </w:r>
    </w:p>
    <w:p w:rsidR="00BA3AAD" w:rsidRDefault="00F93BF2">
      <w:r>
        <w:t>Weighted gene co-expression network analysis (WGCNA) for the CRC expression matrix. Modules were identified based on TOM dissimilarity and dynamic tree cutting; similar modules were merged according to the predefined cut height.</w:t>
      </w:r>
    </w:p>
    <w:p w:rsidR="00BA3AAD" w:rsidRPr="00C77131" w:rsidRDefault="00BA3AAD">
      <w:pPr>
        <w:rPr>
          <w:rFonts w:eastAsia="宋体"/>
          <w:lang w:eastAsia="zh-CN"/>
        </w:rPr>
      </w:pPr>
    </w:p>
    <w:p w:rsidR="00ED5D86" w:rsidRDefault="00CE0D4F">
      <w:r>
        <w:br w:type="page"/>
      </w:r>
    </w:p>
    <w:sectPr w:rsidR="00ED5D8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\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C047F8D"/>
    <w:multiLevelType w:val="hybridMultilevel"/>
    <w:tmpl w:val="442A5566"/>
    <w:lvl w:ilvl="0" w:tplc="3822020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049E"/>
    <w:rsid w:val="00034616"/>
    <w:rsid w:val="00051DF4"/>
    <w:rsid w:val="0006063C"/>
    <w:rsid w:val="00130CE2"/>
    <w:rsid w:val="0015074B"/>
    <w:rsid w:val="00202D71"/>
    <w:rsid w:val="0029639D"/>
    <w:rsid w:val="002C1989"/>
    <w:rsid w:val="0030656F"/>
    <w:rsid w:val="00326F90"/>
    <w:rsid w:val="004B2927"/>
    <w:rsid w:val="00600620"/>
    <w:rsid w:val="00732912"/>
    <w:rsid w:val="008B2153"/>
    <w:rsid w:val="008C583C"/>
    <w:rsid w:val="008E34BA"/>
    <w:rsid w:val="00AA1D8D"/>
    <w:rsid w:val="00AC6FF3"/>
    <w:rsid w:val="00B463E6"/>
    <w:rsid w:val="00B47730"/>
    <w:rsid w:val="00BA3AAD"/>
    <w:rsid w:val="00C77131"/>
    <w:rsid w:val="00C91EBE"/>
    <w:rsid w:val="00CB0664"/>
    <w:rsid w:val="00CE0D4F"/>
    <w:rsid w:val="00D46DF6"/>
    <w:rsid w:val="00D95AEB"/>
    <w:rsid w:val="00ED5D86"/>
    <w:rsid w:val="00F93B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Calibri" w:eastAsia="Calibri" w:hAnsi="Calibri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link w:val="Char6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7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8"/>
    <w:uiPriority w:val="99"/>
    <w:semiHidden/>
    <w:unhideWhenUsed/>
    <w:rsid w:val="00F93BF2"/>
    <w:pPr>
      <w:spacing w:after="0" w:line="240" w:lineRule="auto"/>
    </w:pPr>
    <w:rPr>
      <w:sz w:val="18"/>
      <w:szCs w:val="18"/>
    </w:rPr>
  </w:style>
  <w:style w:type="character" w:customStyle="1" w:styleId="Char8">
    <w:name w:val="批注框文本 Char"/>
    <w:basedOn w:val="a2"/>
    <w:link w:val="aff1"/>
    <w:uiPriority w:val="99"/>
    <w:semiHidden/>
    <w:rsid w:val="00F93BF2"/>
    <w:rPr>
      <w:rFonts w:ascii="Calibri" w:eastAsia="Calibri" w:hAnsi="Calibri"/>
      <w:sz w:val="18"/>
      <w:szCs w:val="18"/>
    </w:rPr>
  </w:style>
  <w:style w:type="character" w:customStyle="1" w:styleId="Char6">
    <w:name w:val="题注 Char"/>
    <w:basedOn w:val="a2"/>
    <w:link w:val="af0"/>
    <w:rsid w:val="00600620"/>
    <w:rPr>
      <w:rFonts w:ascii="Calibri" w:eastAsia="Calibri" w:hAnsi="Calibri"/>
      <w:b/>
      <w:bCs/>
      <w:color w:val="4F81BD" w:themeColor="accent1"/>
      <w:sz w:val="18"/>
      <w:szCs w:val="18"/>
    </w:rPr>
  </w:style>
</w:styles>
</file>

<file path=word\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Calibri" w:eastAsia="Calibri" w:hAnsi="Calibri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link w:val="Char6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7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8"/>
    <w:uiPriority w:val="99"/>
    <w:semiHidden/>
    <w:unhideWhenUsed/>
    <w:rsid w:val="00F93BF2"/>
    <w:pPr>
      <w:spacing w:after="0" w:line="240" w:lineRule="auto"/>
    </w:pPr>
    <w:rPr>
      <w:sz w:val="18"/>
      <w:szCs w:val="18"/>
    </w:rPr>
  </w:style>
  <w:style w:type="character" w:customStyle="1" w:styleId="Char8">
    <w:name w:val="批注框文本 Char"/>
    <w:basedOn w:val="a2"/>
    <w:link w:val="aff1"/>
    <w:uiPriority w:val="99"/>
    <w:semiHidden/>
    <w:rsid w:val="00F93BF2"/>
    <w:rPr>
      <w:rFonts w:ascii="Calibri" w:eastAsia="Calibri" w:hAnsi="Calibri"/>
      <w:sz w:val="18"/>
      <w:szCs w:val="18"/>
    </w:rPr>
  </w:style>
  <w:style w:type="character" w:customStyle="1" w:styleId="Char6">
    <w:name w:val="题注 Char"/>
    <w:basedOn w:val="a2"/>
    <w:link w:val="af0"/>
    <w:rsid w:val="00600620"/>
    <w:rPr>
      <w:rFonts w:ascii="Calibri" w:eastAsia="Calibri" w:hAnsi="Calibri"/>
      <w:b/>
      <w:bCs/>
      <w:color w:val="4F81BD" w:themeColor="accent1"/>
      <w:sz w:val="18"/>
      <w:szCs w:val="18"/>
    </w:rPr>
  </w:style>
</w:styles>
</file>

<file path=word\theme\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