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ED96" w14:textId="77777777" w:rsidR="00A005E1" w:rsidRDefault="00A005E1" w:rsidP="00A005E1">
      <w:pPr>
        <w:pStyle w:val="Heading1"/>
        <w:spacing w:line="480" w:lineRule="auto"/>
      </w:pPr>
      <w:r>
        <w:t>Appendix A. Supplementary analyses</w:t>
      </w:r>
    </w:p>
    <w:p w14:paraId="0F87640B" w14:textId="77777777" w:rsidR="00A005E1" w:rsidRDefault="00A005E1" w:rsidP="00A005E1">
      <w:pPr>
        <w:keepNext/>
        <w:spacing w:before="200" w:after="60" w:line="480" w:lineRule="auto"/>
        <w:jc w:val="center"/>
      </w:pPr>
      <w:r>
        <w:rPr>
          <w:noProof/>
        </w:rPr>
        <w:drawing>
          <wp:inline distT="0" distB="0" distL="0" distR="0" wp14:anchorId="23A6BB82" wp14:editId="4E74395A">
            <wp:extent cx="3108960" cy="4480500"/>
            <wp:effectExtent l="0" t="0" r="0" b="0"/>
            <wp:docPr id="9002" name="Figure A1 supplementary pip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108960" cy="4480500"/>
                    </a:xfrm>
                    <a:prstGeom prst="rect">
                      <a:avLst/>
                    </a:prstGeom>
                  </pic:spPr>
                </pic:pic>
              </a:graphicData>
            </a:graphic>
          </wp:inline>
        </w:drawing>
      </w:r>
    </w:p>
    <w:p w14:paraId="5815B796" w14:textId="77777777" w:rsidR="00A005E1" w:rsidRDefault="00A005E1" w:rsidP="00A005E1">
      <w:pPr>
        <w:spacing w:after="200" w:line="480" w:lineRule="auto"/>
        <w:jc w:val="center"/>
      </w:pPr>
      <w:r>
        <w:rPr>
          <w:b/>
          <w:bCs/>
          <w:sz w:val="20"/>
          <w:szCs w:val="20"/>
        </w:rPr>
        <w:t xml:space="preserve">Fig. A1 </w:t>
      </w:r>
      <w:r>
        <w:rPr>
          <w:sz w:val="20"/>
          <w:szCs w:val="20"/>
        </w:rPr>
        <w:t>Supplementary-analysis pipeline executed on the rebuilt panel: equity-based outcomes (A1), pandemic robustness (A3), the within/between (Mundlak) decomposition (A4), the administrative-expense bad-control check, functional-form tests (A6), discrimination metrics, the beneficiary-scale robustness check (A5), figure generation, and the extended-window (2007–2024) GLM estimation. Rendered from the deposited replication code.</w:t>
      </w:r>
    </w:p>
    <w:p w14:paraId="5430DB2B" w14:textId="77777777" w:rsidR="00A005E1" w:rsidRDefault="00A005E1" w:rsidP="00A005E1">
      <w:pPr>
        <w:pStyle w:val="Heading2"/>
        <w:spacing w:line="480" w:lineRule="auto"/>
      </w:pPr>
      <w:r>
        <w:t>A1. Equity-based outcomes</w:t>
      </w:r>
    </w:p>
    <w:p w14:paraId="7154ED1D" w14:textId="77777777" w:rsidR="00A005E1" w:rsidRDefault="00A005E1" w:rsidP="00A005E1">
      <w:pPr>
        <w:spacing w:after="120" w:line="480" w:lineRule="auto"/>
        <w:jc w:val="both"/>
      </w:pPr>
      <w:r>
        <w:t xml:space="preserve">With equity restored from DIOPS account 25, the predictive result survives the stricter criteria. A top-quartile loss ratio predicts next-year three-condition fragility, adding negative equity to negative margin and weak liquidity (OR 2.44; 95% CI 1.53–3.89; p &lt; 0.001; 119 events), and </w:t>
      </w:r>
      <w:r>
        <w:lastRenderedPageBreak/>
        <w:t>next-year negative equity itself (OR 1.74; 95% CI 1.14–2.64; p = 0.010; 173 events). The signal therefore reaches the prudential dimension of patrimonial insufficiency, not only the operating dimension.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60"/>
        <w:gridCol w:w="3000"/>
        <w:gridCol w:w="2000"/>
      </w:tblGrid>
      <w:tr w:rsidR="00A005E1" w14:paraId="44F807CE" w14:textId="77777777" w:rsidTr="00B741A2">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197256" w14:textId="77777777" w:rsidR="00A005E1" w:rsidRDefault="00A005E1" w:rsidP="00B741A2">
            <w:r>
              <w:rPr>
                <w:b/>
                <w:bCs/>
                <w:sz w:val="20"/>
                <w:szCs w:val="20"/>
              </w:rPr>
              <w:t>Outcome (t+1)</w:t>
            </w:r>
          </w:p>
        </w:tc>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443060" w14:textId="77777777" w:rsidR="00A005E1" w:rsidRDefault="00A005E1" w:rsidP="00B741A2">
            <w:pPr>
              <w:jc w:val="center"/>
            </w:pPr>
            <w:r>
              <w:rPr>
                <w:b/>
                <w:bCs/>
                <w:sz w:val="20"/>
                <w:szCs w:val="20"/>
              </w:rPr>
              <w:t>High-MLR OR [95% CI]</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009244" w14:textId="77777777" w:rsidR="00A005E1" w:rsidRDefault="00A005E1" w:rsidP="00B741A2">
            <w:pPr>
              <w:jc w:val="center"/>
            </w:pPr>
            <w:r>
              <w:rPr>
                <w:b/>
                <w:bCs/>
                <w:sz w:val="20"/>
                <w:szCs w:val="20"/>
              </w:rPr>
              <w:t>p-value</w:t>
            </w:r>
          </w:p>
        </w:tc>
      </w:tr>
      <w:tr w:rsidR="00A005E1" w14:paraId="3734DC65" w14:textId="77777777" w:rsidTr="00B741A2">
        <w:tc>
          <w:tcPr>
            <w:tcW w:w="43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A504026" w14:textId="77777777" w:rsidR="00A005E1" w:rsidRDefault="00A005E1" w:rsidP="00B741A2">
            <w:r>
              <w:rPr>
                <w:sz w:val="20"/>
                <w:szCs w:val="20"/>
              </w:rPr>
              <w:t>Three-condition fragility</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3B9FB98" w14:textId="77777777" w:rsidR="00A005E1" w:rsidRDefault="00A005E1" w:rsidP="00B741A2">
            <w:pPr>
              <w:jc w:val="center"/>
            </w:pPr>
            <w:r>
              <w:rPr>
                <w:sz w:val="20"/>
                <w:szCs w:val="20"/>
              </w:rPr>
              <w:t>2.44 [1.53, 3.89]</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0F5F7EB" w14:textId="77777777" w:rsidR="00A005E1" w:rsidRDefault="00A005E1" w:rsidP="00B741A2">
            <w:pPr>
              <w:jc w:val="center"/>
            </w:pPr>
            <w:r>
              <w:rPr>
                <w:sz w:val="20"/>
                <w:szCs w:val="20"/>
              </w:rPr>
              <w:t>&lt; 0.001</w:t>
            </w:r>
          </w:p>
        </w:tc>
      </w:tr>
      <w:tr w:rsidR="00A005E1" w14:paraId="3A0E8F7E" w14:textId="77777777" w:rsidTr="00B741A2">
        <w:tc>
          <w:tcPr>
            <w:tcW w:w="43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1F7E95C" w14:textId="77777777" w:rsidR="00A005E1" w:rsidRDefault="00A005E1" w:rsidP="00B741A2">
            <w:r>
              <w:rPr>
                <w:sz w:val="20"/>
                <w:szCs w:val="20"/>
              </w:rPr>
              <w:t>Negative equity</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EC019A8" w14:textId="77777777" w:rsidR="00A005E1" w:rsidRDefault="00A005E1" w:rsidP="00B741A2">
            <w:pPr>
              <w:jc w:val="center"/>
            </w:pPr>
            <w:r>
              <w:rPr>
                <w:sz w:val="20"/>
                <w:szCs w:val="20"/>
              </w:rPr>
              <w:t>1.74 [1.14, 2.64]</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AA51474" w14:textId="77777777" w:rsidR="00A005E1" w:rsidRDefault="00A005E1" w:rsidP="00B741A2">
            <w:pPr>
              <w:jc w:val="center"/>
            </w:pPr>
            <w:r>
              <w:rPr>
                <w:sz w:val="20"/>
                <w:szCs w:val="20"/>
              </w:rPr>
              <w:t>0.010</w:t>
            </w:r>
          </w:p>
        </w:tc>
      </w:tr>
    </w:tbl>
    <w:p w14:paraId="5BA39715" w14:textId="77777777" w:rsidR="00A005E1" w:rsidRDefault="00A005E1" w:rsidP="00A005E1">
      <w:pPr>
        <w:pStyle w:val="Heading2"/>
        <w:spacing w:line="480" w:lineRule="auto"/>
      </w:pPr>
      <w:r>
        <w:t>A2. Modality heterogeneity</w:t>
      </w:r>
    </w:p>
    <w:p w14:paraId="2DE7F751" w14:textId="77777777" w:rsidR="00A005E1" w:rsidRDefault="00A005E1" w:rsidP="00A005E1">
      <w:pPr>
        <w:spacing w:after="120" w:line="480" w:lineRule="auto"/>
        <w:jc w:val="both"/>
      </w:pPr>
      <w:r>
        <w:t>Table A2 cross-tabulates fragility prevalence by modality and within-window MLR quartile. The upper-tail gradient is visible within the larger modalities (medical cooperatives 3.4% to 12.8% across quartiles; group medicine 7.9% to 17.3%; group dentistry 7.4% to 36.8%; specialized insurers up to 26.5% in the top quartile), while philanthropic operators are elevated across the whole distribution. A formal high-MLR-by-modality interaction is underpowered: several modality-quartile cells contain very few observations or events, producing unstable or perfectly separated interaction coefficients. The cross-tabulation is therefore reported descriptively, and the interaction is not interpreted as a set of point estimates.</w:t>
      </w:r>
    </w:p>
    <w:p w14:paraId="3707AD7A" w14:textId="77777777" w:rsidR="00A005E1" w:rsidRDefault="00A005E1" w:rsidP="00A005E1">
      <w:pPr>
        <w:spacing w:before="120" w:after="60" w:line="480" w:lineRule="auto"/>
      </w:pPr>
      <w:r>
        <w:rPr>
          <w:b/>
          <w:bCs/>
        </w:rPr>
        <w:t xml:space="preserve">Table A2 </w:t>
      </w:r>
      <w:r>
        <w:t>Fragility prevalence (%) by modality and MLR quartile; cell counts in brackets.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60"/>
        <w:gridCol w:w="1525"/>
        <w:gridCol w:w="1525"/>
        <w:gridCol w:w="1525"/>
        <w:gridCol w:w="1525"/>
      </w:tblGrid>
      <w:tr w:rsidR="00A005E1" w14:paraId="00F330CC" w14:textId="77777777" w:rsidTr="00B741A2">
        <w:tc>
          <w:tcPr>
            <w:tcW w:w="32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96ED00" w14:textId="77777777" w:rsidR="00A005E1" w:rsidRDefault="00A005E1" w:rsidP="00B741A2">
            <w:r>
              <w:rPr>
                <w:b/>
                <w:bCs/>
                <w:sz w:val="20"/>
                <w:szCs w:val="20"/>
              </w:rPr>
              <w:t>Modality</w:t>
            </w:r>
          </w:p>
        </w:tc>
        <w:tc>
          <w:tcPr>
            <w:tcW w:w="152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0EDE03" w14:textId="77777777" w:rsidR="00A005E1" w:rsidRDefault="00A005E1" w:rsidP="00B741A2">
            <w:pPr>
              <w:jc w:val="center"/>
            </w:pPr>
            <w:r>
              <w:rPr>
                <w:b/>
                <w:bCs/>
                <w:sz w:val="20"/>
                <w:szCs w:val="20"/>
              </w:rPr>
              <w:t>Q1</w:t>
            </w:r>
          </w:p>
        </w:tc>
        <w:tc>
          <w:tcPr>
            <w:tcW w:w="152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67D7BB" w14:textId="77777777" w:rsidR="00A005E1" w:rsidRDefault="00A005E1" w:rsidP="00B741A2">
            <w:pPr>
              <w:jc w:val="center"/>
            </w:pPr>
            <w:r>
              <w:rPr>
                <w:b/>
                <w:bCs/>
                <w:sz w:val="20"/>
                <w:szCs w:val="20"/>
              </w:rPr>
              <w:t>Q2</w:t>
            </w:r>
          </w:p>
        </w:tc>
        <w:tc>
          <w:tcPr>
            <w:tcW w:w="152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CBF513" w14:textId="77777777" w:rsidR="00A005E1" w:rsidRDefault="00A005E1" w:rsidP="00B741A2">
            <w:pPr>
              <w:jc w:val="center"/>
            </w:pPr>
            <w:r>
              <w:rPr>
                <w:b/>
                <w:bCs/>
                <w:sz w:val="20"/>
                <w:szCs w:val="20"/>
              </w:rPr>
              <w:t>Q3</w:t>
            </w:r>
          </w:p>
        </w:tc>
        <w:tc>
          <w:tcPr>
            <w:tcW w:w="152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85D96E" w14:textId="77777777" w:rsidR="00A005E1" w:rsidRDefault="00A005E1" w:rsidP="00B741A2">
            <w:pPr>
              <w:jc w:val="center"/>
            </w:pPr>
            <w:r>
              <w:rPr>
                <w:b/>
                <w:bCs/>
                <w:sz w:val="20"/>
                <w:szCs w:val="20"/>
              </w:rPr>
              <w:t>Q4</w:t>
            </w:r>
          </w:p>
        </w:tc>
      </w:tr>
      <w:tr w:rsidR="00A005E1" w14:paraId="215125E6"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CA3C1CD" w14:textId="77777777" w:rsidR="00A005E1" w:rsidRDefault="00A005E1" w:rsidP="00B741A2">
            <w:r>
              <w:rPr>
                <w:sz w:val="20"/>
                <w:szCs w:val="20"/>
              </w:rPr>
              <w:t>Self-management</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14E9817" w14:textId="77777777" w:rsidR="00A005E1" w:rsidRDefault="00A005E1" w:rsidP="00B741A2">
            <w:pPr>
              <w:jc w:val="center"/>
            </w:pPr>
            <w:r>
              <w:rPr>
                <w:sz w:val="20"/>
                <w:szCs w:val="20"/>
              </w:rPr>
              <w:t>12.5 [24]</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3F2D5554" w14:textId="77777777" w:rsidR="00A005E1" w:rsidRDefault="00A005E1" w:rsidP="00B741A2">
            <w:pPr>
              <w:jc w:val="center"/>
            </w:pPr>
            <w:r>
              <w:rPr>
                <w:sz w:val="20"/>
                <w:szCs w:val="20"/>
              </w:rPr>
              <w:t>4.7 [107]</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92F44BB" w14:textId="77777777" w:rsidR="00A005E1" w:rsidRDefault="00A005E1" w:rsidP="00B741A2">
            <w:pPr>
              <w:jc w:val="center"/>
            </w:pPr>
            <w:r>
              <w:rPr>
                <w:sz w:val="20"/>
                <w:szCs w:val="20"/>
              </w:rPr>
              <w:t>1.4 [145]</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356C9306" w14:textId="77777777" w:rsidR="00A005E1" w:rsidRDefault="00A005E1" w:rsidP="00B741A2">
            <w:pPr>
              <w:jc w:val="center"/>
            </w:pPr>
            <w:r>
              <w:rPr>
                <w:sz w:val="20"/>
                <w:szCs w:val="20"/>
              </w:rPr>
              <w:t>4.2 [522]</w:t>
            </w:r>
          </w:p>
        </w:tc>
      </w:tr>
      <w:tr w:rsidR="00A005E1" w14:paraId="67D5A57D"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1279E6E" w14:textId="77777777" w:rsidR="00A005E1" w:rsidRDefault="00A005E1" w:rsidP="00B741A2">
            <w:r>
              <w:rPr>
                <w:sz w:val="20"/>
                <w:szCs w:val="20"/>
              </w:rPr>
              <w:t>Medical cooperative</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7F5AC71" w14:textId="77777777" w:rsidR="00A005E1" w:rsidRDefault="00A005E1" w:rsidP="00B741A2">
            <w:pPr>
              <w:jc w:val="center"/>
            </w:pPr>
            <w:r>
              <w:rPr>
                <w:sz w:val="20"/>
                <w:szCs w:val="20"/>
              </w:rPr>
              <w:t>3.4 [89]</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6E533A9" w14:textId="77777777" w:rsidR="00A005E1" w:rsidRDefault="00A005E1" w:rsidP="00B741A2">
            <w:pPr>
              <w:jc w:val="center"/>
            </w:pPr>
            <w:r>
              <w:rPr>
                <w:sz w:val="20"/>
                <w:szCs w:val="20"/>
              </w:rPr>
              <w:t>2.4 [462]</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1FB8E3E" w14:textId="77777777" w:rsidR="00A005E1" w:rsidRDefault="00A005E1" w:rsidP="00B741A2">
            <w:pPr>
              <w:jc w:val="center"/>
            </w:pPr>
            <w:r>
              <w:rPr>
                <w:sz w:val="20"/>
                <w:szCs w:val="20"/>
              </w:rPr>
              <w:t>3.6 [799]</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A8CD509" w14:textId="77777777" w:rsidR="00A005E1" w:rsidRDefault="00A005E1" w:rsidP="00B741A2">
            <w:pPr>
              <w:jc w:val="center"/>
            </w:pPr>
            <w:r>
              <w:rPr>
                <w:sz w:val="20"/>
                <w:szCs w:val="20"/>
              </w:rPr>
              <w:t>12.8 [531]</w:t>
            </w:r>
          </w:p>
        </w:tc>
      </w:tr>
      <w:tr w:rsidR="00A005E1" w14:paraId="255F62D1"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A3AA9D8" w14:textId="77777777" w:rsidR="00A005E1" w:rsidRDefault="00A005E1" w:rsidP="00B741A2">
            <w:r>
              <w:rPr>
                <w:sz w:val="20"/>
                <w:szCs w:val="20"/>
              </w:rPr>
              <w:t>Dental cooperative</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792797F" w14:textId="77777777" w:rsidR="00A005E1" w:rsidRDefault="00A005E1" w:rsidP="00B741A2">
            <w:pPr>
              <w:jc w:val="center"/>
            </w:pPr>
            <w:r>
              <w:rPr>
                <w:sz w:val="20"/>
                <w:szCs w:val="20"/>
              </w:rPr>
              <w:t>7.5 [347]</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94BAF31" w14:textId="77777777" w:rsidR="00A005E1" w:rsidRDefault="00A005E1" w:rsidP="00B741A2">
            <w:pPr>
              <w:jc w:val="center"/>
            </w:pPr>
            <w:r>
              <w:rPr>
                <w:sz w:val="20"/>
                <w:szCs w:val="20"/>
              </w:rPr>
              <w:t>1.3 [301]</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78CAB2B" w14:textId="77777777" w:rsidR="00A005E1" w:rsidRDefault="00A005E1" w:rsidP="00B741A2">
            <w:pPr>
              <w:jc w:val="center"/>
            </w:pPr>
            <w:r>
              <w:rPr>
                <w:sz w:val="20"/>
                <w:szCs w:val="20"/>
              </w:rPr>
              <w:t>0.0 [24]</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3A8F4539" w14:textId="77777777" w:rsidR="00A005E1" w:rsidRDefault="00A005E1" w:rsidP="00B741A2">
            <w:pPr>
              <w:jc w:val="center"/>
            </w:pPr>
            <w:r>
              <w:rPr>
                <w:sz w:val="20"/>
                <w:szCs w:val="20"/>
              </w:rPr>
              <w:t>0.0 [11]</w:t>
            </w:r>
          </w:p>
        </w:tc>
      </w:tr>
      <w:tr w:rsidR="00A005E1" w14:paraId="511F9C4D"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75EADDD" w14:textId="77777777" w:rsidR="00A005E1" w:rsidRDefault="00A005E1" w:rsidP="00B741A2">
            <w:r>
              <w:rPr>
                <w:sz w:val="20"/>
                <w:szCs w:val="20"/>
              </w:rPr>
              <w:t>Group medicine</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6640CB21" w14:textId="77777777" w:rsidR="00A005E1" w:rsidRDefault="00A005E1" w:rsidP="00B741A2">
            <w:pPr>
              <w:jc w:val="center"/>
            </w:pPr>
            <w:r>
              <w:rPr>
                <w:sz w:val="20"/>
                <w:szCs w:val="20"/>
              </w:rPr>
              <w:t>7.9 [253]</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EBD94A4" w14:textId="77777777" w:rsidR="00A005E1" w:rsidRDefault="00A005E1" w:rsidP="00B741A2">
            <w:pPr>
              <w:jc w:val="center"/>
            </w:pPr>
            <w:r>
              <w:rPr>
                <w:sz w:val="20"/>
                <w:szCs w:val="20"/>
              </w:rPr>
              <w:t>7.2 [515]</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9FC47BF" w14:textId="77777777" w:rsidR="00A005E1" w:rsidRDefault="00A005E1" w:rsidP="00B741A2">
            <w:pPr>
              <w:jc w:val="center"/>
            </w:pPr>
            <w:r>
              <w:rPr>
                <w:sz w:val="20"/>
                <w:szCs w:val="20"/>
              </w:rPr>
              <w:t>8.3 [470]</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E594101" w14:textId="77777777" w:rsidR="00A005E1" w:rsidRDefault="00A005E1" w:rsidP="00B741A2">
            <w:pPr>
              <w:jc w:val="center"/>
            </w:pPr>
            <w:r>
              <w:rPr>
                <w:sz w:val="20"/>
                <w:szCs w:val="20"/>
              </w:rPr>
              <w:t>17.3 [346]</w:t>
            </w:r>
          </w:p>
        </w:tc>
      </w:tr>
      <w:tr w:rsidR="00A005E1" w14:paraId="206C2C6D"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4BC271D" w14:textId="77777777" w:rsidR="00A005E1" w:rsidRDefault="00A005E1" w:rsidP="00B741A2">
            <w:r>
              <w:rPr>
                <w:sz w:val="20"/>
                <w:szCs w:val="20"/>
              </w:rPr>
              <w:t>Group dentistry</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1356805" w14:textId="77777777" w:rsidR="00A005E1" w:rsidRDefault="00A005E1" w:rsidP="00B741A2">
            <w:pPr>
              <w:jc w:val="center"/>
            </w:pPr>
            <w:r>
              <w:rPr>
                <w:sz w:val="20"/>
                <w:szCs w:val="20"/>
              </w:rPr>
              <w:t>7.4 [786]</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8E42B2E" w14:textId="77777777" w:rsidR="00A005E1" w:rsidRDefault="00A005E1" w:rsidP="00B741A2">
            <w:pPr>
              <w:jc w:val="center"/>
            </w:pPr>
            <w:r>
              <w:rPr>
                <w:sz w:val="20"/>
                <w:szCs w:val="20"/>
              </w:rPr>
              <w:t>10.5 [76]</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645979B9" w14:textId="77777777" w:rsidR="00A005E1" w:rsidRDefault="00A005E1" w:rsidP="00B741A2">
            <w:pPr>
              <w:jc w:val="center"/>
            </w:pPr>
            <w:r>
              <w:rPr>
                <w:sz w:val="20"/>
                <w:szCs w:val="20"/>
              </w:rPr>
              <w:t>26.7 [15]</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79F96E1" w14:textId="77777777" w:rsidR="00A005E1" w:rsidRDefault="00A005E1" w:rsidP="00B741A2">
            <w:pPr>
              <w:jc w:val="center"/>
            </w:pPr>
            <w:r>
              <w:rPr>
                <w:sz w:val="20"/>
                <w:szCs w:val="20"/>
              </w:rPr>
              <w:t>36.8 [19]</w:t>
            </w:r>
          </w:p>
        </w:tc>
      </w:tr>
      <w:tr w:rsidR="00A005E1" w14:paraId="3A00D376"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0F120A5" w14:textId="77777777" w:rsidR="00A005E1" w:rsidRDefault="00A005E1" w:rsidP="00B741A2">
            <w:r>
              <w:rPr>
                <w:sz w:val="20"/>
                <w:szCs w:val="20"/>
              </w:rPr>
              <w:t>Philanthropy</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6D7E4BFB" w14:textId="77777777" w:rsidR="00A005E1" w:rsidRDefault="00A005E1" w:rsidP="00B741A2">
            <w:pPr>
              <w:jc w:val="center"/>
            </w:pPr>
            <w:r>
              <w:rPr>
                <w:sz w:val="20"/>
                <w:szCs w:val="20"/>
              </w:rPr>
              <w:t>27.8 [36]</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135C7B5" w14:textId="77777777" w:rsidR="00A005E1" w:rsidRDefault="00A005E1" w:rsidP="00B741A2">
            <w:pPr>
              <w:jc w:val="center"/>
            </w:pPr>
            <w:r>
              <w:rPr>
                <w:sz w:val="20"/>
                <w:szCs w:val="20"/>
              </w:rPr>
              <w:t>23.2 [69]</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73B3768" w14:textId="77777777" w:rsidR="00A005E1" w:rsidRDefault="00A005E1" w:rsidP="00B741A2">
            <w:pPr>
              <w:jc w:val="center"/>
            </w:pPr>
            <w:r>
              <w:rPr>
                <w:sz w:val="20"/>
                <w:szCs w:val="20"/>
              </w:rPr>
              <w:t>23.8 [63]</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5C963A7" w14:textId="77777777" w:rsidR="00A005E1" w:rsidRDefault="00A005E1" w:rsidP="00B741A2">
            <w:pPr>
              <w:jc w:val="center"/>
            </w:pPr>
            <w:r>
              <w:rPr>
                <w:sz w:val="20"/>
                <w:szCs w:val="20"/>
              </w:rPr>
              <w:t>20.8 [72]</w:t>
            </w:r>
          </w:p>
        </w:tc>
      </w:tr>
      <w:tr w:rsidR="00A005E1" w14:paraId="1D2B2B9A"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CBD2EE2" w14:textId="77777777" w:rsidR="00A005E1" w:rsidRDefault="00A005E1" w:rsidP="00B741A2">
            <w:r>
              <w:rPr>
                <w:sz w:val="20"/>
                <w:szCs w:val="20"/>
              </w:rPr>
              <w:t>Specialized insurer</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0BC65DA" w14:textId="77777777" w:rsidR="00A005E1" w:rsidRDefault="00A005E1" w:rsidP="00B741A2">
            <w:pPr>
              <w:jc w:val="center"/>
            </w:pPr>
            <w:r>
              <w:rPr>
                <w:sz w:val="20"/>
                <w:szCs w:val="20"/>
              </w:rPr>
              <w:t>— [0]</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69C1631" w14:textId="77777777" w:rsidR="00A005E1" w:rsidRDefault="00A005E1" w:rsidP="00B741A2">
            <w:pPr>
              <w:jc w:val="center"/>
            </w:pPr>
            <w:r>
              <w:rPr>
                <w:sz w:val="20"/>
                <w:szCs w:val="20"/>
              </w:rPr>
              <w:t>0.0 [5]</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D0C1FE8" w14:textId="77777777" w:rsidR="00A005E1" w:rsidRDefault="00A005E1" w:rsidP="00B741A2">
            <w:pPr>
              <w:jc w:val="center"/>
            </w:pPr>
            <w:r>
              <w:rPr>
                <w:sz w:val="20"/>
                <w:szCs w:val="20"/>
              </w:rPr>
              <w:t>0.0 [18]</w:t>
            </w:r>
          </w:p>
        </w:tc>
        <w:tc>
          <w:tcPr>
            <w:tcW w:w="152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6530D368" w14:textId="77777777" w:rsidR="00A005E1" w:rsidRDefault="00A005E1" w:rsidP="00B741A2">
            <w:pPr>
              <w:jc w:val="center"/>
            </w:pPr>
            <w:r>
              <w:rPr>
                <w:sz w:val="20"/>
                <w:szCs w:val="20"/>
              </w:rPr>
              <w:t>26.5 [34]</w:t>
            </w:r>
          </w:p>
        </w:tc>
      </w:tr>
    </w:tbl>
    <w:p w14:paraId="1C347F3A" w14:textId="77777777" w:rsidR="00A005E1" w:rsidRDefault="00A005E1" w:rsidP="00A005E1">
      <w:pPr>
        <w:pStyle w:val="Heading2"/>
        <w:spacing w:line="480" w:lineRule="auto"/>
      </w:pPr>
      <w:r>
        <w:t>A3. Pandemic robustness</w:t>
      </w:r>
    </w:p>
    <w:p w14:paraId="2501841A" w14:textId="77777777" w:rsidR="00A005E1" w:rsidRDefault="00A005E1" w:rsidP="00A005E1">
      <w:pPr>
        <w:spacing w:after="120" w:line="480" w:lineRule="auto"/>
        <w:jc w:val="both"/>
      </w:pPr>
      <w:r>
        <w:t xml:space="preserve">The predictive threshold is robust to the pandemic period. Excluding 2020–2021 leaves the top-quartile effect on next-year fragility at OR 1.83 (95% CI 1.24–2.72; p = 0.003); excluding </w:t>
      </w:r>
      <w:r>
        <w:lastRenderedPageBreak/>
        <w:t>2020–2022 gives OR 1.60 (95% CI 1.04–2.46; p = 0.033). A high-MLR-by-post-2020 interaction is not significant (OR 1.45; p = 0.20), giving no evidence of a structural break around the pandemic beyond what year fixed effects already absorb.</w:t>
      </w:r>
    </w:p>
    <w:p w14:paraId="46359D7B" w14:textId="77777777" w:rsidR="00A005E1" w:rsidRDefault="00A005E1" w:rsidP="00A005E1">
      <w:pPr>
        <w:pStyle w:val="Heading2"/>
        <w:spacing w:line="480" w:lineRule="auto"/>
      </w:pPr>
      <w:r>
        <w:t>A4. Within- versus between-operator variation (Mundlak)</w:t>
      </w:r>
    </w:p>
    <w:p w14:paraId="11E74ED4" w14:textId="77777777" w:rsidR="00A005E1" w:rsidRDefault="00A005E1" w:rsidP="00A005E1">
      <w:pPr>
        <w:spacing w:after="120" w:line="480" w:lineRule="auto"/>
        <w:jc w:val="both"/>
      </w:pPr>
      <w:r>
        <w:t>Decomposing the loss ratio into an operator mean and an annual deviation (a Mundlak/correlated-random-effects specification) does not identify a statistically significant within-operator component (OR 1.07 per standard deviation of the deviation; 95% CI 0.96–1.18; p = 0.21). The point estimate is somewhat larger for the between-operator component (OR 1.21 per standard deviation of the operator mean; 95% CI 0.94–1.54; p = 0.14), suggesting that the threshold result may be driven more by structurally higher-loss-ratio operators than by short-term within-operator deviations. However, neither component is significant at conventional levels, so this evidence is imprecise and is interpreted descriptively rather than as a decomposition of the effect.</w:t>
      </w:r>
    </w:p>
    <w:p w14:paraId="71C7D801" w14:textId="77777777" w:rsidR="00A005E1" w:rsidRDefault="00A005E1" w:rsidP="00A005E1">
      <w:pPr>
        <w:pStyle w:val="Heading2"/>
        <w:spacing w:line="480" w:lineRule="auto"/>
      </w:pPr>
      <w:r>
        <w:t>A5. Beneficiary scale</w:t>
      </w:r>
    </w:p>
    <w:p w14:paraId="1AB69906" w14:textId="77777777" w:rsidR="00A005E1" w:rsidRDefault="00A005E1" w:rsidP="00A005E1">
      <w:pPr>
        <w:spacing w:after="120" w:line="480" w:lineRule="auto"/>
        <w:jc w:val="both"/>
      </w:pPr>
      <w:r>
        <w:t>Beneficiary counts were reconstructed by operator and year from the ANS consolidated beneficiary series (year-end competências, 2019–2024) and merged to the panel (84% coverage on that window). Log operating revenue and log beneficiaries are strongly correlated (r = 0.78), supporting revenue as a scale proxy. Replacing the size control with log beneficiaries leaves the predictive result essentially unchanged: top-quartile loss ratio predicts next-year fragility (OR 1.89; p &lt; 0.001) and next-year exit (OR 2.58; p = 0.001); the regulatory-exit effect attenuates on the smaller covered subsample (OR 1.72; p = 0.13). Beneficiary scale therefore does not alter the conclusions, and the earlier description of it as merely an optional control is superseded by this robustness check. The series begins in 2019, so 2018 and the extended window are not covered.</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60"/>
        <w:gridCol w:w="2500"/>
        <w:gridCol w:w="2500"/>
      </w:tblGrid>
      <w:tr w:rsidR="00A005E1" w14:paraId="34A628FA" w14:textId="77777777" w:rsidTr="00B741A2">
        <w:tc>
          <w:tcPr>
            <w:tcW w:w="32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193BFE" w14:textId="77777777" w:rsidR="00A005E1" w:rsidRDefault="00A005E1" w:rsidP="00B741A2">
            <w:r>
              <w:rPr>
                <w:b/>
                <w:bCs/>
                <w:sz w:val="20"/>
                <w:szCs w:val="20"/>
              </w:rPr>
              <w:lastRenderedPageBreak/>
              <w:t>Outcome (t+1)</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1F5DAE" w14:textId="77777777" w:rsidR="00A005E1" w:rsidRDefault="00A005E1" w:rsidP="00B741A2">
            <w:pPr>
              <w:jc w:val="center"/>
            </w:pPr>
            <w:r>
              <w:rPr>
                <w:b/>
                <w:bCs/>
                <w:sz w:val="20"/>
                <w:szCs w:val="20"/>
              </w:rPr>
              <w:t>With log revenue OR</w:t>
            </w:r>
          </w:p>
        </w:tc>
        <w:tc>
          <w:tcPr>
            <w:tcW w:w="2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59D751" w14:textId="77777777" w:rsidR="00A005E1" w:rsidRDefault="00A005E1" w:rsidP="00B741A2">
            <w:pPr>
              <w:jc w:val="center"/>
            </w:pPr>
            <w:r>
              <w:rPr>
                <w:b/>
                <w:bCs/>
                <w:sz w:val="20"/>
                <w:szCs w:val="20"/>
              </w:rPr>
              <w:t>With log beneficiaries OR</w:t>
            </w:r>
          </w:p>
        </w:tc>
      </w:tr>
      <w:tr w:rsidR="00A005E1" w14:paraId="46E5B5E8"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657EBDAF" w14:textId="77777777" w:rsidR="00A005E1" w:rsidRDefault="00A005E1" w:rsidP="00B741A2">
            <w:r>
              <w:rPr>
                <w:sz w:val="20"/>
                <w:szCs w:val="20"/>
              </w:rPr>
              <w:t>Fragility</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A3FCBA0" w14:textId="77777777" w:rsidR="00A005E1" w:rsidRDefault="00A005E1" w:rsidP="00B741A2">
            <w:pPr>
              <w:jc w:val="center"/>
            </w:pPr>
            <w:r>
              <w:rPr>
                <w:sz w:val="20"/>
                <w:szCs w:val="20"/>
              </w:rPr>
              <w:t>1.76 (p = 0.001)</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C7385EE" w14:textId="77777777" w:rsidR="00A005E1" w:rsidRDefault="00A005E1" w:rsidP="00B741A2">
            <w:pPr>
              <w:jc w:val="center"/>
            </w:pPr>
            <w:r>
              <w:rPr>
                <w:sz w:val="20"/>
                <w:szCs w:val="20"/>
              </w:rPr>
              <w:t>1.89 (p &lt; 0.001)</w:t>
            </w:r>
          </w:p>
        </w:tc>
      </w:tr>
      <w:tr w:rsidR="00A005E1" w14:paraId="29AEADB2"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58052D4" w14:textId="77777777" w:rsidR="00A005E1" w:rsidRDefault="00A005E1" w:rsidP="00B741A2">
            <w:r>
              <w:rPr>
                <w:sz w:val="20"/>
                <w:szCs w:val="20"/>
              </w:rPr>
              <w:t>Market exit</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6F68F24" w14:textId="77777777" w:rsidR="00A005E1" w:rsidRDefault="00A005E1" w:rsidP="00B741A2">
            <w:pPr>
              <w:jc w:val="center"/>
            </w:pPr>
            <w:r>
              <w:rPr>
                <w:sz w:val="20"/>
                <w:szCs w:val="20"/>
              </w:rPr>
              <w:t>3.19 (p &lt; 0.001)</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BDE494B" w14:textId="77777777" w:rsidR="00A005E1" w:rsidRDefault="00A005E1" w:rsidP="00B741A2">
            <w:pPr>
              <w:jc w:val="center"/>
            </w:pPr>
            <w:r>
              <w:rPr>
                <w:sz w:val="20"/>
                <w:szCs w:val="20"/>
              </w:rPr>
              <w:t>2.58 (p = 0.001)</w:t>
            </w:r>
          </w:p>
        </w:tc>
      </w:tr>
      <w:tr w:rsidR="00A005E1" w14:paraId="1C144A60" w14:textId="77777777" w:rsidTr="00B741A2">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D4A4B46" w14:textId="77777777" w:rsidR="00A005E1" w:rsidRDefault="00A005E1" w:rsidP="00B741A2">
            <w:r>
              <w:rPr>
                <w:sz w:val="20"/>
                <w:szCs w:val="20"/>
              </w:rPr>
              <w:t>Forced reg. exit</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6368C75" w14:textId="77777777" w:rsidR="00A005E1" w:rsidRDefault="00A005E1" w:rsidP="00B741A2">
            <w:pPr>
              <w:jc w:val="center"/>
            </w:pPr>
            <w:r>
              <w:rPr>
                <w:sz w:val="20"/>
                <w:szCs w:val="20"/>
              </w:rPr>
              <w:t>2.29 (p = 0.009)</w:t>
            </w:r>
          </w:p>
        </w:tc>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5B717AE" w14:textId="77777777" w:rsidR="00A005E1" w:rsidRDefault="00A005E1" w:rsidP="00B741A2">
            <w:pPr>
              <w:jc w:val="center"/>
            </w:pPr>
            <w:r>
              <w:rPr>
                <w:sz w:val="20"/>
                <w:szCs w:val="20"/>
              </w:rPr>
              <w:t>1.72 (p = 0.131)</w:t>
            </w:r>
          </w:p>
        </w:tc>
      </w:tr>
    </w:tbl>
    <w:p w14:paraId="51760862" w14:textId="77777777" w:rsidR="00A005E1" w:rsidRDefault="00A005E1" w:rsidP="00A005E1">
      <w:pPr>
        <w:pStyle w:val="Heading2"/>
        <w:spacing w:line="480" w:lineRule="auto"/>
      </w:pPr>
      <w:r>
        <w:t>A6. Functional form and the Q1 anomaly</w:t>
      </w:r>
    </w:p>
    <w:p w14:paraId="382C8AB1" w14:textId="77777777" w:rsidR="00A005E1" w:rsidRDefault="00A005E1" w:rsidP="00A005E1">
      <w:pPr>
        <w:spacing w:after="120" w:line="480" w:lineRule="auto"/>
        <w:jc w:val="both"/>
      </w:pPr>
      <w:r>
        <w:t>Two checks support modeling the loss ratio as a threshold rather than a linear term and clarify the non-monotone raw gradient in which the lowest quartile (Q1) shows a higher unadjusted prevalence than the second quartile (Q2). First, taking the empirically lowest-risk quartile (Q2) as the reference in the adjusted model, only the top quartile is significantly elevated (Q4 versus Q2, OR 1.78; 95% CI 1.19–2.68; p = 0.005), while Q1 and Q3 are statistically indistinguishable from Q2 (Q1 versus Q2, OR 1.13; p = 0.55; Q3 versus Q2, OR 0.99; p = 0.95). The elevated unadjusted prevalence in Q1 therefore reflects composition - small or atypical low-claims operators with weak margins for other reasons - and does not survive adjustment, whereas the top-quartile effect does. Second, a formal comparison of functional forms favors nonlinearity: a restricted cubic spline in the loss ratio lowers the Akaike information criterion relative to the linear specification (2574.6 versus 2587.9), and a likelihood-ratio test rejects the linear form (chi-square = 17.3; 2 degrees of freedom; p &lt; 0.001); the quartile specification lies between the two. The top-quartile indicator used in the main models is thus a defensible, parsimonious summary of a genuinely nonlinear, threshold-shaped relationship.</w:t>
      </w:r>
    </w:p>
    <w:p w14:paraId="1FD18224" w14:textId="77777777" w:rsidR="00A005E1" w:rsidRDefault="00A005E1" w:rsidP="00A005E1">
      <w:pPr>
        <w:pStyle w:val="Heading1"/>
        <w:spacing w:line="480" w:lineRule="auto"/>
      </w:pPr>
      <w:r>
        <w:t>Appendix B. Methodological and mathematical appendix</w:t>
      </w:r>
    </w:p>
    <w:p w14:paraId="437A70C0" w14:textId="77777777" w:rsidR="00A005E1" w:rsidRDefault="00A005E1" w:rsidP="00A005E1">
      <w:pPr>
        <w:spacing w:before="120" w:after="120" w:line="480" w:lineRule="auto"/>
      </w:pPr>
      <w:r>
        <w:t xml:space="preserve">This appendix formalizes the empirical methodology and the mathematical structure underlying the article. The design is predictive: the loss ratio observed in year t is related to </w:t>
      </w:r>
      <w:r>
        <w:lastRenderedPageBreak/>
        <w:t>outcomes observed in t+1, and, for forced regulatory exit, in t+1 or t+2. The main specification uses pooled panel logit models with year fixed effects; controls for size, operator modality, and the administrative-expense ratio; and operator-clustered standard errors. The objective is to estimate predictive content, not causality. Fig. 1 summarizes the corresponding computational pipeline.</w:t>
      </w:r>
    </w:p>
    <w:p w14:paraId="4B444F24" w14:textId="77777777" w:rsidR="00A005E1" w:rsidRDefault="00A005E1" w:rsidP="00A005E1">
      <w:pPr>
        <w:pStyle w:val="Heading2"/>
        <w:spacing w:line="480" w:lineRule="auto"/>
      </w:pPr>
      <w:r>
        <w:t>Notation and unit of analysis</w:t>
      </w:r>
    </w:p>
    <w:p w14:paraId="169CE64E" w14:textId="77777777" w:rsidR="00A005E1" w:rsidRDefault="00A005E1" w:rsidP="00A005E1">
      <w:pPr>
        <w:spacing w:line="480" w:lineRule="auto"/>
      </w:pPr>
      <w:r>
        <w:t xml:space="preserve">The unit of analysis is operator </w:t>
      </w:r>
      <m:oMath>
        <m:r>
          <w:rPr>
            <w:rFonts w:ascii="Cambria Math" w:hAnsi="Cambria Math"/>
          </w:rPr>
          <m:t>i</m:t>
        </m:r>
      </m:oMath>
      <w:r>
        <w:t xml:space="preserve"> in year </w:t>
      </w:r>
      <m:oMath>
        <m:r>
          <w:rPr>
            <w:rFonts w:ascii="Cambria Math" w:hAnsi="Cambria Math"/>
          </w:rPr>
          <m:t>t</m:t>
        </m:r>
      </m:oMath>
      <w:r>
        <w:t>, where:</w:t>
      </w:r>
    </w:p>
    <w:p w14:paraId="1C3C0A17" w14:textId="77777777" w:rsidR="00A005E1" w:rsidRDefault="00A005E1" w:rsidP="00A005E1">
      <w:pPr>
        <w:numPr>
          <w:ilvl w:val="0"/>
          <w:numId w:val="3"/>
        </w:numPr>
        <w:spacing w:line="480" w:lineRule="auto"/>
      </w:pPr>
      <m:oMath>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oMath>
      <w:r>
        <w:t xml:space="preserve"> indexes health plan operators registered under the Brazilian National Supplementary Health Agency (ANS) framework;</w:t>
      </w:r>
    </w:p>
    <w:p w14:paraId="465BE055" w14:textId="77777777" w:rsidR="00A005E1" w:rsidRDefault="00A005E1" w:rsidP="00A005E1">
      <w:pPr>
        <w:numPr>
          <w:ilvl w:val="0"/>
          <w:numId w:val="3"/>
        </w:numPr>
        <w:spacing w:line="480" w:lineRule="auto"/>
      </w:pPr>
      <m:oMath>
        <m:r>
          <w:rPr>
            <w:rFonts w:ascii="Cambria Math" w:hAnsi="Cambria Math"/>
          </w:rPr>
          <m:t>t</m:t>
        </m:r>
        <m:r>
          <m:rPr>
            <m:scr m:val="script"/>
            <m:sty m:val="p"/>
          </m:rPr>
          <w:rPr>
            <w:rFonts w:ascii="Cambria Math" w:hAnsi="Cambria Math"/>
          </w:rPr>
          <m:t>∈T</m:t>
        </m:r>
      </m:oMath>
      <w:r>
        <w:t xml:space="preserve"> indexes calendar years;</w:t>
      </w:r>
    </w:p>
    <w:p w14:paraId="4DB9FDC3" w14:textId="77777777" w:rsidR="00A005E1" w:rsidRDefault="00A005E1" w:rsidP="00A005E1">
      <w:pPr>
        <w:numPr>
          <w:ilvl w:val="0"/>
          <w:numId w:val="3"/>
        </w:numPr>
        <w:spacing w:line="480" w:lineRule="auto"/>
      </w:pPr>
      <w:r>
        <w:t xml:space="preserve">the primary window covers </w:t>
      </w:r>
      <m:oMath>
        <m:r>
          <w:rPr>
            <w:rFonts w:ascii="Cambria Math" w:hAnsi="Cambria Math"/>
          </w:rPr>
          <m:t>2018</m:t>
        </m:r>
      </m:oMath>
      <w:r>
        <w:t>–</w:t>
      </w:r>
      <m:oMath>
        <m:r>
          <w:rPr>
            <w:rFonts w:ascii="Cambria Math" w:hAnsi="Cambria Math"/>
          </w:rPr>
          <m:t>2024</m:t>
        </m:r>
      </m:oMath>
      <w:r>
        <w:t>;</w:t>
      </w:r>
    </w:p>
    <w:p w14:paraId="7348F65B" w14:textId="77777777" w:rsidR="00A005E1" w:rsidRDefault="00A005E1" w:rsidP="00A005E1">
      <w:pPr>
        <w:numPr>
          <w:ilvl w:val="0"/>
          <w:numId w:val="3"/>
        </w:numPr>
        <w:spacing w:line="480" w:lineRule="auto"/>
      </w:pPr>
      <w:r>
        <w:t xml:space="preserve">the extended window covers </w:t>
      </w:r>
      <m:oMath>
        <m:r>
          <w:rPr>
            <w:rFonts w:ascii="Cambria Math" w:hAnsi="Cambria Math"/>
          </w:rPr>
          <m:t>2007</m:t>
        </m:r>
      </m:oMath>
      <w:r>
        <w:t>–</w:t>
      </w:r>
      <m:oMath>
        <m:r>
          <w:rPr>
            <w:rFonts w:ascii="Cambria Math" w:hAnsi="Cambria Math"/>
          </w:rPr>
          <m:t>2024</m:t>
        </m:r>
      </m:oMath>
      <w:r>
        <w:t>.</w:t>
      </w:r>
    </w:p>
    <w:p w14:paraId="511FFD10" w14:textId="77777777" w:rsidR="00A005E1" w:rsidRDefault="00A005E1" w:rsidP="00A005E1">
      <w:pPr>
        <w:spacing w:line="480" w:lineRule="auto"/>
      </w:pPr>
      <w:r>
        <w:t xml:space="preserve">The panel is built from the DIOPS quarterly accounting statements, using the fourth quarter of each year, because income-statement accounts are reported on an accumulated annual basis. The rebuilt primary sample contains </w:t>
      </w:r>
      <m:oMath>
        <m:r>
          <w:rPr>
            <w:rFonts w:ascii="Cambria Math" w:hAnsi="Cambria Math"/>
          </w:rPr>
          <m:t>6</m:t>
        </m:r>
        <m:r>
          <m:rPr>
            <m:sty m:val="p"/>
          </m:rPr>
          <w:rPr>
            <w:rFonts w:ascii="Cambria Math" w:hAnsi="Cambria Math"/>
          </w:rPr>
          <m:t>,</m:t>
        </m:r>
        <m:r>
          <w:rPr>
            <w:rFonts w:ascii="Cambria Math" w:hAnsi="Cambria Math"/>
          </w:rPr>
          <m:t>139</m:t>
        </m:r>
      </m:oMath>
      <w:r>
        <w:t xml:space="preserve"> operator-year observations, </w:t>
      </w:r>
      <m:oMath>
        <m:r>
          <w:rPr>
            <w:rFonts w:ascii="Cambria Math" w:hAnsi="Cambria Math"/>
          </w:rPr>
          <m:t>1</m:t>
        </m:r>
        <m:r>
          <m:rPr>
            <m:sty m:val="p"/>
          </m:rPr>
          <w:rPr>
            <w:rFonts w:ascii="Cambria Math" w:hAnsi="Cambria Math"/>
          </w:rPr>
          <m:t>,</m:t>
        </m:r>
        <m:r>
          <w:rPr>
            <w:rFonts w:ascii="Cambria Math" w:hAnsi="Cambria Math"/>
          </w:rPr>
          <m:t>042</m:t>
        </m:r>
      </m:oMath>
      <w:r>
        <w:t xml:space="preserve"> operators, and </w:t>
      </w:r>
      <m:oMath>
        <m:r>
          <w:rPr>
            <w:rFonts w:ascii="Cambria Math" w:hAnsi="Cambria Math"/>
          </w:rPr>
          <m:t>471</m:t>
        </m:r>
      </m:oMath>
      <w:r>
        <w:t xml:space="preserve"> two-condition accounting-fragility events, with prevalence of </w:t>
      </w:r>
      <m:oMath>
        <m:r>
          <w:rPr>
            <w:rFonts w:ascii="Cambria Math" w:hAnsi="Cambria Math"/>
          </w:rPr>
          <m:t>7.67</m:t>
        </m:r>
        <m:r>
          <m:rPr>
            <m:sty m:val="p"/>
          </m:rPr>
          <w:rPr>
            <w:rFonts w:ascii="Cambria Math" w:hAnsi="Cambria Math"/>
          </w:rPr>
          <m:t>%</m:t>
        </m:r>
      </m:oMath>
      <w:r>
        <w:t>.</w:t>
      </w:r>
    </w:p>
    <w:p w14:paraId="533C4054" w14:textId="77777777" w:rsidR="00A005E1" w:rsidRDefault="00A005E1" w:rsidP="00A005E1">
      <w:pPr>
        <w:pStyle w:val="Heading2"/>
        <w:spacing w:line="480" w:lineRule="auto"/>
      </w:pPr>
      <w:bookmarkStart w:id="0" w:name="diops-account-mapping"/>
      <w:r>
        <w:t>DIOPS account mapping</w:t>
      </w:r>
    </w:p>
    <w:p w14:paraId="497CB779" w14:textId="77777777" w:rsidR="00A005E1" w:rsidRDefault="00A005E1" w:rsidP="00A005E1">
      <w:pPr>
        <w:spacing w:line="480" w:lineRule="auto"/>
      </w:pPr>
      <w:r>
        <w:t xml:space="preserve">All financial variables are reconstructed from DIOPS account groups; the mapping is reproduced as Table 1 in the main text of this article. </w:t>
      </w:r>
    </w:p>
    <w:p w14:paraId="50977872" w14:textId="77777777" w:rsidR="00A005E1" w:rsidRDefault="00A005E1" w:rsidP="00A005E1">
      <w:pPr>
        <w:spacing w:line="480" w:lineRule="auto"/>
      </w:pPr>
      <w:r>
        <w:t>To reconstruct the operating result, missing operating-expense accounts in groups 41, 43, 44, and 46 are interpreted as zero, because DIOPS may omit zero-balance accounts. By contrast, revenue, current assets, current liabilities, and equity are not zero-filled: observations lacking those items are excluded by the sample filters.</w:t>
      </w:r>
    </w:p>
    <w:p w14:paraId="5DF47EEF" w14:textId="77777777" w:rsidR="00A005E1" w:rsidRDefault="00A005E1" w:rsidP="00A005E1">
      <w:pPr>
        <w:pStyle w:val="Heading2"/>
        <w:spacing w:line="480" w:lineRule="auto"/>
      </w:pPr>
      <w:bookmarkStart w:id="1" w:name="construction-of-the-medical-loss-ratio"/>
      <w:bookmarkEnd w:id="0"/>
      <w:r>
        <w:lastRenderedPageBreak/>
        <w:t>Construction of the Medical Loss Ratio</w:t>
      </w:r>
    </w:p>
    <w:p w14:paraId="07B688A5" w14:textId="77777777" w:rsidR="00A005E1" w:rsidRDefault="00A005E1" w:rsidP="00A005E1">
      <w:pPr>
        <w:spacing w:line="480" w:lineRule="auto"/>
      </w:pPr>
      <w:r>
        <w:t xml:space="preserve">The </w:t>
      </w:r>
      <w:r>
        <w:rPr>
          <w:i/>
          <w:iCs/>
        </w:rPr>
        <w:t>Medical Loss Ratio</w:t>
      </w:r>
      <w:r>
        <w:t xml:space="preserve"> is reconstructed as the ratio of net claims to net premiums:</w:t>
      </w:r>
    </w:p>
    <w:p w14:paraId="00A4D20D" w14:textId="77777777" w:rsidR="00A005E1" w:rsidRDefault="00A005E1" w:rsidP="00A005E1">
      <w:pPr>
        <w:spacing w:line="480" w:lineRule="auto"/>
      </w:pPr>
      <m:oMathPara>
        <m:oMathParaPr>
          <m:jc m:val="center"/>
        </m:oMathParaPr>
        <m:oMath>
          <m:sSub>
            <m:sSubPr>
              <m:ctrlPr>
                <w:rPr>
                  <w:rFonts w:ascii="Cambria Math" w:hAnsi="Cambria Math"/>
                </w:rPr>
              </m:ctrlPr>
            </m:sSubPr>
            <m:e>
              <m:r>
                <m:rPr>
                  <m:sty m:val="p"/>
                </m:rPr>
                <w:rPr>
                  <w:rFonts w:ascii="Cambria Math" w:hAnsi="Cambria Math"/>
                </w:rPr>
                <m:t>MLR</m:t>
              </m:r>
            </m:e>
            <m:sub>
              <m:r>
                <w:rPr>
                  <w:rFonts w:ascii="Cambria Math" w:hAnsi="Cambria Math"/>
                </w:rPr>
                <m:t>it</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it</m:t>
                  </m:r>
                </m:sub>
                <m:sup>
                  <m:r>
                    <w:rPr>
                      <w:rFonts w:ascii="Cambria Math" w:hAnsi="Cambria Math"/>
                    </w:rPr>
                    <m:t>41</m:t>
                  </m:r>
                </m:sup>
              </m:sSubSup>
            </m:num>
            <m:den>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den>
          </m:f>
          <m:r>
            <m:rPr>
              <m:sty m:val="p"/>
            </m:rPr>
            <w:rPr>
              <w:rFonts w:ascii="Cambria Math" w:hAnsi="Cambria Math"/>
            </w:rPr>
            <m:t>.</m:t>
          </m:r>
        </m:oMath>
      </m:oMathPara>
    </w:p>
    <w:p w14:paraId="4E1AE15D" w14:textId="77777777" w:rsidR="00A005E1" w:rsidRDefault="00A005E1" w:rsidP="00A005E1">
      <w:pPr>
        <w:spacing w:line="480" w:lineRule="auto"/>
      </w:pPr>
      <w:r>
        <w:t xml:space="preserve">This definition corresponds to the conventional claims-ratio scale: higher values indicate that a larger share of operating revenue is absorbed by care-related claims expenses. In the primary window, the MLR has a median of </w:t>
      </w:r>
      <m:oMath>
        <m:r>
          <w:rPr>
            <w:rFonts w:ascii="Cambria Math" w:hAnsi="Cambria Math"/>
          </w:rPr>
          <m:t>0.733</m:t>
        </m:r>
      </m:oMath>
      <w:r>
        <w:t xml:space="preserve">, an interquartile range from </w:t>
      </w:r>
      <m:oMath>
        <m:r>
          <w:rPr>
            <w:rFonts w:ascii="Cambria Math" w:hAnsi="Cambria Math"/>
          </w:rPr>
          <m:t>0.542</m:t>
        </m:r>
      </m:oMath>
      <w:r>
        <w:t xml:space="preserve"> to </w:t>
      </w:r>
      <m:oMath>
        <m:r>
          <w:rPr>
            <w:rFonts w:ascii="Cambria Math" w:hAnsi="Cambria Math"/>
          </w:rPr>
          <m:t>0.835</m:t>
        </m:r>
      </m:oMath>
      <w:r>
        <w:t xml:space="preserve">, and approximately </w:t>
      </w:r>
      <m:oMath>
        <m:r>
          <w:rPr>
            <w:rFonts w:ascii="Cambria Math" w:hAnsi="Cambria Math"/>
          </w:rPr>
          <m:t>3.9</m:t>
        </m:r>
        <m:r>
          <m:rPr>
            <m:sty m:val="p"/>
          </m:rPr>
          <w:rPr>
            <w:rFonts w:ascii="Cambria Math" w:hAnsi="Cambria Math"/>
          </w:rPr>
          <m:t>%</m:t>
        </m:r>
      </m:oMath>
      <w:r>
        <w:t xml:space="preserve"> of observations above </w:t>
      </w:r>
      <m:oMath>
        <m:r>
          <w:rPr>
            <w:rFonts w:ascii="Cambria Math" w:hAnsi="Cambria Math"/>
          </w:rPr>
          <m:t>1.0</m:t>
        </m:r>
      </m:oMath>
      <w:r>
        <w:t>.</w:t>
      </w:r>
    </w:p>
    <w:p w14:paraId="78447FCE" w14:textId="77777777" w:rsidR="00A005E1" w:rsidRDefault="00A005E1" w:rsidP="00A005E1">
      <w:pPr>
        <w:pStyle w:val="Heading3"/>
        <w:spacing w:line="480" w:lineRule="auto"/>
      </w:pPr>
      <w:bookmarkStart w:id="2" w:name="winsorization"/>
      <w:r>
        <w:t>Winsorization</w:t>
      </w:r>
    </w:p>
    <w:p w14:paraId="76E7F107" w14:textId="77777777" w:rsidR="00A005E1" w:rsidRDefault="00A005E1" w:rsidP="00A005E1">
      <w:pPr>
        <w:spacing w:line="480" w:lineRule="auto"/>
      </w:pPr>
      <w:r>
        <w:t xml:space="preserve">To limit the influence of extreme values, the MLR is winsorized at the 1st and 99th percentiles within each estimation window. Let </w:t>
      </w:r>
      <m:oMath>
        <m:sSub>
          <m:sSubPr>
            <m:ctrlPr>
              <w:rPr>
                <w:rFonts w:ascii="Cambria Math" w:hAnsi="Cambria Math"/>
              </w:rPr>
            </m:ctrlPr>
          </m:sSubPr>
          <m:e>
            <m:r>
              <w:rPr>
                <w:rFonts w:ascii="Cambria Math" w:hAnsi="Cambria Math"/>
              </w:rPr>
              <m:t>q</m:t>
            </m:r>
          </m:e>
          <m:sub>
            <m:r>
              <w:rPr>
                <w:rFonts w:ascii="Cambria Math" w:hAnsi="Cambria Math"/>
              </w:rPr>
              <m:t>0.01</m:t>
            </m:r>
          </m:sub>
        </m:sSub>
      </m:oMath>
      <w:r>
        <w:t xml:space="preserve"> be the 1st percentile and </w:t>
      </w:r>
      <m:oMath>
        <m:sSub>
          <m:sSubPr>
            <m:ctrlPr>
              <w:rPr>
                <w:rFonts w:ascii="Cambria Math" w:hAnsi="Cambria Math"/>
              </w:rPr>
            </m:ctrlPr>
          </m:sSubPr>
          <m:e>
            <m:r>
              <w:rPr>
                <w:rFonts w:ascii="Cambria Math" w:hAnsi="Cambria Math"/>
              </w:rPr>
              <m:t>q</m:t>
            </m:r>
          </m:e>
          <m:sub>
            <m:r>
              <w:rPr>
                <w:rFonts w:ascii="Cambria Math" w:hAnsi="Cambria Math"/>
              </w:rPr>
              <m:t>0.99</m:t>
            </m:r>
          </m:sub>
        </m:sSub>
      </m:oMath>
      <w:r>
        <w:t xml:space="preserve"> the 99th percentile of the MLR in the window. The winsorized variable is:</w:t>
      </w:r>
    </w:p>
    <w:p w14:paraId="3B1688AA"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m:rPr>
                  <m:sty m:val="p"/>
                </m:rPr>
                <w:rPr>
                  <w:rFonts w:ascii="Cambria Math" w:hAnsi="Cambria Math"/>
                </w:rPr>
                <m:t>MLR</m:t>
              </m:r>
            </m:e>
            <m:sub>
              <m:r>
                <w:rPr>
                  <w:rFonts w:ascii="Cambria Math" w:hAnsi="Cambria Math"/>
                </w:rPr>
                <m:t>it</m:t>
              </m:r>
            </m:sub>
            <m:sup>
              <m:r>
                <w:rPr>
                  <w:rFonts w:ascii="Cambria Math" w:hAnsi="Cambria Math"/>
                </w:rPr>
                <m:t>W</m:t>
              </m:r>
            </m:sup>
          </m:sSubSup>
          <m:r>
            <m:rPr>
              <m:sty m:val="p"/>
            </m:rPr>
            <w:rPr>
              <w:rFonts w:ascii="Cambria Math" w:hAnsi="Cambria Math"/>
            </w:rPr>
            <m:t>=min</m:t>
          </m:r>
          <m:d>
            <m:dPr>
              <m:begChr m:val="{"/>
              <m:endChr m:val="}"/>
              <m:ctrlPr>
                <w:rPr>
                  <w:rFonts w:ascii="Cambria Math" w:hAnsi="Cambria Math"/>
                </w:rPr>
              </m:ctrlPr>
            </m:dPr>
            <m:e>
              <m:r>
                <m:rPr>
                  <m:sty m:val="p"/>
                </m:rPr>
                <w:rPr>
                  <w:rFonts w:ascii="Cambria Math" w:hAnsi="Cambria Math"/>
                </w:rPr>
                <m:t>max</m:t>
              </m:r>
              <m:d>
                <m:dPr>
                  <m:ctrlPr>
                    <w:rPr>
                      <w:rFonts w:ascii="Cambria Math" w:hAnsi="Cambria Math"/>
                    </w:rPr>
                  </m:ctrlPr>
                </m:dPr>
                <m:e>
                  <m:sSub>
                    <m:sSubPr>
                      <m:ctrlPr>
                        <w:rPr>
                          <w:rFonts w:ascii="Cambria Math" w:hAnsi="Cambria Math"/>
                        </w:rPr>
                      </m:ctrlPr>
                    </m:sSubPr>
                    <m:e>
                      <m:r>
                        <m:rPr>
                          <m:sty m:val="p"/>
                        </m:rPr>
                        <w:rPr>
                          <w:rFonts w:ascii="Cambria Math" w:hAnsi="Cambria Math"/>
                        </w:rPr>
                        <m:t>MLR</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0.01</m:t>
                      </m:r>
                    </m:sub>
                  </m:sSub>
                </m:e>
              </m:d>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0.99</m:t>
                  </m:r>
                </m:sub>
              </m:sSub>
            </m:e>
          </m:d>
          <m:r>
            <m:rPr>
              <m:sty m:val="p"/>
            </m:rPr>
            <w:rPr>
              <w:rFonts w:ascii="Cambria Math" w:hAnsi="Cambria Math"/>
            </w:rPr>
            <m:t>.</m:t>
          </m:r>
        </m:oMath>
      </m:oMathPara>
    </w:p>
    <w:p w14:paraId="6A85A39E" w14:textId="77777777" w:rsidR="00A005E1" w:rsidRDefault="00A005E1" w:rsidP="00A005E1">
      <w:pPr>
        <w:pStyle w:val="Heading3"/>
        <w:spacing w:line="480" w:lineRule="auto"/>
      </w:pPr>
      <w:bookmarkStart w:id="3" w:name="standardization-by-standard-deviation"/>
      <w:bookmarkEnd w:id="2"/>
      <w:r>
        <w:t>Standardization by standard deviation</w:t>
      </w:r>
    </w:p>
    <w:p w14:paraId="23E2D7A4" w14:textId="77777777" w:rsidR="00A005E1" w:rsidRDefault="00A005E1" w:rsidP="00A005E1">
      <w:pPr>
        <w:spacing w:line="480" w:lineRule="auto"/>
      </w:pPr>
      <w:r>
        <w:t>In the continuous specifications, the effect is reported per one standard deviation of the MLR:</w:t>
      </w:r>
    </w:p>
    <w:p w14:paraId="50776FFD"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Z</m:t>
              </m:r>
            </m:e>
            <m:sub>
              <m:r>
                <w:rPr>
                  <w:rFonts w:ascii="Cambria Math" w:hAnsi="Cambria Math"/>
                </w:rPr>
                <m:t>it</m:t>
              </m:r>
            </m:sub>
            <m:sup>
              <m:r>
                <m:rPr>
                  <m:sty m:val="p"/>
                </m:rPr>
                <w:rPr>
                  <w:rFonts w:ascii="Cambria Math" w:hAnsi="Cambria Math"/>
                </w:rPr>
                <m:t>MLR</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MLR</m:t>
                  </m:r>
                </m:e>
                <m:sub>
                  <m:r>
                    <w:rPr>
                      <w:rFonts w:ascii="Cambria Math" w:hAnsi="Cambria Math"/>
                    </w:rPr>
                    <m:t>it</m:t>
                  </m:r>
                </m:sub>
                <m:sup>
                  <m:r>
                    <w:rPr>
                      <w:rFonts w:ascii="Cambria Math" w:hAnsi="Cambria Math"/>
                    </w:rPr>
                    <m:t>W</m:t>
                  </m:r>
                </m:sup>
              </m:sSubSup>
              <m:r>
                <m:rPr>
                  <m:sty m:val="p"/>
                </m:rPr>
                <w:rPr>
                  <w:rFonts w:ascii="Cambria Math" w:hAnsi="Cambria Math"/>
                </w:rPr>
                <m:t>-</m:t>
              </m:r>
              <m:bar>
                <m:barPr>
                  <m:pos m:val="top"/>
                  <m:ctrlPr>
                    <w:rPr>
                      <w:rFonts w:ascii="Cambria Math" w:hAnsi="Cambria Math"/>
                    </w:rPr>
                  </m:ctrlPr>
                </m:barPr>
                <m:e>
                  <m:sSup>
                    <m:sSupPr>
                      <m:ctrlPr>
                        <w:rPr>
                          <w:rFonts w:ascii="Cambria Math" w:hAnsi="Cambria Math"/>
                        </w:rPr>
                      </m:ctrlPr>
                    </m:sSupPr>
                    <m:e>
                      <m:r>
                        <m:rPr>
                          <m:sty m:val="p"/>
                        </m:rPr>
                        <w:rPr>
                          <w:rFonts w:ascii="Cambria Math" w:hAnsi="Cambria Math"/>
                        </w:rPr>
                        <m:t>MLR</m:t>
                      </m:r>
                    </m:e>
                    <m:sup>
                      <m:r>
                        <w:rPr>
                          <w:rFonts w:ascii="Cambria Math" w:hAnsi="Cambria Math"/>
                        </w:rPr>
                        <m:t>W</m:t>
                      </m:r>
                    </m:sup>
                  </m:sSup>
                </m:e>
              </m:bar>
            </m:num>
            <m:den>
              <m:sSub>
                <m:sSubPr>
                  <m:ctrlPr>
                    <w:rPr>
                      <w:rFonts w:ascii="Cambria Math" w:hAnsi="Cambria Math"/>
                    </w:rPr>
                  </m:ctrlPr>
                </m:sSubPr>
                <m:e>
                  <m:r>
                    <w:rPr>
                      <w:rFonts w:ascii="Cambria Math" w:hAnsi="Cambria Math"/>
                    </w:rPr>
                    <m:t>s</m:t>
                  </m:r>
                </m:e>
                <m:sub>
                  <m:r>
                    <m:rPr>
                      <m:sty m:val="p"/>
                    </m:rPr>
                    <w:rPr>
                      <w:rFonts w:ascii="Cambria Math" w:hAnsi="Cambria Math"/>
                    </w:rPr>
                    <m:t>MLR</m:t>
                  </m:r>
                </m:sub>
              </m:sSub>
            </m:den>
          </m:f>
          <m:r>
            <m:rPr>
              <m:sty m:val="p"/>
            </m:rPr>
            <w:rPr>
              <w:rFonts w:ascii="Cambria Math" w:hAnsi="Cambria Math"/>
            </w:rPr>
            <m:t>,</m:t>
          </m:r>
        </m:oMath>
      </m:oMathPara>
    </w:p>
    <w:p w14:paraId="11102CB5" w14:textId="77777777" w:rsidR="00A005E1" w:rsidRDefault="00A005E1" w:rsidP="00A005E1">
      <w:pPr>
        <w:spacing w:line="480" w:lineRule="auto"/>
      </w:pPr>
      <w:r>
        <w:t xml:space="preserve">where </w:t>
      </w:r>
      <m:oMath>
        <m:sSub>
          <m:sSubPr>
            <m:ctrlPr>
              <w:rPr>
                <w:rFonts w:ascii="Cambria Math" w:hAnsi="Cambria Math"/>
              </w:rPr>
            </m:ctrlPr>
          </m:sSubPr>
          <m:e>
            <m:r>
              <w:rPr>
                <w:rFonts w:ascii="Cambria Math" w:hAnsi="Cambria Math"/>
              </w:rPr>
              <m:t>s</m:t>
            </m:r>
          </m:e>
          <m:sub>
            <m:r>
              <m:rPr>
                <m:sty m:val="p"/>
              </m:rPr>
              <w:rPr>
                <w:rFonts w:ascii="Cambria Math" w:hAnsi="Cambria Math"/>
              </w:rPr>
              <m:t>MLR</m:t>
            </m:r>
          </m:sub>
        </m:sSub>
      </m:oMath>
      <w:r>
        <w:t xml:space="preserve"> is the sample standard deviation of the winsorized variable. In the primary window, </w:t>
      </w:r>
      <m:oMath>
        <m:sSub>
          <m:sSubPr>
            <m:ctrlPr>
              <w:rPr>
                <w:rFonts w:ascii="Cambria Math" w:hAnsi="Cambria Math"/>
              </w:rPr>
            </m:ctrlPr>
          </m:sSubPr>
          <m:e>
            <m:r>
              <w:rPr>
                <w:rFonts w:ascii="Cambria Math" w:hAnsi="Cambria Math"/>
              </w:rPr>
              <m:t>s</m:t>
            </m:r>
          </m:e>
          <m:sub>
            <m:r>
              <m:rPr>
                <m:sty m:val="p"/>
              </m:rPr>
              <w:rPr>
                <w:rFonts w:ascii="Cambria Math" w:hAnsi="Cambria Math"/>
              </w:rPr>
              <m:t>MLR</m:t>
            </m:r>
          </m:sub>
        </m:sSub>
        <m:r>
          <m:rPr>
            <m:sty m:val="p"/>
          </m:rPr>
          <w:rPr>
            <w:rFonts w:ascii="Cambria Math" w:hAnsi="Cambria Math"/>
          </w:rPr>
          <m:t>≈</m:t>
        </m:r>
        <m:r>
          <w:rPr>
            <w:rFonts w:ascii="Cambria Math" w:hAnsi="Cambria Math"/>
          </w:rPr>
          <m:t>0.233</m:t>
        </m:r>
      </m:oMath>
      <w:r>
        <w:t>.</w:t>
      </w:r>
    </w:p>
    <w:p w14:paraId="348FCF88" w14:textId="77777777" w:rsidR="00A005E1" w:rsidRDefault="00A005E1" w:rsidP="00A005E1">
      <w:pPr>
        <w:pStyle w:val="Heading3"/>
        <w:spacing w:line="480" w:lineRule="auto"/>
      </w:pPr>
      <w:bookmarkStart w:id="4" w:name="high-mlr-indicator"/>
      <w:bookmarkEnd w:id="3"/>
      <w:r>
        <w:t>High-MLR indicator</w:t>
      </w:r>
    </w:p>
    <w:p w14:paraId="0C195B97" w14:textId="77777777" w:rsidR="00A005E1" w:rsidRDefault="00A005E1" w:rsidP="00A005E1">
      <w:pPr>
        <w:spacing w:line="480" w:lineRule="auto"/>
      </w:pPr>
      <w:r>
        <w:t>The main nonlinear specification uses a high-MLR indicator, defined by the upper quartile of the within-window distribution:</w:t>
      </w:r>
    </w:p>
    <w:p w14:paraId="43DB78C3" w14:textId="77777777" w:rsidR="00A005E1" w:rsidRDefault="00A005E1" w:rsidP="00A005E1">
      <w:pPr>
        <w:spacing w:line="480" w:lineRule="auto"/>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it</m:t>
              </m:r>
            </m:sub>
          </m:sSub>
          <m:r>
            <m:rPr>
              <m:scr m:val="double-struck"/>
              <m:sty m:val="p"/>
            </m:rPr>
            <w:rPr>
              <w:rFonts w:ascii="Cambria Math" w:hAnsi="Cambria Math"/>
            </w:rPr>
            <m:t>=I</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MLR</m:t>
                  </m:r>
                </m:e>
                <m:sub>
                  <m:r>
                    <w:rPr>
                      <w:rFonts w:ascii="Cambria Math" w:hAnsi="Cambria Math"/>
                    </w:rPr>
                    <m:t>it</m:t>
                  </m:r>
                </m:sub>
                <m:sup>
                  <m:r>
                    <w:rPr>
                      <w:rFonts w:ascii="Cambria Math" w:hAnsi="Cambria Math"/>
                    </w:rPr>
                    <m:t>W</m:t>
                  </m:r>
                </m:sup>
              </m:sSubSup>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0.75</m:t>
                  </m:r>
                </m:sub>
              </m:sSub>
            </m:e>
          </m:d>
          <m:r>
            <m:rPr>
              <m:sty m:val="p"/>
            </m:rPr>
            <w:rPr>
              <w:rFonts w:ascii="Cambria Math" w:hAnsi="Cambria Math"/>
            </w:rPr>
            <m:t>.</m:t>
          </m:r>
        </m:oMath>
      </m:oMathPara>
    </w:p>
    <w:p w14:paraId="55B4A090" w14:textId="77777777" w:rsidR="00A005E1" w:rsidRDefault="00A005E1" w:rsidP="00A005E1">
      <w:pPr>
        <w:spacing w:line="480" w:lineRule="auto"/>
      </w:pPr>
      <w:r>
        <w:lastRenderedPageBreak/>
        <w:t xml:space="preserve">In the primary window, </w:t>
      </w:r>
      <m:oMath>
        <m:sSub>
          <m:sSubPr>
            <m:ctrlPr>
              <w:rPr>
                <w:rFonts w:ascii="Cambria Math" w:hAnsi="Cambria Math"/>
              </w:rPr>
            </m:ctrlPr>
          </m:sSubPr>
          <m:e>
            <m:r>
              <w:rPr>
                <w:rFonts w:ascii="Cambria Math" w:hAnsi="Cambria Math"/>
              </w:rPr>
              <m:t>q</m:t>
            </m:r>
          </m:e>
          <m:sub>
            <m:r>
              <w:rPr>
                <w:rFonts w:ascii="Cambria Math" w:hAnsi="Cambria Math"/>
              </w:rPr>
              <m:t>0.75</m:t>
            </m:r>
          </m:sub>
        </m:sSub>
        <m:r>
          <m:rPr>
            <m:sty m:val="p"/>
          </m:rPr>
          <w:rPr>
            <w:rFonts w:ascii="Cambria Math" w:hAnsi="Cambria Math"/>
          </w:rPr>
          <m:t>≈</m:t>
        </m:r>
        <m:r>
          <w:rPr>
            <w:rFonts w:ascii="Cambria Math" w:hAnsi="Cambria Math"/>
          </w:rPr>
          <m:t>0.835</m:t>
        </m:r>
      </m:oMath>
      <w:r>
        <w:t xml:space="preserve">. Thus, </w:t>
      </w:r>
      <m:oMath>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1</m:t>
        </m:r>
      </m:oMath>
      <w:r>
        <w:t xml:space="preserve"> identifies operator-years with claims ratios in the upper quartile.</w:t>
      </w:r>
    </w:p>
    <w:p w14:paraId="0D809858" w14:textId="77777777" w:rsidR="00A005E1" w:rsidRDefault="00A005E1" w:rsidP="00A005E1">
      <w:pPr>
        <w:pStyle w:val="Heading2"/>
        <w:spacing w:line="480" w:lineRule="auto"/>
      </w:pPr>
      <w:bookmarkStart w:id="5" w:name="derived-accounting-variables"/>
      <w:bookmarkEnd w:id="1"/>
      <w:bookmarkEnd w:id="4"/>
      <w:r>
        <w:t>Derived accounting variables</w:t>
      </w:r>
    </w:p>
    <w:p w14:paraId="19612E41" w14:textId="77777777" w:rsidR="00A005E1" w:rsidRDefault="00A005E1" w:rsidP="00A005E1">
      <w:pPr>
        <w:pStyle w:val="Heading3"/>
        <w:spacing w:line="480" w:lineRule="auto"/>
      </w:pPr>
      <w:bookmarkStart w:id="6" w:name="operating-result"/>
      <w:r>
        <w:t>Operating result</w:t>
      </w:r>
    </w:p>
    <w:p w14:paraId="403835A0" w14:textId="77777777" w:rsidR="00A005E1" w:rsidRDefault="00A005E1" w:rsidP="00A005E1">
      <w:pPr>
        <w:spacing w:line="480" w:lineRule="auto"/>
      </w:pPr>
      <w:r>
        <w:t>The reconstructed operating result is:</w:t>
      </w:r>
    </w:p>
    <w:p w14:paraId="476E15F0" w14:textId="77777777" w:rsidR="00A005E1" w:rsidRDefault="00A005E1" w:rsidP="00A005E1">
      <w:pPr>
        <w:spacing w:line="480" w:lineRule="auto"/>
      </w:pPr>
      <m:oMathPara>
        <m:oMathParaPr>
          <m:jc m:val="center"/>
        </m:oMathParaPr>
        <m:oMath>
          <m:r>
            <w:rPr>
              <w:rFonts w:ascii="Cambria Math" w:hAnsi="Cambria Math"/>
            </w:rPr>
            <m:t>RO</m:t>
          </m:r>
          <m:sSub>
            <m:sSubPr>
              <m:ctrlPr>
                <w:rPr>
                  <w:rFonts w:ascii="Cambria Math" w:hAnsi="Cambria Math"/>
                </w:rPr>
              </m:ctrlPr>
            </m:sSubPr>
            <m:e>
              <m:r>
                <w:rPr>
                  <w:rFonts w:ascii="Cambria Math" w:hAnsi="Cambria Math"/>
                </w:rPr>
                <m:t>p</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r>
            <m:rPr>
              <m:sty m:val="p"/>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it</m:t>
              </m:r>
            </m:sub>
            <m:sup>
              <m:r>
                <w:rPr>
                  <w:rFonts w:ascii="Cambria Math" w:hAnsi="Cambria Math"/>
                </w:rPr>
                <m:t>41</m:t>
              </m:r>
            </m:sup>
          </m:sSubSup>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it</m:t>
              </m:r>
            </m:sub>
            <m:sup>
              <m:r>
                <w:rPr>
                  <w:rFonts w:ascii="Cambria Math" w:hAnsi="Cambria Math"/>
                </w:rPr>
                <m:t>43</m:t>
              </m:r>
            </m:sup>
          </m:sSubSup>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it</m:t>
              </m:r>
            </m:sub>
            <m:sup>
              <m:r>
                <w:rPr>
                  <w:rFonts w:ascii="Cambria Math" w:hAnsi="Cambria Math"/>
                </w:rPr>
                <m:t>44</m:t>
              </m:r>
            </m:sup>
          </m:sSubSup>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it</m:t>
              </m:r>
            </m:sub>
            <m:sup>
              <m:r>
                <w:rPr>
                  <w:rFonts w:ascii="Cambria Math" w:hAnsi="Cambria Math"/>
                </w:rPr>
                <m:t>46</m:t>
              </m:r>
            </m:sup>
          </m:sSubSup>
          <m:r>
            <m:rPr>
              <m:sty m:val="p"/>
            </m:rPr>
            <w:rPr>
              <w:rFonts w:ascii="Cambria Math" w:hAnsi="Cambria Math"/>
            </w:rPr>
            <m:t>.</m:t>
          </m:r>
        </m:oMath>
      </m:oMathPara>
    </w:p>
    <w:p w14:paraId="654C77B8" w14:textId="77777777" w:rsidR="00A005E1" w:rsidRDefault="00A005E1" w:rsidP="00A005E1">
      <w:pPr>
        <w:pStyle w:val="Heading3"/>
        <w:spacing w:line="480" w:lineRule="auto"/>
      </w:pPr>
      <w:bookmarkStart w:id="7" w:name="operating-margin"/>
      <w:bookmarkEnd w:id="6"/>
      <w:r>
        <w:t>Operating margin</w:t>
      </w:r>
    </w:p>
    <w:p w14:paraId="4199BE63" w14:textId="77777777" w:rsidR="00A005E1" w:rsidRDefault="00A005E1" w:rsidP="00A005E1">
      <w:pPr>
        <w:spacing w:line="480" w:lineRule="auto"/>
      </w:pPr>
      <w:r>
        <w:t>The operating margin is:</w:t>
      </w:r>
    </w:p>
    <w:p w14:paraId="4229AF0F" w14:textId="77777777" w:rsidR="00A005E1" w:rsidRDefault="00A005E1" w:rsidP="00A005E1">
      <w:pPr>
        <w:spacing w:line="480" w:lineRule="auto"/>
      </w:pPr>
      <m:oMathPara>
        <m:oMathParaPr>
          <m:jc m:val="center"/>
        </m:oMathParaPr>
        <m:oMath>
          <m:r>
            <w:rPr>
              <w:rFonts w:ascii="Cambria Math" w:hAnsi="Cambria Math"/>
            </w:rPr>
            <m:t>MO</m:t>
          </m:r>
          <m:sSub>
            <m:sSubPr>
              <m:ctrlPr>
                <w:rPr>
                  <w:rFonts w:ascii="Cambria Math" w:hAnsi="Cambria Math"/>
                </w:rPr>
              </m:ctrlPr>
            </m:sSubPr>
            <m:e>
              <m:r>
                <w:rPr>
                  <w:rFonts w:ascii="Cambria Math" w:hAnsi="Cambria Math"/>
                </w:rPr>
                <m:t>p</m:t>
              </m:r>
            </m:e>
            <m:sub>
              <m:r>
                <w:rPr>
                  <w:rFonts w:ascii="Cambria Math" w:hAnsi="Cambria Math"/>
                </w:rPr>
                <m:t>it</m:t>
              </m:r>
            </m:sub>
          </m:sSub>
          <m:r>
            <m:rPr>
              <m:sty m:val="p"/>
            </m:rPr>
            <w:rPr>
              <w:rFonts w:ascii="Cambria Math" w:hAnsi="Cambria Math"/>
            </w:rPr>
            <m:t>=</m:t>
          </m:r>
          <m:f>
            <m:fPr>
              <m:ctrlPr>
                <w:rPr>
                  <w:rFonts w:ascii="Cambria Math" w:hAnsi="Cambria Math"/>
                </w:rPr>
              </m:ctrlPr>
            </m:fPr>
            <m:num>
              <m:r>
                <w:rPr>
                  <w:rFonts w:ascii="Cambria Math" w:hAnsi="Cambria Math"/>
                </w:rPr>
                <m:t>RO</m:t>
              </m:r>
              <m:sSub>
                <m:sSubPr>
                  <m:ctrlPr>
                    <w:rPr>
                      <w:rFonts w:ascii="Cambria Math" w:hAnsi="Cambria Math"/>
                    </w:rPr>
                  </m:ctrlPr>
                </m:sSubPr>
                <m:e>
                  <m:r>
                    <w:rPr>
                      <w:rFonts w:ascii="Cambria Math" w:hAnsi="Cambria Math"/>
                    </w:rPr>
                    <m:t>p</m:t>
                  </m:r>
                </m:e>
                <m:sub>
                  <m:r>
                    <w:rPr>
                      <w:rFonts w:ascii="Cambria Math" w:hAnsi="Cambria Math"/>
                    </w:rPr>
                    <m:t>it</m:t>
                  </m:r>
                </m:sub>
              </m:sSub>
            </m:num>
            <m:den>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den>
          </m:f>
          <m:r>
            <m:rPr>
              <m:sty m:val="p"/>
            </m:rPr>
            <w:rPr>
              <w:rFonts w:ascii="Cambria Math" w:hAnsi="Cambria Math"/>
            </w:rPr>
            <m:t>.</m:t>
          </m:r>
        </m:oMath>
      </m:oMathPara>
    </w:p>
    <w:p w14:paraId="542DBD25" w14:textId="77777777" w:rsidR="00A005E1" w:rsidRDefault="00A005E1" w:rsidP="00A005E1">
      <w:pPr>
        <w:spacing w:line="480" w:lineRule="auto"/>
      </w:pPr>
      <w:r>
        <w:t>The negative-operating-margin condition is:</w:t>
      </w:r>
    </w:p>
    <w:p w14:paraId="79BE2774" w14:textId="77777777" w:rsidR="00A005E1" w:rsidRDefault="00A005E1" w:rsidP="00A005E1">
      <w:pPr>
        <w:spacing w:line="480" w:lineRule="auto"/>
      </w:pPr>
      <m:oMathPara>
        <m:oMathParaPr>
          <m:jc m:val="center"/>
        </m:oMathParaPr>
        <m:oMath>
          <m:r>
            <w:rPr>
              <w:rFonts w:ascii="Cambria Math" w:hAnsi="Cambria Math"/>
            </w:rPr>
            <m:t>N</m:t>
          </m:r>
          <m:sSub>
            <m:sSubPr>
              <m:ctrlPr>
                <w:rPr>
                  <w:rFonts w:ascii="Cambria Math" w:hAnsi="Cambria Math"/>
                </w:rPr>
              </m:ctrlPr>
            </m:sSubPr>
            <m:e>
              <m:r>
                <w:rPr>
                  <w:rFonts w:ascii="Cambria Math" w:hAnsi="Cambria Math"/>
                </w:rPr>
                <m:t>M</m:t>
              </m:r>
            </m:e>
            <m:sub>
              <m:r>
                <w:rPr>
                  <w:rFonts w:ascii="Cambria Math" w:hAnsi="Cambria Math"/>
                </w:rPr>
                <m:t>it</m:t>
              </m:r>
            </m:sub>
          </m:sSub>
          <m:r>
            <m:rPr>
              <m:scr m:val="double-struck"/>
              <m:sty m:val="p"/>
            </m:rPr>
            <w:rPr>
              <w:rFonts w:ascii="Cambria Math" w:hAnsi="Cambria Math"/>
            </w:rPr>
            <m:t>=I</m:t>
          </m:r>
          <m:d>
            <m:dPr>
              <m:begChr m:val="{"/>
              <m:endChr m:val="}"/>
              <m:ctrlPr>
                <w:rPr>
                  <w:rFonts w:ascii="Cambria Math" w:hAnsi="Cambria Math"/>
                </w:rPr>
              </m:ctrlPr>
            </m:dPr>
            <m:e>
              <m:r>
                <w:rPr>
                  <w:rFonts w:ascii="Cambria Math" w:hAnsi="Cambria Math"/>
                </w:rPr>
                <m:t>MO</m:t>
              </m:r>
              <m:sSub>
                <m:sSubPr>
                  <m:ctrlPr>
                    <w:rPr>
                      <w:rFonts w:ascii="Cambria Math" w:hAnsi="Cambria Math"/>
                    </w:rPr>
                  </m:ctrlPr>
                </m:sSubPr>
                <m:e>
                  <m:r>
                    <w:rPr>
                      <w:rFonts w:ascii="Cambria Math" w:hAnsi="Cambria Math"/>
                    </w:rPr>
                    <m:t>p</m:t>
                  </m:r>
                </m:e>
                <m:sub>
                  <m:r>
                    <w:rPr>
                      <w:rFonts w:ascii="Cambria Math" w:hAnsi="Cambria Math"/>
                    </w:rPr>
                    <m:t>it</m:t>
                  </m:r>
                </m:sub>
              </m:sSub>
              <m:r>
                <m:rPr>
                  <m:sty m:val="p"/>
                </m:rPr>
                <w:rPr>
                  <w:rFonts w:ascii="Cambria Math" w:hAnsi="Cambria Math"/>
                </w:rPr>
                <m:t>&lt;</m:t>
              </m:r>
              <m:r>
                <w:rPr>
                  <w:rFonts w:ascii="Cambria Math" w:hAnsi="Cambria Math"/>
                </w:rPr>
                <m:t>0</m:t>
              </m:r>
            </m:e>
          </m:d>
          <m:r>
            <m:rPr>
              <m:sty m:val="p"/>
            </m:rPr>
            <w:rPr>
              <w:rFonts w:ascii="Cambria Math" w:hAnsi="Cambria Math"/>
            </w:rPr>
            <m:t>.</m:t>
          </m:r>
        </m:oMath>
      </m:oMathPara>
    </w:p>
    <w:p w14:paraId="0EFC8661" w14:textId="77777777" w:rsidR="00A005E1" w:rsidRDefault="00A005E1" w:rsidP="00A005E1">
      <w:pPr>
        <w:pStyle w:val="Heading3"/>
        <w:spacing w:line="480" w:lineRule="auto"/>
      </w:pPr>
      <w:bookmarkStart w:id="8" w:name="current-ratio"/>
      <w:bookmarkEnd w:id="7"/>
      <w:r>
        <w:t>Current ratio</w:t>
      </w:r>
    </w:p>
    <w:p w14:paraId="08BBE6D2" w14:textId="77777777" w:rsidR="00A005E1" w:rsidRDefault="00A005E1" w:rsidP="00A005E1">
      <w:pPr>
        <w:spacing w:line="480" w:lineRule="auto"/>
      </w:pPr>
      <w:r>
        <w:t>The current ratio is:</w:t>
      </w:r>
    </w:p>
    <w:p w14:paraId="2B92C6E1" w14:textId="77777777" w:rsidR="00A005E1" w:rsidRDefault="00A005E1" w:rsidP="00A005E1">
      <w:pPr>
        <w:spacing w:line="480" w:lineRule="auto"/>
      </w:pPr>
      <m:oMathPara>
        <m:oMathParaPr>
          <m:jc m:val="center"/>
        </m:oMathParaPr>
        <m:oMath>
          <m:r>
            <w:rPr>
              <w:rFonts w:ascii="Cambria Math" w:hAnsi="Cambria Math"/>
            </w:rPr>
            <m:t>C</m:t>
          </m:r>
          <m:sSub>
            <m:sSubPr>
              <m:ctrlPr>
                <w:rPr>
                  <w:rFonts w:ascii="Cambria Math" w:hAnsi="Cambria Math"/>
                </w:rPr>
              </m:ctrlPr>
            </m:sSubPr>
            <m:e>
              <m:r>
                <w:rPr>
                  <w:rFonts w:ascii="Cambria Math" w:hAnsi="Cambria Math"/>
                </w:rPr>
                <m:t>R</m:t>
              </m:r>
            </m:e>
            <m:sub>
              <m:r>
                <w:rPr>
                  <w:rFonts w:ascii="Cambria Math" w:hAnsi="Cambria Math"/>
                </w:rPr>
                <m:t>it</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12</m:t>
                  </m:r>
                </m:sup>
              </m:sSubSup>
            </m:num>
            <m:den>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21</m:t>
                  </m:r>
                </m:sup>
              </m:sSubSup>
            </m:den>
          </m:f>
          <m:r>
            <m:rPr>
              <m:sty m:val="p"/>
            </m:rPr>
            <w:rPr>
              <w:rFonts w:ascii="Cambria Math" w:hAnsi="Cambria Math"/>
            </w:rPr>
            <m:t>.</m:t>
          </m:r>
        </m:oMath>
      </m:oMathPara>
    </w:p>
    <w:p w14:paraId="38E46F3E" w14:textId="77777777" w:rsidR="00A005E1" w:rsidRDefault="00A005E1" w:rsidP="00A005E1">
      <w:pPr>
        <w:spacing w:line="480" w:lineRule="auto"/>
      </w:pPr>
      <w:r>
        <w:t>The weak-liquidity condition is:</w:t>
      </w:r>
    </w:p>
    <w:p w14:paraId="2E8C7EA2" w14:textId="77777777" w:rsidR="00A005E1" w:rsidRDefault="00A005E1" w:rsidP="00A005E1">
      <w:pPr>
        <w:spacing w:line="480" w:lineRule="auto"/>
      </w:pPr>
      <m:oMathPara>
        <m:oMathParaPr>
          <m:jc m:val="center"/>
        </m:oMathParaPr>
        <m:oMath>
          <m:r>
            <w:rPr>
              <w:rFonts w:ascii="Cambria Math" w:hAnsi="Cambria Math"/>
            </w:rPr>
            <m:t>W</m:t>
          </m:r>
          <m:sSub>
            <m:sSubPr>
              <m:ctrlPr>
                <w:rPr>
                  <w:rFonts w:ascii="Cambria Math" w:hAnsi="Cambria Math"/>
                </w:rPr>
              </m:ctrlPr>
            </m:sSubPr>
            <m:e>
              <m:r>
                <w:rPr>
                  <w:rFonts w:ascii="Cambria Math" w:hAnsi="Cambria Math"/>
                </w:rPr>
                <m:t>L</m:t>
              </m:r>
            </m:e>
            <m:sub>
              <m:r>
                <w:rPr>
                  <w:rFonts w:ascii="Cambria Math" w:hAnsi="Cambria Math"/>
                </w:rPr>
                <m:t>it</m:t>
              </m:r>
            </m:sub>
          </m:sSub>
          <m:r>
            <m:rPr>
              <m:scr m:val="double-struck"/>
              <m:sty m:val="p"/>
            </m:rPr>
            <w:rPr>
              <w:rFonts w:ascii="Cambria Math" w:hAnsi="Cambria Math"/>
            </w:rPr>
            <m:t>=I</m:t>
          </m:r>
          <m:d>
            <m:dPr>
              <m:begChr m:val="{"/>
              <m:endChr m:val="}"/>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R</m:t>
                  </m:r>
                </m:e>
                <m:sub>
                  <m:r>
                    <w:rPr>
                      <w:rFonts w:ascii="Cambria Math" w:hAnsi="Cambria Math"/>
                    </w:rPr>
                    <m:t>it</m:t>
                  </m:r>
                </m:sub>
              </m:sSub>
              <m:r>
                <m:rPr>
                  <m:sty m:val="p"/>
                </m:rPr>
                <w:rPr>
                  <w:rFonts w:ascii="Cambria Math" w:hAnsi="Cambria Math"/>
                </w:rPr>
                <m:t>&lt;</m:t>
              </m:r>
              <m:r>
                <w:rPr>
                  <w:rFonts w:ascii="Cambria Math" w:hAnsi="Cambria Math"/>
                </w:rPr>
                <m:t>1</m:t>
              </m:r>
            </m:e>
          </m:d>
          <m:r>
            <m:rPr>
              <m:sty m:val="p"/>
            </m:rPr>
            <w:rPr>
              <w:rFonts w:ascii="Cambria Math" w:hAnsi="Cambria Math"/>
            </w:rPr>
            <m:t>.</m:t>
          </m:r>
        </m:oMath>
      </m:oMathPara>
    </w:p>
    <w:p w14:paraId="5EE2CFE9" w14:textId="77777777" w:rsidR="00A005E1" w:rsidRDefault="00A005E1" w:rsidP="00A005E1">
      <w:pPr>
        <w:pStyle w:val="Heading3"/>
        <w:spacing w:line="480" w:lineRule="auto"/>
      </w:pPr>
      <w:bookmarkStart w:id="9" w:name="negative-equity"/>
      <w:bookmarkEnd w:id="8"/>
      <w:r>
        <w:t>Negative equity</w:t>
      </w:r>
    </w:p>
    <w:p w14:paraId="3E4F0D4A" w14:textId="77777777" w:rsidR="00A005E1" w:rsidRDefault="00A005E1" w:rsidP="00A005E1">
      <w:pPr>
        <w:spacing w:line="480" w:lineRule="auto"/>
      </w:pPr>
      <w:r>
        <w:t>The negative-equity condition is:</w:t>
      </w:r>
    </w:p>
    <w:p w14:paraId="79BD9C15" w14:textId="77777777" w:rsidR="00A005E1" w:rsidRDefault="00A005E1" w:rsidP="00A005E1">
      <w:pPr>
        <w:spacing w:line="480" w:lineRule="auto"/>
      </w:pPr>
      <m:oMathPara>
        <m:oMathParaPr>
          <m:jc m:val="center"/>
        </m:oMathParaPr>
        <m:oMath>
          <m:r>
            <w:rPr>
              <w:rFonts w:ascii="Cambria Math" w:hAnsi="Cambria Math"/>
            </w:rPr>
            <m:t>N</m:t>
          </m:r>
          <m:sSub>
            <m:sSubPr>
              <m:ctrlPr>
                <w:rPr>
                  <w:rFonts w:ascii="Cambria Math" w:hAnsi="Cambria Math"/>
                </w:rPr>
              </m:ctrlPr>
            </m:sSubPr>
            <m:e>
              <m:r>
                <w:rPr>
                  <w:rFonts w:ascii="Cambria Math" w:hAnsi="Cambria Math"/>
                </w:rPr>
                <m:t>E</m:t>
              </m:r>
            </m:e>
            <m:sub>
              <m:r>
                <w:rPr>
                  <w:rFonts w:ascii="Cambria Math" w:hAnsi="Cambria Math"/>
                </w:rPr>
                <m:t>it</m:t>
              </m:r>
            </m:sub>
          </m:sSub>
          <m:r>
            <m:rPr>
              <m:scr m:val="double-struck"/>
              <m:sty m:val="p"/>
            </m:rPr>
            <w:rPr>
              <w:rFonts w:ascii="Cambria Math" w:hAnsi="Cambria Math"/>
            </w:rPr>
            <m:t>=I</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E</m:t>
                  </m:r>
                </m:e>
                <m:sub>
                  <m:r>
                    <w:rPr>
                      <w:rFonts w:ascii="Cambria Math" w:hAnsi="Cambria Math"/>
                    </w:rPr>
                    <m:t>it</m:t>
                  </m:r>
                </m:sub>
                <m:sup>
                  <m:r>
                    <w:rPr>
                      <w:rFonts w:ascii="Cambria Math" w:hAnsi="Cambria Math"/>
                    </w:rPr>
                    <m:t>25</m:t>
                  </m:r>
                </m:sup>
              </m:sSubSup>
              <m:r>
                <m:rPr>
                  <m:sty m:val="p"/>
                </m:rPr>
                <w:rPr>
                  <w:rFonts w:ascii="Cambria Math" w:hAnsi="Cambria Math"/>
                </w:rPr>
                <m:t>&lt;</m:t>
              </m:r>
              <m:r>
                <w:rPr>
                  <w:rFonts w:ascii="Cambria Math" w:hAnsi="Cambria Math"/>
                </w:rPr>
                <m:t>0</m:t>
              </m:r>
            </m:e>
          </m:d>
          <m:r>
            <m:rPr>
              <m:sty m:val="p"/>
            </m:rPr>
            <w:rPr>
              <w:rFonts w:ascii="Cambria Math" w:hAnsi="Cambria Math"/>
            </w:rPr>
            <m:t>.</m:t>
          </m:r>
        </m:oMath>
      </m:oMathPara>
    </w:p>
    <w:p w14:paraId="7A19C76A" w14:textId="77777777" w:rsidR="00A005E1" w:rsidRDefault="00A005E1" w:rsidP="00A005E1">
      <w:pPr>
        <w:spacing w:line="480" w:lineRule="auto"/>
      </w:pPr>
      <w:r>
        <w:t xml:space="preserve">In the primary window, </w:t>
      </w:r>
      <m:oMath>
        <m:r>
          <w:rPr>
            <w:rFonts w:ascii="Cambria Math" w:hAnsi="Cambria Math"/>
          </w:rPr>
          <m:t>226</m:t>
        </m:r>
      </m:oMath>
      <w:r>
        <w:t xml:space="preserve"> operator-year observations with negative equity are identified.</w:t>
      </w:r>
    </w:p>
    <w:p w14:paraId="4A041C07" w14:textId="77777777" w:rsidR="00A005E1" w:rsidRDefault="00A005E1" w:rsidP="00A005E1">
      <w:pPr>
        <w:pStyle w:val="Heading3"/>
        <w:spacing w:line="480" w:lineRule="auto"/>
      </w:pPr>
      <w:bookmarkStart w:id="10" w:name="administrative-expense-ratio"/>
      <w:bookmarkEnd w:id="9"/>
      <w:r>
        <w:lastRenderedPageBreak/>
        <w:t>Administrative-expense ratio</w:t>
      </w:r>
    </w:p>
    <w:p w14:paraId="1AB40F63" w14:textId="77777777" w:rsidR="00A005E1" w:rsidRDefault="00A005E1" w:rsidP="00A005E1">
      <w:pPr>
        <w:spacing w:line="480" w:lineRule="auto"/>
      </w:pPr>
      <w:r>
        <w:t>The administrative-expense ratio, used as a control, is:</w:t>
      </w:r>
    </w:p>
    <w:p w14:paraId="08BF1073" w14:textId="77777777" w:rsidR="00A005E1" w:rsidRDefault="00A005E1" w:rsidP="00A005E1">
      <w:pPr>
        <w:spacing w:line="480" w:lineRule="auto"/>
      </w:pPr>
      <m:oMathPara>
        <m:oMathParaPr>
          <m:jc m:val="center"/>
        </m:oMathParaPr>
        <m:oMath>
          <m:r>
            <w:rPr>
              <w:rFonts w:ascii="Cambria Math" w:hAnsi="Cambria Math"/>
            </w:rPr>
            <m:t>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it</m:t>
                  </m:r>
                </m:sub>
                <m:sup>
                  <m:r>
                    <w:rPr>
                      <w:rFonts w:ascii="Cambria Math" w:hAnsi="Cambria Math"/>
                    </w:rPr>
                    <m:t>46</m:t>
                  </m:r>
                </m:sup>
              </m:sSubSup>
            </m:num>
            <m:den>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den>
          </m:f>
          <m:r>
            <m:rPr>
              <m:sty m:val="p"/>
            </m:rPr>
            <w:rPr>
              <w:rFonts w:ascii="Cambria Math" w:hAnsi="Cambria Math"/>
            </w:rPr>
            <m:t>.</m:t>
          </m:r>
        </m:oMath>
      </m:oMathPara>
    </w:p>
    <w:p w14:paraId="24E6CA32" w14:textId="77777777" w:rsidR="00A005E1" w:rsidRDefault="00A005E1" w:rsidP="00A005E1">
      <w:pPr>
        <w:spacing w:line="480" w:lineRule="auto"/>
      </w:pPr>
      <w:r>
        <w:t xml:space="preserve">Because this variable is a component of the operating result, it is a potential </w:t>
      </w:r>
      <w:r>
        <w:rPr>
          <w:i/>
          <w:iCs/>
        </w:rPr>
        <w:t>bad control</w:t>
      </w:r>
      <w:r>
        <w:t>; therefore, the article reports a robustness analysis excluding this control.</w:t>
      </w:r>
    </w:p>
    <w:p w14:paraId="44E79F67" w14:textId="77777777" w:rsidR="00A005E1" w:rsidRDefault="00A005E1" w:rsidP="00A005E1">
      <w:pPr>
        <w:pStyle w:val="Heading2"/>
        <w:spacing w:line="480" w:lineRule="auto"/>
      </w:pPr>
      <w:bookmarkStart w:id="11" w:name="definition-of-outcomes"/>
      <w:bookmarkEnd w:id="5"/>
      <w:bookmarkEnd w:id="10"/>
      <w:r>
        <w:t>Definition of outcomes</w:t>
      </w:r>
    </w:p>
    <w:p w14:paraId="04DB17F3" w14:textId="77777777" w:rsidR="00A005E1" w:rsidRDefault="00A005E1" w:rsidP="00A005E1">
      <w:pPr>
        <w:pStyle w:val="Heading3"/>
        <w:spacing w:line="480" w:lineRule="auto"/>
      </w:pPr>
      <w:bookmarkStart w:id="12" w:name="X9881c6519457edc741f9f6c944bfc5c104a7364"/>
      <w:r>
        <w:t>Two-condition accounting-based financial fragility</w:t>
      </w:r>
    </w:p>
    <w:p w14:paraId="64327D79" w14:textId="77777777" w:rsidR="00A005E1" w:rsidRDefault="00A005E1" w:rsidP="00A005E1">
      <w:pPr>
        <w:spacing w:line="480" w:lineRule="auto"/>
      </w:pPr>
      <w:r>
        <w:t>The main accounting-fragility outcome combines a negative operating margin and weak current liquidity:</w:t>
      </w:r>
    </w:p>
    <w:p w14:paraId="00046DA4"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F</m:t>
              </m:r>
            </m:e>
            <m:sub>
              <m:r>
                <w:rPr>
                  <w:rFonts w:ascii="Cambria Math" w:hAnsi="Cambria Math"/>
                </w:rPr>
                <m:t>it</m:t>
              </m:r>
            </m:sub>
            <m:sup>
              <m:d>
                <m:dPr>
                  <m:ctrlPr>
                    <w:rPr>
                      <w:rFonts w:ascii="Cambria Math" w:hAnsi="Cambria Math"/>
                    </w:rPr>
                  </m:ctrlPr>
                </m:dPr>
                <m:e>
                  <m:r>
                    <w:rPr>
                      <w:rFonts w:ascii="Cambria Math" w:hAnsi="Cambria Math"/>
                    </w:rPr>
                    <m:t>2</m:t>
                  </m:r>
                </m:e>
              </m:d>
            </m:sup>
          </m:sSubSup>
          <m:r>
            <m:rPr>
              <m:scr m:val="double-struck"/>
              <m:sty m:val="p"/>
            </m:rPr>
            <w:rPr>
              <w:rFonts w:ascii="Cambria Math" w:hAnsi="Cambria Math"/>
            </w:rPr>
            <m:t>=I</m:t>
          </m:r>
          <m:d>
            <m:dPr>
              <m:begChr m:val="{"/>
              <m:endChr m:val="}"/>
              <m:ctrlPr>
                <w:rPr>
                  <w:rFonts w:ascii="Cambria Math" w:hAnsi="Cambria Math"/>
                </w:rPr>
              </m:ctrlPr>
            </m:dPr>
            <m:e>
              <m:r>
                <w:rPr>
                  <w:rFonts w:ascii="Cambria Math" w:hAnsi="Cambria Math"/>
                </w:rPr>
                <m:t>MO</m:t>
              </m:r>
              <m:sSub>
                <m:sSubPr>
                  <m:ctrlPr>
                    <w:rPr>
                      <w:rFonts w:ascii="Cambria Math" w:hAnsi="Cambria Math"/>
                    </w:rPr>
                  </m:ctrlPr>
                </m:sSubPr>
                <m:e>
                  <m:r>
                    <w:rPr>
                      <w:rFonts w:ascii="Cambria Math" w:hAnsi="Cambria Math"/>
                    </w:rPr>
                    <m:t>p</m:t>
                  </m:r>
                </m:e>
                <m:sub>
                  <m:r>
                    <w:rPr>
                      <w:rFonts w:ascii="Cambria Math" w:hAnsi="Cambria Math"/>
                    </w:rPr>
                    <m:t>it</m:t>
                  </m:r>
                </m:sub>
              </m:sSub>
              <m:r>
                <m:rPr>
                  <m:sty m:val="p"/>
                </m:rPr>
                <w:rPr>
                  <w:rFonts w:ascii="Cambria Math" w:hAnsi="Cambria Math"/>
                </w:rPr>
                <m:t>&lt;</m:t>
              </m:r>
              <m:r>
                <w:rPr>
                  <w:rFonts w:ascii="Cambria Math" w:hAnsi="Cambria Math"/>
                </w:rPr>
                <m:t>0 </m:t>
              </m:r>
              <m:r>
                <m:rPr>
                  <m:sty m:val="p"/>
                </m:rPr>
                <w:rPr>
                  <w:rFonts w:ascii="Cambria Math" w:hAnsi="Cambria Math"/>
                </w:rPr>
                <m:t>∧</m:t>
              </m:r>
              <m:r>
                <w:rPr>
                  <w:rFonts w:ascii="Cambria Math" w:hAnsi="Cambria Math"/>
                </w:rPr>
                <m:t> C</m:t>
              </m:r>
              <m:sSub>
                <m:sSubPr>
                  <m:ctrlPr>
                    <w:rPr>
                      <w:rFonts w:ascii="Cambria Math" w:hAnsi="Cambria Math"/>
                    </w:rPr>
                  </m:ctrlPr>
                </m:sSubPr>
                <m:e>
                  <m:r>
                    <w:rPr>
                      <w:rFonts w:ascii="Cambria Math" w:hAnsi="Cambria Math"/>
                    </w:rPr>
                    <m:t>R</m:t>
                  </m:r>
                </m:e>
                <m:sub>
                  <m:r>
                    <w:rPr>
                      <w:rFonts w:ascii="Cambria Math" w:hAnsi="Cambria Math"/>
                    </w:rPr>
                    <m:t>it</m:t>
                  </m:r>
                </m:sub>
              </m:sSub>
              <m:r>
                <m:rPr>
                  <m:sty m:val="p"/>
                </m:rPr>
                <w:rPr>
                  <w:rFonts w:ascii="Cambria Math" w:hAnsi="Cambria Math"/>
                </w:rPr>
                <m:t>&lt;</m:t>
              </m:r>
              <m:r>
                <w:rPr>
                  <w:rFonts w:ascii="Cambria Math" w:hAnsi="Cambria Math"/>
                </w:rPr>
                <m:t>1</m:t>
              </m:r>
            </m:e>
          </m:d>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M</m:t>
              </m:r>
            </m:e>
            <m:sub>
              <m:r>
                <w:rPr>
                  <w:rFonts w:ascii="Cambria Math" w:hAnsi="Cambria Math"/>
                </w:rPr>
                <m:t>it</m:t>
              </m:r>
            </m:sub>
          </m:sSub>
          <m:r>
            <m:rPr>
              <m:sty m:val="p"/>
            </m:rPr>
            <w:rPr>
              <w:rFonts w:ascii="Cambria Math" w:hAnsi="Cambria Math"/>
            </w:rPr>
            <m:t>⋅</m:t>
          </m:r>
          <m:r>
            <w:rPr>
              <w:rFonts w:ascii="Cambria Math" w:hAnsi="Cambria Math"/>
            </w:rPr>
            <m:t>W</m:t>
          </m:r>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oMath>
      </m:oMathPara>
    </w:p>
    <w:p w14:paraId="44EEE885" w14:textId="77777777" w:rsidR="00A005E1" w:rsidRDefault="00A005E1" w:rsidP="00A005E1">
      <w:pPr>
        <w:pStyle w:val="Heading3"/>
        <w:spacing w:line="480" w:lineRule="auto"/>
      </w:pPr>
      <w:bookmarkStart w:id="13" w:name="three-condition-fragility"/>
      <w:bookmarkEnd w:id="12"/>
      <w:r>
        <w:t>Three-condition fragility</w:t>
      </w:r>
    </w:p>
    <w:p w14:paraId="1C5B1C26" w14:textId="77777777" w:rsidR="00A005E1" w:rsidRDefault="00A005E1" w:rsidP="00A005E1">
      <w:pPr>
        <w:spacing w:line="480" w:lineRule="auto"/>
      </w:pPr>
      <w:r>
        <w:t>With equity restored from DIOPS account 25, a stricter version of fragility can also be defined:</w:t>
      </w:r>
    </w:p>
    <w:p w14:paraId="6E53995F"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F</m:t>
              </m:r>
            </m:e>
            <m:sub>
              <m:r>
                <w:rPr>
                  <w:rFonts w:ascii="Cambria Math" w:hAnsi="Cambria Math"/>
                </w:rPr>
                <m:t>it</m:t>
              </m:r>
            </m:sub>
            <m:sup>
              <m:d>
                <m:dPr>
                  <m:ctrlPr>
                    <w:rPr>
                      <w:rFonts w:ascii="Cambria Math" w:hAnsi="Cambria Math"/>
                    </w:rPr>
                  </m:ctrlPr>
                </m:dPr>
                <m:e>
                  <m:r>
                    <w:rPr>
                      <w:rFonts w:ascii="Cambria Math" w:hAnsi="Cambria Math"/>
                    </w:rPr>
                    <m:t>3</m:t>
                  </m:r>
                </m:e>
              </m:d>
            </m:sup>
          </m:sSubSup>
          <m:r>
            <m:rPr>
              <m:scr m:val="double-struck"/>
              <m:sty m:val="p"/>
            </m:rPr>
            <w:rPr>
              <w:rFonts w:ascii="Cambria Math" w:hAnsi="Cambria Math"/>
            </w:rPr>
            <m:t>=I</m:t>
          </m:r>
          <m:d>
            <m:dPr>
              <m:begChr m:val="{"/>
              <m:endChr m:val="}"/>
              <m:ctrlPr>
                <w:rPr>
                  <w:rFonts w:ascii="Cambria Math" w:hAnsi="Cambria Math"/>
                </w:rPr>
              </m:ctrlPr>
            </m:dPr>
            <m:e>
              <m:r>
                <w:rPr>
                  <w:rFonts w:ascii="Cambria Math" w:hAnsi="Cambria Math"/>
                </w:rPr>
                <m:t>MO</m:t>
              </m:r>
              <m:sSub>
                <m:sSubPr>
                  <m:ctrlPr>
                    <w:rPr>
                      <w:rFonts w:ascii="Cambria Math" w:hAnsi="Cambria Math"/>
                    </w:rPr>
                  </m:ctrlPr>
                </m:sSubPr>
                <m:e>
                  <m:r>
                    <w:rPr>
                      <w:rFonts w:ascii="Cambria Math" w:hAnsi="Cambria Math"/>
                    </w:rPr>
                    <m:t>p</m:t>
                  </m:r>
                </m:e>
                <m:sub>
                  <m:r>
                    <w:rPr>
                      <w:rFonts w:ascii="Cambria Math" w:hAnsi="Cambria Math"/>
                    </w:rPr>
                    <m:t>it</m:t>
                  </m:r>
                </m:sub>
              </m:sSub>
              <m:r>
                <m:rPr>
                  <m:sty m:val="p"/>
                </m:rPr>
                <w:rPr>
                  <w:rFonts w:ascii="Cambria Math" w:hAnsi="Cambria Math"/>
                </w:rPr>
                <m:t>&lt;</m:t>
              </m:r>
              <m:r>
                <w:rPr>
                  <w:rFonts w:ascii="Cambria Math" w:hAnsi="Cambria Math"/>
                </w:rPr>
                <m:t>0 </m:t>
              </m:r>
              <m:r>
                <m:rPr>
                  <m:sty m:val="p"/>
                </m:rPr>
                <w:rPr>
                  <w:rFonts w:ascii="Cambria Math" w:hAnsi="Cambria Math"/>
                </w:rPr>
                <m:t>∧</m:t>
              </m:r>
              <m:r>
                <w:rPr>
                  <w:rFonts w:ascii="Cambria Math" w:hAnsi="Cambria Math"/>
                </w:rPr>
                <m:t> C</m:t>
              </m:r>
              <m:sSub>
                <m:sSubPr>
                  <m:ctrlPr>
                    <w:rPr>
                      <w:rFonts w:ascii="Cambria Math" w:hAnsi="Cambria Math"/>
                    </w:rPr>
                  </m:ctrlPr>
                </m:sSubPr>
                <m:e>
                  <m:r>
                    <w:rPr>
                      <w:rFonts w:ascii="Cambria Math" w:hAnsi="Cambria Math"/>
                    </w:rPr>
                    <m:t>R</m:t>
                  </m:r>
                </m:e>
                <m:sub>
                  <m:r>
                    <w:rPr>
                      <w:rFonts w:ascii="Cambria Math" w:hAnsi="Cambria Math"/>
                    </w:rPr>
                    <m:t>it</m:t>
                  </m:r>
                </m:sub>
              </m:sSub>
              <m:r>
                <m:rPr>
                  <m:sty m:val="p"/>
                </m:rPr>
                <w:rPr>
                  <w:rFonts w:ascii="Cambria Math" w:hAnsi="Cambria Math"/>
                </w:rPr>
                <m:t>&lt;</m:t>
              </m:r>
              <m:r>
                <w:rPr>
                  <w:rFonts w:ascii="Cambria Math" w:hAnsi="Cambria Math"/>
                </w:rPr>
                <m:t>1 </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E</m:t>
                  </m:r>
                </m:e>
                <m:sub>
                  <m:r>
                    <w:rPr>
                      <w:rFonts w:ascii="Cambria Math" w:hAnsi="Cambria Math"/>
                    </w:rPr>
                    <m:t>it</m:t>
                  </m:r>
                </m:sub>
                <m:sup>
                  <m:r>
                    <w:rPr>
                      <w:rFonts w:ascii="Cambria Math" w:hAnsi="Cambria Math"/>
                    </w:rPr>
                    <m:t>25</m:t>
                  </m:r>
                </m:sup>
              </m:sSubSup>
              <m:r>
                <m:rPr>
                  <m:sty m:val="p"/>
                </m:rPr>
                <w:rPr>
                  <w:rFonts w:ascii="Cambria Math" w:hAnsi="Cambria Math"/>
                </w:rPr>
                <m:t>&lt;</m:t>
              </m:r>
              <m:r>
                <w:rPr>
                  <w:rFonts w:ascii="Cambria Math" w:hAnsi="Cambria Math"/>
                </w:rPr>
                <m:t>0</m:t>
              </m:r>
            </m:e>
          </m:d>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M</m:t>
              </m:r>
            </m:e>
            <m:sub>
              <m:r>
                <w:rPr>
                  <w:rFonts w:ascii="Cambria Math" w:hAnsi="Cambria Math"/>
                </w:rPr>
                <m:t>it</m:t>
              </m:r>
            </m:sub>
          </m:sSub>
          <m:r>
            <m:rPr>
              <m:sty m:val="p"/>
            </m:rPr>
            <w:rPr>
              <w:rFonts w:ascii="Cambria Math" w:hAnsi="Cambria Math"/>
            </w:rPr>
            <m:t>⋅</m:t>
          </m:r>
          <m:r>
            <w:rPr>
              <w:rFonts w:ascii="Cambria Math" w:hAnsi="Cambria Math"/>
            </w:rPr>
            <m:t>W</m:t>
          </m:r>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E</m:t>
              </m:r>
            </m:e>
            <m:sub>
              <m:r>
                <w:rPr>
                  <w:rFonts w:ascii="Cambria Math" w:hAnsi="Cambria Math"/>
                </w:rPr>
                <m:t>it</m:t>
              </m:r>
            </m:sub>
          </m:sSub>
          <m:r>
            <m:rPr>
              <m:sty m:val="p"/>
            </m:rPr>
            <w:rPr>
              <w:rFonts w:ascii="Cambria Math" w:hAnsi="Cambria Math"/>
            </w:rPr>
            <m:t>.</m:t>
          </m:r>
        </m:oMath>
      </m:oMathPara>
    </w:p>
    <w:p w14:paraId="182FBADD" w14:textId="77777777" w:rsidR="00A005E1" w:rsidRDefault="00A005E1" w:rsidP="00A005E1">
      <w:pPr>
        <w:spacing w:line="480" w:lineRule="auto"/>
      </w:pPr>
      <w:r>
        <w:t xml:space="preserve">In the primary window, three-condition fragility occurs in </w:t>
      </w:r>
      <m:oMath>
        <m:r>
          <w:rPr>
            <w:rFonts w:ascii="Cambria Math" w:hAnsi="Cambria Math"/>
          </w:rPr>
          <m:t>153</m:t>
        </m:r>
      </m:oMath>
      <w:r>
        <w:t xml:space="preserve"> operator-year observations.</w:t>
      </w:r>
    </w:p>
    <w:p w14:paraId="7A2072BE" w14:textId="77777777" w:rsidR="00A005E1" w:rsidRDefault="00A005E1" w:rsidP="00A005E1">
      <w:pPr>
        <w:pStyle w:val="Heading3"/>
        <w:spacing w:line="480" w:lineRule="auto"/>
      </w:pPr>
      <w:bookmarkStart w:id="14" w:name="fragility-components"/>
      <w:bookmarkEnd w:id="13"/>
      <w:r>
        <w:t>Fragility components</w:t>
      </w:r>
    </w:p>
    <w:p w14:paraId="49DEE7A5" w14:textId="77777777" w:rsidR="00A005E1" w:rsidRDefault="00A005E1" w:rsidP="00A005E1">
      <w:pPr>
        <w:spacing w:line="480" w:lineRule="auto"/>
      </w:pPr>
      <w:r>
        <w:t xml:space="preserve">The components are also analyzed separately as outcomes in </w:t>
      </w:r>
      <m:oMath>
        <m:r>
          <w:rPr>
            <w:rFonts w:ascii="Cambria Math" w:hAnsi="Cambria Math"/>
          </w:rPr>
          <m:t>t</m:t>
        </m:r>
        <m:r>
          <m:rPr>
            <m:sty m:val="p"/>
          </m:rPr>
          <w:rPr>
            <w:rFonts w:ascii="Cambria Math" w:hAnsi="Cambria Math"/>
          </w:rPr>
          <m:t>+</m:t>
        </m:r>
        <m:r>
          <w:rPr>
            <w:rFonts w:ascii="Cambria Math" w:hAnsi="Cambria Math"/>
          </w:rPr>
          <m:t>1</m:t>
        </m:r>
      </m:oMath>
      <w:r>
        <w:t>:</w:t>
      </w:r>
    </w:p>
    <w:p w14:paraId="07699244"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r>
                      <w:rPr>
                        <w:rFonts w:ascii="Cambria Math" w:hAnsi="Cambria Math"/>
                      </w:rPr>
                      <m:t>NM</m:t>
                    </m:r>
                  </m:sup>
                </m:sSubSup>
              </m:e>
              <m:e>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M</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e>
            </m:mr>
            <m:m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r>
                      <w:rPr>
                        <w:rFonts w:ascii="Cambria Math" w:hAnsi="Cambria Math"/>
                      </w:rPr>
                      <m:t>WL</m:t>
                    </m:r>
                  </m:sup>
                </m:sSubSup>
              </m:e>
              <m:e>
                <m:r>
                  <m:rPr>
                    <m:sty m:val="p"/>
                  </m:rPr>
                  <w:rPr>
                    <w:rFonts w:ascii="Cambria Math" w:hAnsi="Cambria Math"/>
                  </w:rPr>
                  <m:t>=</m:t>
                </m:r>
                <m:r>
                  <w:rPr>
                    <w:rFonts w:ascii="Cambria Math" w:hAnsi="Cambria Math"/>
                  </w:rPr>
                  <m:t>W</m:t>
                </m:r>
                <m:sSub>
                  <m:sSubPr>
                    <m:ctrlPr>
                      <w:rPr>
                        <w:rFonts w:ascii="Cambria Math" w:hAnsi="Cambria Math"/>
                      </w:rPr>
                    </m:ctrlPr>
                  </m:sSubPr>
                  <m:e>
                    <m:r>
                      <w:rPr>
                        <w:rFonts w:ascii="Cambria Math" w:hAnsi="Cambria Math"/>
                      </w:rPr>
                      <m:t>L</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e>
            </m:mr>
          </m:m>
        </m:oMath>
      </m:oMathPara>
    </w:p>
    <w:p w14:paraId="781CEEB3" w14:textId="77777777" w:rsidR="00A005E1" w:rsidRDefault="00A005E1" w:rsidP="00A005E1">
      <w:pPr>
        <w:spacing w:line="480" w:lineRule="auto"/>
      </w:pPr>
      <w:r>
        <w:t>This decomposition makes it possible to assess whether the MLR predicts fragility mainly through the operating-margin channel or through the liquidity channel.</w:t>
      </w:r>
    </w:p>
    <w:p w14:paraId="08FE4B7B" w14:textId="77777777" w:rsidR="00A005E1" w:rsidRDefault="00A005E1" w:rsidP="00A005E1">
      <w:pPr>
        <w:pStyle w:val="Heading3"/>
        <w:spacing w:line="480" w:lineRule="auto"/>
      </w:pPr>
      <w:bookmarkStart w:id="15" w:name="exit-from-the-regulated-market"/>
      <w:bookmarkEnd w:id="14"/>
      <w:r>
        <w:lastRenderedPageBreak/>
        <w:t>Exit from the regulated market</w:t>
      </w:r>
    </w:p>
    <w:p w14:paraId="1EA26A4E" w14:textId="77777777" w:rsidR="00A005E1" w:rsidRDefault="00A005E1" w:rsidP="00A005E1">
      <w:pPr>
        <w:spacing w:line="480" w:lineRule="auto"/>
      </w:pPr>
      <w:r>
        <w:t>Market exit is defined as an indicator of cancellation or disappearance of the operator from the panel in the following year:</w:t>
      </w:r>
    </w:p>
    <w:p w14:paraId="57D4E3CA" w14:textId="77777777" w:rsidR="00A005E1" w:rsidRDefault="00A005E1" w:rsidP="00A005E1">
      <w:pPr>
        <w:spacing w:line="480" w:lineRule="auto"/>
      </w:pPr>
      <m:oMathPara>
        <m:oMathParaPr>
          <m:jc m:val="center"/>
        </m:oMathParaPr>
        <m:oMath>
          <m:r>
            <w:rPr>
              <w:rFonts w:ascii="Cambria Math" w:hAnsi="Cambria Math"/>
            </w:rPr>
            <m:t>Exi</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r>
            <m:rPr>
              <m:scr m:val="double-struck"/>
              <m:sty m:val="p"/>
            </m:rPr>
            <w:rPr>
              <w:rFonts w:ascii="Cambria Math" w:hAnsi="Cambria Math"/>
            </w:rPr>
            <m:t>=I</m:t>
          </m:r>
          <m:d>
            <m:dPr>
              <m:begChr m:val="{"/>
              <m:endChr m:val="}"/>
              <m:ctrlPr>
                <w:rPr>
                  <w:rFonts w:ascii="Cambria Math" w:hAnsi="Cambria Math"/>
                </w:rPr>
              </m:ctrlPr>
            </m:dPr>
            <m:e>
              <m:r>
                <m:rPr>
                  <m:nor/>
                </m:rPr>
                <m:t xml:space="preserve">operator </m:t>
              </m:r>
              <m:r>
                <w:rPr>
                  <w:rFonts w:ascii="Cambria Math" w:hAnsi="Cambria Math"/>
                </w:rPr>
                <m:t>i</m:t>
              </m:r>
              <m:r>
                <m:rPr>
                  <m:nor/>
                </m:rPr>
                <m:t xml:space="preserve"> exited the regulated market in </m:t>
              </m:r>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oMath>
      </m:oMathPara>
    </w:p>
    <w:p w14:paraId="1D3391BB" w14:textId="77777777" w:rsidR="00A005E1" w:rsidRDefault="00A005E1" w:rsidP="00A005E1">
      <w:pPr>
        <w:pStyle w:val="Heading3"/>
        <w:spacing w:line="480" w:lineRule="auto"/>
      </w:pPr>
      <w:bookmarkStart w:id="16" w:name="forced-regulatory-exit"/>
      <w:bookmarkEnd w:id="15"/>
      <w:r>
        <w:t>Forced regulatory exit</w:t>
      </w:r>
    </w:p>
    <w:p w14:paraId="5E6A6223" w14:textId="77777777" w:rsidR="00A005E1" w:rsidRDefault="00A005E1" w:rsidP="00A005E1">
      <w:pPr>
        <w:spacing w:line="480" w:lineRule="auto"/>
      </w:pPr>
      <w:r>
        <w:t>Forced regulatory exit captures adverse cancellation motives, such as extrajudicial liquidation, alternatives to liquidation deliberated by the ANS board, or non-compliance with regulatory norms. The article uses a window of up to two years:</w:t>
      </w:r>
    </w:p>
    <w:p w14:paraId="3243C330" w14:textId="77777777" w:rsidR="00A005E1" w:rsidRDefault="00A005E1" w:rsidP="00A005E1">
      <w:pPr>
        <w:spacing w:line="480" w:lineRule="auto"/>
      </w:pPr>
      <m:oMathPara>
        <m:oMathParaPr>
          <m:jc m:val="center"/>
        </m:oMathParaPr>
        <m:oMath>
          <m:r>
            <w:rPr>
              <w:rFonts w:ascii="Cambria Math" w:hAnsi="Cambria Math"/>
            </w:rPr>
            <m:t>ForcedExi</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sub>
          </m:sSub>
          <m:r>
            <m:rPr>
              <m:sty m:val="p"/>
            </m:rPr>
            <w:rPr>
              <w:rFonts w:ascii="Cambria Math" w:hAnsi="Cambria Math"/>
            </w:rPr>
            <m:t>=max</m:t>
          </m:r>
          <m:d>
            <m:dPr>
              <m:begChr m:val="{"/>
              <m:endChr m:val="}"/>
              <m:ctrlPr>
                <w:rPr>
                  <w:rFonts w:ascii="Cambria Math" w:hAnsi="Cambria Math"/>
                </w:rPr>
              </m:ctrlPr>
            </m:dPr>
            <m:e>
              <m:r>
                <w:rPr>
                  <w:rFonts w:ascii="Cambria Math" w:hAnsi="Cambria Math"/>
                </w:rPr>
                <m:t>ForcedExi</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ForcedExi</m:t>
              </m:r>
              <m:sSub>
                <m:sSubPr>
                  <m:ctrlPr>
                    <w:rPr>
                      <w:rFonts w:ascii="Cambria Math" w:hAnsi="Cambria Math"/>
                    </w:rPr>
                  </m:ctrlPr>
                </m:sSubPr>
                <m:e>
                  <m:r>
                    <w:rPr>
                      <w:rFonts w:ascii="Cambria Math" w:hAnsi="Cambria Math"/>
                    </w:rPr>
                    <m:t>t</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sub>
              </m:sSub>
            </m:e>
          </m:d>
          <m:r>
            <m:rPr>
              <m:sty m:val="p"/>
            </m:rPr>
            <w:rPr>
              <w:rFonts w:ascii="Cambria Math" w:hAnsi="Cambria Math"/>
            </w:rPr>
            <m:t>.</m:t>
          </m:r>
        </m:oMath>
      </m:oMathPara>
    </w:p>
    <w:p w14:paraId="6CA3E68C" w14:textId="77777777" w:rsidR="00A005E1" w:rsidRDefault="00A005E1" w:rsidP="00A005E1">
      <w:pPr>
        <w:spacing w:line="480" w:lineRule="auto"/>
      </w:pPr>
      <w:r>
        <w:t>This outcome is central for reducing the risk that the evidence merely reflects a contemporaneous accounting identity, because regulatory exit is external to the operator’s accounting statement.</w:t>
      </w:r>
    </w:p>
    <w:p w14:paraId="66D06817" w14:textId="77777777" w:rsidR="00A005E1" w:rsidRDefault="00A005E1" w:rsidP="00A005E1">
      <w:pPr>
        <w:pStyle w:val="Heading2"/>
        <w:spacing w:line="480" w:lineRule="auto"/>
      </w:pPr>
      <w:bookmarkStart w:id="17" w:name="sample-construction-filters"/>
      <w:bookmarkEnd w:id="11"/>
      <w:bookmarkEnd w:id="16"/>
      <w:r>
        <w:t>Sample-construction filters</w:t>
      </w:r>
    </w:p>
    <w:p w14:paraId="64363576" w14:textId="77777777" w:rsidR="00A005E1" w:rsidRDefault="00A005E1" w:rsidP="00A005E1">
      <w:pPr>
        <w:spacing w:line="480" w:lineRule="auto"/>
      </w:pPr>
      <w:r>
        <w:t>The estimation sample retains operator-year observations satisfying the following conditions:</w:t>
      </w:r>
    </w:p>
    <w:p w14:paraId="0EADDA6B"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e>
                <m:r>
                  <m:rPr>
                    <m:sty m:val="p"/>
                  </m:rPr>
                  <w:rPr>
                    <w:rFonts w:ascii="Cambria Math" w:hAnsi="Cambria Math"/>
                  </w:rPr>
                  <m:t>&gt;</m:t>
                </m:r>
                <m:r>
                  <w:rPr>
                    <w:rFonts w:ascii="Cambria Math" w:hAnsi="Cambria Math"/>
                  </w:rPr>
                  <m:t>0</m:t>
                </m:r>
                <m:r>
                  <m:rPr>
                    <m:sty m:val="p"/>
                  </m:rPr>
                  <w:rPr>
                    <w:rFonts w:ascii="Cambria Math" w:hAnsi="Cambria Math"/>
                  </w:rPr>
                  <m:t>,</m:t>
                </m:r>
              </m:e>
            </m:mr>
            <m:mr>
              <m:e>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21</m:t>
                    </m:r>
                  </m:sup>
                </m:sSubSup>
              </m:e>
              <m:e>
                <m:r>
                  <m:rPr>
                    <m:sty m:val="p"/>
                  </m:rPr>
                  <w:rPr>
                    <w:rFonts w:ascii="Cambria Math" w:hAnsi="Cambria Math"/>
                  </w:rPr>
                  <m:t>&gt;</m:t>
                </m:r>
                <m:r>
                  <w:rPr>
                    <w:rFonts w:ascii="Cambria Math" w:hAnsi="Cambria Math"/>
                  </w:rPr>
                  <m:t>0</m:t>
                </m:r>
                <m:r>
                  <m:rPr>
                    <m:sty m:val="p"/>
                  </m:rPr>
                  <w:rPr>
                    <w:rFonts w:ascii="Cambria Math" w:hAnsi="Cambria Math"/>
                  </w:rPr>
                  <m:t>,</m:t>
                </m:r>
              </m:e>
            </m:mr>
            <m:mr>
              <m:e>
                <m:sSubSup>
                  <m:sSubSupPr>
                    <m:ctrlPr>
                      <w:rPr>
                        <w:rFonts w:ascii="Cambria Math" w:hAnsi="Cambria Math"/>
                      </w:rPr>
                    </m:ctrlPr>
                  </m:sSubSupPr>
                  <m:e>
                    <m:r>
                      <w:rPr>
                        <w:rFonts w:ascii="Cambria Math" w:hAnsi="Cambria Math"/>
                      </w:rPr>
                      <m:t>E</m:t>
                    </m:r>
                  </m:e>
                  <m:sub>
                    <m:r>
                      <w:rPr>
                        <w:rFonts w:ascii="Cambria Math" w:hAnsi="Cambria Math"/>
                      </w:rPr>
                      <m:t>it</m:t>
                    </m:r>
                  </m:sub>
                  <m:sup>
                    <m:r>
                      <w:rPr>
                        <w:rFonts w:ascii="Cambria Math" w:hAnsi="Cambria Math"/>
                      </w:rPr>
                      <m:t>25</m:t>
                    </m:r>
                  </m:sup>
                </m:sSubSup>
              </m:e>
              <m:e>
                <m:r>
                  <w:rPr>
                    <w:rFonts w:ascii="Cambria Math" w:hAnsi="Cambria Math"/>
                  </w:rPr>
                  <m:t> </m:t>
                </m:r>
                <m:r>
                  <m:rPr>
                    <m:nor/>
                  </m:rPr>
                  <m:t>reported</m:t>
                </m:r>
                <m:r>
                  <m:rPr>
                    <m:sty m:val="p"/>
                  </m:rPr>
                  <w:rPr>
                    <w:rFonts w:ascii="Cambria Math" w:hAnsi="Cambria Math"/>
                  </w:rPr>
                  <m:t>,</m:t>
                </m:r>
              </m:e>
            </m:mr>
            <m:mr>
              <m:e>
                <m:sSubSup>
                  <m:sSubSupPr>
                    <m:ctrlPr>
                      <w:rPr>
                        <w:rFonts w:ascii="Cambria Math" w:hAnsi="Cambria Math"/>
                      </w:rPr>
                    </m:ctrlPr>
                  </m:sSubSupPr>
                  <m:e>
                    <m:r>
                      <w:rPr>
                        <w:rFonts w:ascii="Cambria Math" w:hAnsi="Cambria Math"/>
                      </w:rPr>
                      <m:t>S</m:t>
                    </m:r>
                  </m:e>
                  <m:sub>
                    <m:r>
                      <w:rPr>
                        <w:rFonts w:ascii="Cambria Math" w:hAnsi="Cambria Math"/>
                      </w:rPr>
                      <m:t>it</m:t>
                    </m:r>
                  </m:sub>
                  <m:sup>
                    <m:r>
                      <w:rPr>
                        <w:rFonts w:ascii="Cambria Math" w:hAnsi="Cambria Math"/>
                      </w:rPr>
                      <m:t>41</m:t>
                    </m:r>
                  </m:sup>
                </m:sSubSup>
              </m:e>
              <m:e>
                <m:r>
                  <m:rPr>
                    <m:sty m:val="p"/>
                  </m:rPr>
                  <w:rPr>
                    <w:rFonts w:ascii="Cambria Math" w:hAnsi="Cambria Math"/>
                  </w:rPr>
                  <m:t>&gt;</m:t>
                </m:r>
                <m:r>
                  <w:rPr>
                    <w:rFonts w:ascii="Cambria Math" w:hAnsi="Cambria Math"/>
                  </w:rPr>
                  <m:t>0</m:t>
                </m:r>
                <m:r>
                  <m:rPr>
                    <m:sty m:val="p"/>
                  </m:rPr>
                  <w:rPr>
                    <w:rFonts w:ascii="Cambria Math" w:hAnsi="Cambria Math"/>
                  </w:rPr>
                  <m:t>.</m:t>
                </m:r>
              </m:e>
            </m:mr>
          </m:m>
        </m:oMath>
      </m:oMathPara>
    </w:p>
    <w:p w14:paraId="3EA0F996" w14:textId="77777777" w:rsidR="00A005E1" w:rsidRDefault="00A005E1" w:rsidP="00A005E1">
      <w:pPr>
        <w:spacing w:line="480" w:lineRule="auto"/>
      </w:pPr>
      <w:r>
        <w:t xml:space="preserve">The condition </w:t>
      </w:r>
      <m:oMath>
        <m:sSubSup>
          <m:sSubSupPr>
            <m:ctrlPr>
              <w:rPr>
                <w:rFonts w:ascii="Cambria Math" w:hAnsi="Cambria Math"/>
              </w:rPr>
            </m:ctrlPr>
          </m:sSubSupPr>
          <m:e>
            <m:r>
              <w:rPr>
                <w:rFonts w:ascii="Cambria Math" w:hAnsi="Cambria Math"/>
              </w:rPr>
              <m:t>S</m:t>
            </m:r>
          </m:e>
          <m:sub>
            <m:r>
              <w:rPr>
                <w:rFonts w:ascii="Cambria Math" w:hAnsi="Cambria Math"/>
              </w:rPr>
              <m:t>it</m:t>
            </m:r>
          </m:sub>
          <m:sup>
            <m:r>
              <w:rPr>
                <w:rFonts w:ascii="Cambria Math" w:hAnsi="Cambria Math"/>
              </w:rPr>
              <m:t>41</m:t>
            </m:r>
          </m:sup>
        </m:sSubSup>
        <m:r>
          <m:rPr>
            <m:sty m:val="p"/>
          </m:rPr>
          <w:rPr>
            <w:rFonts w:ascii="Cambria Math" w:hAnsi="Cambria Math"/>
          </w:rPr>
          <m:t>&gt;</m:t>
        </m:r>
        <m:r>
          <w:rPr>
            <w:rFonts w:ascii="Cambria Math" w:hAnsi="Cambria Math"/>
          </w:rPr>
          <m:t>0</m:t>
        </m:r>
      </m:oMath>
      <w:r>
        <w:t xml:space="preserve"> is necessary because the MLR is the main explanatory variable. Observations with missing or non-positive claims do not yield a positive and economically interpretable claims ratio under the conventional definition.</w:t>
      </w:r>
    </w:p>
    <w:p w14:paraId="4093CA9B" w14:textId="77777777" w:rsidR="00A005E1" w:rsidRDefault="00A005E1" w:rsidP="00A005E1">
      <w:pPr>
        <w:pStyle w:val="Heading2"/>
        <w:spacing w:line="480" w:lineRule="auto"/>
      </w:pPr>
      <w:bookmarkStart w:id="18" w:name="main-empirical-strategy"/>
      <w:bookmarkEnd w:id="17"/>
      <w:r>
        <w:lastRenderedPageBreak/>
        <w:t>Main empirical strategy</w:t>
      </w:r>
    </w:p>
    <w:p w14:paraId="00D0715B" w14:textId="77777777" w:rsidR="00A005E1" w:rsidRDefault="00A005E1" w:rsidP="00A005E1">
      <w:pPr>
        <w:pStyle w:val="Heading3"/>
        <w:spacing w:line="480" w:lineRule="auto"/>
      </w:pPr>
      <w:bookmarkStart w:id="19" w:name="predictive-design"/>
      <w:r>
        <w:t>Predictive design</w:t>
      </w:r>
    </w:p>
    <w:p w14:paraId="579969C1" w14:textId="77777777" w:rsidR="00A005E1" w:rsidRDefault="00A005E1" w:rsidP="00A005E1">
      <w:pPr>
        <w:spacing w:line="480" w:lineRule="auto"/>
      </w:pPr>
      <w:r>
        <w:t xml:space="preserve">The main strategy relates the MLR observed in </w:t>
      </w:r>
      <m:oMath>
        <m:r>
          <w:rPr>
            <w:rFonts w:ascii="Cambria Math" w:hAnsi="Cambria Math"/>
          </w:rPr>
          <m:t>t</m:t>
        </m:r>
      </m:oMath>
      <w:r>
        <w:t xml:space="preserve"> to future outcomes. For a generic binary outcome </w:t>
      </w:r>
      <m:oMath>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up>
            <m:r>
              <w:rPr>
                <w:rFonts w:ascii="Cambria Math" w:hAnsi="Cambria Math"/>
              </w:rPr>
              <m:t>k</m:t>
            </m:r>
          </m:sup>
        </m:sSubSup>
      </m:oMath>
      <w:r>
        <w:t xml:space="preserve">, where </w:t>
      </w:r>
      <m:oMath>
        <m:r>
          <w:rPr>
            <w:rFonts w:ascii="Cambria Math" w:hAnsi="Cambria Math"/>
          </w:rPr>
          <m:t>k</m:t>
        </m:r>
      </m:oMath>
      <w:r>
        <w:t xml:space="preserve"> indexes fragility, negative margin, weak liquidity, market exit, or regulatory exit, the design is:</w:t>
      </w:r>
    </w:p>
    <w:p w14:paraId="337AE5B6"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up>
              <m:r>
                <w:rPr>
                  <w:rFonts w:ascii="Cambria Math" w:hAnsi="Cambria Math"/>
                </w:rPr>
                <m:t>k</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MLR</m:t>
              </m:r>
            </m:e>
            <m:sub>
              <m:r>
                <w:rPr>
                  <w:rFonts w:ascii="Cambria Math" w:hAnsi="Cambria Math"/>
                </w:rPr>
                <m:t>it</m:t>
              </m:r>
            </m:sub>
          </m:sSub>
          <m:r>
            <m:rPr>
              <m:sty m:val="p"/>
            </m:rPr>
            <w:rPr>
              <w:rFonts w:ascii="Cambria Math" w:hAnsi="Cambria Math"/>
            </w:rPr>
            <m:t>,</m:t>
          </m:r>
          <m:r>
            <w:rPr>
              <w:rFonts w:ascii="Cambria Math" w:hAnsi="Cambria Math"/>
            </w:rPr>
            <m:t>  h</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0CCB38D5" w14:textId="77777777" w:rsidR="00A005E1" w:rsidRDefault="00A005E1" w:rsidP="00A005E1">
      <w:pPr>
        <w:spacing w:line="480" w:lineRule="auto"/>
      </w:pPr>
      <w:r>
        <w:t>with the exception of forced regulatory exit, which uses:</w:t>
      </w:r>
    </w:p>
    <w:p w14:paraId="6B500251"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sub>
            <m:sup>
              <m:r>
                <w:rPr>
                  <w:rFonts w:ascii="Cambria Math" w:hAnsi="Cambria Math"/>
                </w:rPr>
                <m:t>ForcedExit</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MLR</m:t>
              </m:r>
            </m:e>
            <m:sub>
              <m:r>
                <w:rPr>
                  <w:rFonts w:ascii="Cambria Math" w:hAnsi="Cambria Math"/>
                </w:rPr>
                <m:t>it</m:t>
              </m:r>
            </m:sub>
          </m:sSub>
          <m:r>
            <m:rPr>
              <m:sty m:val="p"/>
            </m:rPr>
            <w:rPr>
              <w:rFonts w:ascii="Cambria Math" w:hAnsi="Cambria Math"/>
            </w:rPr>
            <m:t>.</m:t>
          </m:r>
        </m:oMath>
      </m:oMathPara>
    </w:p>
    <w:p w14:paraId="7775CD71" w14:textId="77777777" w:rsidR="00A005E1" w:rsidRDefault="00A005E1" w:rsidP="00A005E1">
      <w:pPr>
        <w:spacing w:line="480" w:lineRule="auto"/>
      </w:pPr>
      <w:r>
        <w:t>The temporal shift is fundamental because a contemporaneous specification could capture only the mechanical relationship between claims ratio and operating margin.</w:t>
      </w:r>
    </w:p>
    <w:p w14:paraId="7D57572B" w14:textId="77777777" w:rsidR="00A005E1" w:rsidRDefault="00A005E1" w:rsidP="00A005E1">
      <w:pPr>
        <w:pStyle w:val="Heading3"/>
        <w:spacing w:line="480" w:lineRule="auto"/>
      </w:pPr>
      <w:bookmarkStart w:id="20" w:name="logit-model-with-continuous-mlr"/>
      <w:bookmarkEnd w:id="19"/>
      <w:r>
        <w:t>Logit model with continuous MLR</w:t>
      </w:r>
    </w:p>
    <w:p w14:paraId="1AB7F4D9" w14:textId="77777777" w:rsidR="00A005E1" w:rsidRDefault="00A005E1" w:rsidP="00A005E1">
      <w:pPr>
        <w:spacing w:line="480" w:lineRule="auto"/>
      </w:pPr>
      <w:r>
        <w:t>The first regression form uses the MLR standardized by its standard deviation:</w:t>
      </w:r>
    </w:p>
    <w:p w14:paraId="1E38F5C9"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up>
                  <m:r>
                    <w:rPr>
                      <w:rFonts w:ascii="Cambria Math" w:hAnsi="Cambria Math"/>
                    </w:rPr>
                    <m:t>k</m:t>
                  </m:r>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it</m:t>
                  </m:r>
                </m:sub>
              </m:sSub>
            </m:e>
          </m:d>
          <m:r>
            <m:rPr>
              <m:sty m:val="p"/>
            </m:rPr>
            <w:rPr>
              <w:rFonts w:ascii="Cambria Math" w:hAnsi="Cambria Math"/>
            </w:rPr>
            <m:t>=</m:t>
          </m:r>
          <m:r>
            <w:rPr>
              <w:rFonts w:ascii="Cambria Math" w:hAnsi="Cambria Math"/>
            </w:rPr>
            <m:t>Λ</m:t>
          </m:r>
          <m:d>
            <m:dPr>
              <m:ctrlPr>
                <w:rPr>
                  <w:rFonts w:ascii="Cambria Math" w:hAnsi="Cambria Math"/>
                </w:rPr>
              </m:ctrlPr>
            </m:dPr>
            <m:e>
              <m:sSubSup>
                <m:sSubSupPr>
                  <m:ctrlPr>
                    <w:rPr>
                      <w:rFonts w:ascii="Cambria Math" w:hAnsi="Cambria Math"/>
                    </w:rPr>
                  </m:ctrlPr>
                </m:sSubSupPr>
                <m:e>
                  <m:r>
                    <w:rPr>
                      <w:rFonts w:ascii="Cambria Math" w:hAnsi="Cambria Math"/>
                    </w:rPr>
                    <m:t>η</m:t>
                  </m:r>
                </m:e>
                <m:sub>
                  <m:r>
                    <w:rPr>
                      <w:rFonts w:ascii="Cambria Math" w:hAnsi="Cambria Math"/>
                    </w:rPr>
                    <m:t>it</m:t>
                  </m:r>
                </m:sub>
                <m:sup>
                  <m:r>
                    <w:rPr>
                      <w:rFonts w:ascii="Cambria Math" w:hAnsi="Cambria Math"/>
                    </w:rPr>
                    <m:t>k</m:t>
                  </m:r>
                </m:sup>
              </m:sSubSup>
            </m:e>
          </m:d>
          <m:r>
            <m:rPr>
              <m:sty m:val="p"/>
            </m:rPr>
            <w:rPr>
              <w:rFonts w:ascii="Cambria Math" w:hAnsi="Cambria Math"/>
            </w:rPr>
            <m:t>,</m:t>
          </m:r>
        </m:oMath>
      </m:oMathPara>
    </w:p>
    <w:p w14:paraId="0A39E867" w14:textId="77777777" w:rsidR="00A005E1" w:rsidRDefault="00A005E1" w:rsidP="00A005E1">
      <w:pPr>
        <w:spacing w:line="480" w:lineRule="auto"/>
      </w:pPr>
      <w:r>
        <w:t xml:space="preserve">where </w:t>
      </w:r>
      <m:oMath>
        <m:r>
          <w:rPr>
            <w:rFonts w:ascii="Cambria Math" w:hAnsi="Cambria Math"/>
          </w:rPr>
          <m:t>Λ</m:t>
        </m:r>
        <m:d>
          <m:dPr>
            <m:ctrlPr>
              <w:rPr>
                <w:rFonts w:ascii="Cambria Math" w:hAnsi="Cambria Math"/>
              </w:rPr>
            </m:ctrlPr>
          </m:dPr>
          <m:e>
            <m:r>
              <m:rPr>
                <m:sty m:val="p"/>
              </m:rPr>
              <w:rPr>
                <w:rFonts w:ascii="Cambria Math" w:hAnsi="Cambria Math"/>
              </w:rPr>
              <m:t>⋅</m:t>
            </m:r>
          </m:e>
        </m:d>
      </m:oMath>
      <w:r>
        <w:t xml:space="preserve"> is the logistic function:</w:t>
      </w:r>
    </w:p>
    <w:p w14:paraId="6A957CB9" w14:textId="77777777" w:rsidR="00A005E1" w:rsidRDefault="00A005E1" w:rsidP="00A005E1">
      <w:pPr>
        <w:spacing w:line="480" w:lineRule="auto"/>
      </w:pPr>
      <m:oMathPara>
        <m:oMathParaPr>
          <m:jc m:val="center"/>
        </m:oMathParaPr>
        <m:oMath>
          <m:r>
            <w:rPr>
              <w:rFonts w:ascii="Cambria Math" w:hAnsi="Cambria Math"/>
            </w:rPr>
            <m:t>Λ</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r>
                <m:rPr>
                  <m:sty m:val="p"/>
                </m:rPr>
                <w:rPr>
                  <w:rFonts w:ascii="Cambria Math" w:hAnsi="Cambria Math"/>
                </w:rPr>
                <m:t>exp</m:t>
              </m:r>
              <m:d>
                <m:dPr>
                  <m:ctrlPr>
                    <w:rPr>
                      <w:rFonts w:ascii="Cambria Math" w:hAnsi="Cambria Math"/>
                    </w:rPr>
                  </m:ctrlPr>
                </m:dPr>
                <m:e>
                  <m:r>
                    <w:rPr>
                      <w:rFonts w:ascii="Cambria Math" w:hAnsi="Cambria Math"/>
                    </w:rPr>
                    <m:t>z</m:t>
                  </m:r>
                </m:e>
              </m:d>
            </m:num>
            <m:den>
              <m:r>
                <w:rPr>
                  <w:rFonts w:ascii="Cambria Math" w:hAnsi="Cambria Math"/>
                </w:rPr>
                <m:t>1</m:t>
              </m:r>
              <m:r>
                <m:rPr>
                  <m:sty m:val="p"/>
                </m:rPr>
                <w:rPr>
                  <w:rFonts w:ascii="Cambria Math" w:hAnsi="Cambria Math"/>
                </w:rPr>
                <m:t>+exp</m:t>
              </m:r>
              <m:d>
                <m:dPr>
                  <m:ctrlPr>
                    <w:rPr>
                      <w:rFonts w:ascii="Cambria Math" w:hAnsi="Cambria Math"/>
                    </w:rPr>
                  </m:ctrlPr>
                </m:dPr>
                <m:e>
                  <m:r>
                    <w:rPr>
                      <w:rFonts w:ascii="Cambria Math" w:hAnsi="Cambria Math"/>
                    </w:rPr>
                    <m:t>z</m:t>
                  </m:r>
                </m:e>
              </m:d>
            </m:den>
          </m:f>
          <m:r>
            <m:rPr>
              <m:sty m:val="p"/>
            </m:rPr>
            <w:rPr>
              <w:rFonts w:ascii="Cambria Math" w:hAnsi="Cambria Math"/>
            </w:rPr>
            <m:t>.</m:t>
          </m:r>
        </m:oMath>
      </m:oMathPara>
    </w:p>
    <w:p w14:paraId="03DEC616" w14:textId="77777777" w:rsidR="00A005E1" w:rsidRDefault="00A005E1" w:rsidP="00A005E1">
      <w:pPr>
        <w:spacing w:line="480" w:lineRule="auto"/>
      </w:pPr>
      <w:r>
        <w:t>The linear index is:</w:t>
      </w:r>
    </w:p>
    <w:p w14:paraId="1461FDA8"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it</m:t>
              </m:r>
            </m:sub>
            <m:sup>
              <m:r>
                <w:rPr>
                  <w:rFonts w:ascii="Cambria Math" w:hAnsi="Cambria Math"/>
                </w:rPr>
                <m:t>k</m:t>
              </m:r>
            </m:sup>
          </m:sSubSup>
          <m:r>
            <m:rPr>
              <m:sty m:val="p"/>
            </m:rP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β</m:t>
              </m:r>
            </m:e>
            <m:sup>
              <m:r>
                <w:rPr>
                  <w:rFonts w:ascii="Cambria Math" w:hAnsi="Cambria Math"/>
                </w:rPr>
                <m:t>k</m:t>
              </m:r>
            </m:sup>
          </m:sSup>
          <m:sSubSup>
            <m:sSubSupPr>
              <m:ctrlPr>
                <w:rPr>
                  <w:rFonts w:ascii="Cambria Math" w:hAnsi="Cambria Math"/>
                </w:rPr>
              </m:ctrlPr>
            </m:sSubSupPr>
            <m:e>
              <m:r>
                <w:rPr>
                  <w:rFonts w:ascii="Cambria Math" w:hAnsi="Cambria Math"/>
                </w:rPr>
                <m:t>Z</m:t>
              </m:r>
            </m:e>
            <m:sub>
              <m:r>
                <w:rPr>
                  <w:rFonts w:ascii="Cambria Math" w:hAnsi="Cambria Math"/>
                </w:rPr>
                <m:t>it</m:t>
              </m:r>
            </m:sub>
            <m:sup>
              <m:r>
                <m:rPr>
                  <m:sty m:val="p"/>
                </m:rPr>
                <w:rPr>
                  <w:rFonts w:ascii="Cambria Math" w:hAnsi="Cambria Math"/>
                </w:rPr>
                <m:t>MLR</m:t>
              </m:r>
            </m:sup>
          </m:sSubSup>
          <m:r>
            <m:rPr>
              <m:sty m:val="p"/>
            </m:rPr>
            <w:rPr>
              <w:rFonts w:ascii="Cambria Math" w:hAnsi="Cambria Math"/>
            </w:rPr>
            <m:t>+</m:t>
          </m:r>
          <m:sSup>
            <m:sSupPr>
              <m:ctrlPr>
                <w:rPr>
                  <w:rFonts w:ascii="Cambria Math" w:hAnsi="Cambria Math"/>
                </w:rPr>
              </m:ctrlPr>
            </m:sSupPr>
            <m:e>
              <m:r>
                <w:rPr>
                  <w:rFonts w:ascii="Cambria Math" w:hAnsi="Cambria Math"/>
                </w:rPr>
                <m:t>γ</m:t>
              </m:r>
            </m:e>
            <m:sup>
              <m:r>
                <w:rPr>
                  <w:rFonts w:ascii="Cambria Math" w:hAnsi="Cambria Math"/>
                </w:rPr>
                <m:t>k</m:t>
              </m:r>
            </m:sup>
          </m:sSup>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r>
            <m:rPr>
              <m:sty m:val="p"/>
            </m:rPr>
            <w:rPr>
              <w:rFonts w:ascii="Cambria Math" w:hAnsi="Cambria Math"/>
            </w:rPr>
            <m:t>+</m:t>
          </m:r>
          <m:sSup>
            <m:sSupPr>
              <m:ctrlPr>
                <w:rPr>
                  <w:rFonts w:ascii="Cambria Math" w:hAnsi="Cambria Math"/>
                </w:rPr>
              </m:ctrlPr>
            </m:sSupPr>
            <m:e>
              <m:r>
                <m:rPr>
                  <m:sty m:val="b"/>
                </m:rPr>
                <w:rPr>
                  <w:rFonts w:ascii="Cambria Math" w:hAnsi="Cambria Math"/>
                </w:rPr>
                <m:t>δ</m:t>
              </m:r>
            </m:e>
            <m:sup>
              <m:r>
                <w:rPr>
                  <w:rFonts w:ascii="Cambria Math" w:hAnsi="Cambria Math"/>
                </w:rPr>
                <m:t>k</m:t>
              </m:r>
              <m:r>
                <m:rPr>
                  <m:sty m:val="p"/>
                </m:rPr>
                <w:rPr>
                  <w:rFonts w:ascii="Cambria Math" w:hAnsi="Cambria Math"/>
                </w:rPr>
                <m:t>'</m:t>
              </m:r>
            </m:sup>
          </m:sSup>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ϕ</m:t>
              </m:r>
            </m:e>
            <m:sup>
              <m:r>
                <w:rPr>
                  <w:rFonts w:ascii="Cambria Math" w:hAnsi="Cambria Math"/>
                </w:rPr>
                <m:t>k</m:t>
              </m:r>
            </m:sup>
          </m:sSup>
          <m:r>
            <w:rPr>
              <w:rFonts w:ascii="Cambria Math" w:hAnsi="Cambria Math"/>
            </w:rPr>
            <m:t>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t</m:t>
              </m:r>
            </m:sub>
            <m:sup>
              <m:r>
                <w:rPr>
                  <w:rFonts w:ascii="Cambria Math" w:hAnsi="Cambria Math"/>
                </w:rPr>
                <m:t>k</m:t>
              </m:r>
            </m:sup>
          </m:sSubSup>
          <m:r>
            <m:rPr>
              <m:sty m:val="p"/>
            </m:rPr>
            <w:rPr>
              <w:rFonts w:ascii="Cambria Math" w:hAnsi="Cambria Math"/>
            </w:rPr>
            <m:t>.</m:t>
          </m:r>
        </m:oMath>
      </m:oMathPara>
    </w:p>
    <w:p w14:paraId="0E4CCA56" w14:textId="77777777" w:rsidR="00A005E1" w:rsidRDefault="00A005E1" w:rsidP="00A005E1">
      <w:pPr>
        <w:spacing w:line="480" w:lineRule="auto"/>
      </w:pPr>
      <w:r>
        <w:t>In this specification:</w:t>
      </w:r>
    </w:p>
    <w:p w14:paraId="32FAF07A" w14:textId="77777777" w:rsidR="00A005E1" w:rsidRDefault="00A005E1" w:rsidP="00A005E1">
      <w:pPr>
        <w:numPr>
          <w:ilvl w:val="0"/>
          <w:numId w:val="3"/>
        </w:numPr>
        <w:spacing w:line="480" w:lineRule="auto"/>
      </w:pPr>
      <m:oMath>
        <m:sSubSup>
          <m:sSubSupPr>
            <m:ctrlPr>
              <w:rPr>
                <w:rFonts w:ascii="Cambria Math" w:hAnsi="Cambria Math"/>
              </w:rPr>
            </m:ctrlPr>
          </m:sSubSupPr>
          <m:e>
            <m:r>
              <w:rPr>
                <w:rFonts w:ascii="Cambria Math" w:hAnsi="Cambria Math"/>
              </w:rPr>
              <m:t>Z</m:t>
            </m:r>
          </m:e>
          <m:sub>
            <m:r>
              <w:rPr>
                <w:rFonts w:ascii="Cambria Math" w:hAnsi="Cambria Math"/>
              </w:rPr>
              <m:t>it</m:t>
            </m:r>
          </m:sub>
          <m:sup>
            <m:r>
              <m:rPr>
                <m:sty m:val="p"/>
              </m:rPr>
              <w:rPr>
                <w:rFonts w:ascii="Cambria Math" w:hAnsi="Cambria Math"/>
              </w:rPr>
              <m:t>MLR</m:t>
            </m:r>
          </m:sup>
        </m:sSubSup>
      </m:oMath>
      <w:r>
        <w:t xml:space="preserve"> is the winsorized and standardized MLR;</w:t>
      </w:r>
    </w:p>
    <w:p w14:paraId="5FE84ABD" w14:textId="77777777" w:rsidR="00A005E1" w:rsidRDefault="00A005E1" w:rsidP="00A005E1">
      <w:pPr>
        <w:numPr>
          <w:ilvl w:val="0"/>
          <w:numId w:val="3"/>
        </w:numPr>
        <w:spacing w:line="480" w:lineRule="auto"/>
      </w:pPr>
      <m:oMath>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oMath>
      <w:r>
        <w:t xml:space="preserve"> is the size control based on operating revenue;</w:t>
      </w:r>
    </w:p>
    <w:p w14:paraId="6D882D5E" w14:textId="77777777" w:rsidR="00A005E1" w:rsidRDefault="00A005E1" w:rsidP="00A005E1">
      <w:pPr>
        <w:numPr>
          <w:ilvl w:val="0"/>
          <w:numId w:val="3"/>
        </w:numPr>
        <w:spacing w:line="480" w:lineRule="auto"/>
      </w:pPr>
      <m:oMath>
        <m:sSub>
          <m:sSubPr>
            <m:ctrlPr>
              <w:rPr>
                <w:rFonts w:ascii="Cambria Math" w:hAnsi="Cambria Math"/>
              </w:rPr>
            </m:ctrlPr>
          </m:sSubPr>
          <m:e>
            <m:r>
              <m:rPr>
                <m:sty m:val="b"/>
              </m:rPr>
              <w:rPr>
                <w:rFonts w:ascii="Cambria Math" w:hAnsi="Cambria Math"/>
              </w:rPr>
              <m:t>Mod</m:t>
            </m:r>
          </m:e>
          <m:sub>
            <m:r>
              <w:rPr>
                <w:rFonts w:ascii="Cambria Math" w:hAnsi="Cambria Math"/>
              </w:rPr>
              <m:t>i</m:t>
            </m:r>
          </m:sub>
        </m:sSub>
      </m:oMath>
      <w:r>
        <w:t xml:space="preserve"> is the vector of operator-modality dummies;</w:t>
      </w:r>
    </w:p>
    <w:p w14:paraId="1C4160E4" w14:textId="77777777" w:rsidR="00A005E1" w:rsidRDefault="00A005E1" w:rsidP="00A005E1">
      <w:pPr>
        <w:numPr>
          <w:ilvl w:val="0"/>
          <w:numId w:val="3"/>
        </w:numPr>
        <w:spacing w:line="480" w:lineRule="auto"/>
      </w:pPr>
      <m:oMath>
        <m:r>
          <w:rPr>
            <w:rFonts w:ascii="Cambria Math" w:hAnsi="Cambria Math"/>
          </w:rPr>
          <m:t>AdmRati</m:t>
        </m:r>
        <m:sSub>
          <m:sSubPr>
            <m:ctrlPr>
              <w:rPr>
                <w:rFonts w:ascii="Cambria Math" w:hAnsi="Cambria Math"/>
              </w:rPr>
            </m:ctrlPr>
          </m:sSubPr>
          <m:e>
            <m:r>
              <w:rPr>
                <w:rFonts w:ascii="Cambria Math" w:hAnsi="Cambria Math"/>
              </w:rPr>
              <m:t>o</m:t>
            </m:r>
          </m:e>
          <m:sub>
            <m:r>
              <w:rPr>
                <w:rFonts w:ascii="Cambria Math" w:hAnsi="Cambria Math"/>
              </w:rPr>
              <m:t>it</m:t>
            </m:r>
          </m:sub>
        </m:sSub>
      </m:oMath>
      <w:r>
        <w:t xml:space="preserve"> is the administrative-expense ratio;</w:t>
      </w:r>
    </w:p>
    <w:p w14:paraId="132EDA7B" w14:textId="77777777" w:rsidR="00A005E1" w:rsidRDefault="00A005E1" w:rsidP="00A005E1">
      <w:pPr>
        <w:numPr>
          <w:ilvl w:val="0"/>
          <w:numId w:val="3"/>
        </w:numPr>
        <w:spacing w:line="480" w:lineRule="auto"/>
      </w:pPr>
      <m:oMath>
        <m:sSub>
          <m:sSubPr>
            <m:ctrlPr>
              <w:rPr>
                <w:rFonts w:ascii="Cambria Math" w:hAnsi="Cambria Math"/>
              </w:rPr>
            </m:ctrlPr>
          </m:sSubPr>
          <m:e>
            <m:r>
              <w:rPr>
                <w:rFonts w:ascii="Cambria Math" w:hAnsi="Cambria Math"/>
              </w:rPr>
              <m:t>λ</m:t>
            </m:r>
          </m:e>
          <m:sub>
            <m:r>
              <w:rPr>
                <w:rFonts w:ascii="Cambria Math" w:hAnsi="Cambria Math"/>
              </w:rPr>
              <m:t>t</m:t>
            </m:r>
          </m:sub>
        </m:sSub>
      </m:oMath>
      <w:r>
        <w:t xml:space="preserve"> represents year fixed effects.</w:t>
      </w:r>
    </w:p>
    <w:p w14:paraId="07805763" w14:textId="77777777" w:rsidR="00A005E1" w:rsidRDefault="00A005E1" w:rsidP="00A005E1">
      <w:pPr>
        <w:spacing w:line="480" w:lineRule="auto"/>
      </w:pPr>
      <w:r>
        <w:t>The per-standard-deviation effect is reported as the odds ratio:</w:t>
      </w:r>
    </w:p>
    <w:p w14:paraId="61A51501"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m:rPr>
                  <m:sty m:val="p"/>
                </m:rPr>
                <w:rPr>
                  <w:rFonts w:ascii="Cambria Math" w:hAnsi="Cambria Math"/>
                </w:rPr>
                <m:t>OR</m:t>
              </m:r>
            </m:e>
            <m:sub>
              <m:r>
                <w:rPr>
                  <w:rFonts w:ascii="Cambria Math" w:hAnsi="Cambria Math"/>
                </w:rPr>
                <m:t>1SD</m:t>
              </m:r>
            </m:sub>
            <m:sup>
              <m:r>
                <w:rPr>
                  <w:rFonts w:ascii="Cambria Math" w:hAnsi="Cambria Math"/>
                </w:rPr>
                <m:t>k</m:t>
              </m:r>
            </m:sup>
          </m:sSubSup>
          <m:r>
            <m:rPr>
              <m:sty m:val="p"/>
            </m:rPr>
            <w:rPr>
              <w:rFonts w:ascii="Cambria Math" w:hAnsi="Cambria Math"/>
            </w:rPr>
            <m:t>=exp</m:t>
          </m:r>
          <m:d>
            <m:dPr>
              <m:ctrlPr>
                <w:rPr>
                  <w:rFonts w:ascii="Cambria Math" w:hAnsi="Cambria Math"/>
                </w:rPr>
              </m:ctrlPr>
            </m:dPr>
            <m:e>
              <m:sSup>
                <m:sSupPr>
                  <m:ctrlPr>
                    <w:rPr>
                      <w:rFonts w:ascii="Cambria Math" w:hAnsi="Cambria Math"/>
                    </w:rPr>
                  </m:ctrlPr>
                </m:sSupPr>
                <m:e>
                  <m:r>
                    <w:rPr>
                      <w:rFonts w:ascii="Cambria Math" w:hAnsi="Cambria Math"/>
                    </w:rPr>
                    <m:t>β</m:t>
                  </m:r>
                </m:e>
                <m:sup>
                  <m:r>
                    <w:rPr>
                      <w:rFonts w:ascii="Cambria Math" w:hAnsi="Cambria Math"/>
                    </w:rPr>
                    <m:t>k</m:t>
                  </m:r>
                </m:sup>
              </m:sSup>
            </m:e>
          </m:d>
          <m:r>
            <m:rPr>
              <m:sty m:val="p"/>
            </m:rPr>
            <w:rPr>
              <w:rFonts w:ascii="Cambria Math" w:hAnsi="Cambria Math"/>
            </w:rPr>
            <m:t>.</m:t>
          </m:r>
        </m:oMath>
      </m:oMathPara>
    </w:p>
    <w:p w14:paraId="1523AF5E" w14:textId="77777777" w:rsidR="00A005E1" w:rsidRDefault="00A005E1" w:rsidP="00A005E1">
      <w:pPr>
        <w:pStyle w:val="Heading3"/>
        <w:spacing w:line="480" w:lineRule="auto"/>
      </w:pPr>
      <w:bookmarkStart w:id="21" w:name="logit-model-with-the-high-mlr-indicator"/>
      <w:bookmarkEnd w:id="20"/>
      <w:r>
        <w:t>Logit model with the high-MLR indicator</w:t>
      </w:r>
    </w:p>
    <w:p w14:paraId="150B611F" w14:textId="77777777" w:rsidR="00A005E1" w:rsidRDefault="00A005E1" w:rsidP="00A005E1">
      <w:pPr>
        <w:spacing w:line="480" w:lineRule="auto"/>
      </w:pPr>
      <w:r>
        <w:t>The article’s main specification uses an indicator for MLR in the upper quartile:</w:t>
      </w:r>
    </w:p>
    <w:p w14:paraId="7099B009"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up>
                  <m:r>
                    <w:rPr>
                      <w:rFonts w:ascii="Cambria Math" w:hAnsi="Cambria Math"/>
                    </w:rPr>
                    <m:t>k</m:t>
                  </m:r>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it</m:t>
                  </m:r>
                </m:sub>
              </m:sSub>
            </m:e>
          </m:d>
          <m:r>
            <m:rPr>
              <m:sty m:val="p"/>
            </m:rPr>
            <w:rPr>
              <w:rFonts w:ascii="Cambria Math" w:hAnsi="Cambria Math"/>
            </w:rPr>
            <m:t>=</m:t>
          </m:r>
          <m:r>
            <w:rPr>
              <w:rFonts w:ascii="Cambria Math" w:hAnsi="Cambria Math"/>
            </w:rPr>
            <m:t>Λ</m:t>
          </m:r>
          <m:d>
            <m:dPr>
              <m:ctrlPr>
                <w:rPr>
                  <w:rFonts w:ascii="Cambria Math" w:hAnsi="Cambria Math"/>
                </w:rPr>
              </m:ctrlPr>
            </m:dPr>
            <m:e>
              <m:sSup>
                <m:sSupPr>
                  <m:ctrlPr>
                    <w:rPr>
                      <w:rFonts w:ascii="Cambria Math" w:hAnsi="Cambria Math"/>
                    </w:rPr>
                  </m:ctrlPr>
                </m:sSupPr>
                <m:e>
                  <m:r>
                    <w:rPr>
                      <w:rFonts w:ascii="Cambria Math" w:hAnsi="Cambria Math"/>
                    </w:rPr>
                    <m:t>α</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θ</m:t>
                  </m:r>
                </m:e>
                <m:sup>
                  <m:r>
                    <w:rPr>
                      <w:rFonts w:ascii="Cambria Math" w:hAnsi="Cambria Math"/>
                    </w:rPr>
                    <m:t>k</m:t>
                  </m:r>
                </m:sup>
              </m:sSup>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sSup>
                <m:sSupPr>
                  <m:ctrlPr>
                    <w:rPr>
                      <w:rFonts w:ascii="Cambria Math" w:hAnsi="Cambria Math"/>
                    </w:rPr>
                  </m:ctrlPr>
                </m:sSupPr>
                <m:e>
                  <m:r>
                    <w:rPr>
                      <w:rFonts w:ascii="Cambria Math" w:hAnsi="Cambria Math"/>
                    </w:rPr>
                    <m:t>γ</m:t>
                  </m:r>
                </m:e>
                <m:sup>
                  <m:r>
                    <w:rPr>
                      <w:rFonts w:ascii="Cambria Math" w:hAnsi="Cambria Math"/>
                    </w:rPr>
                    <m:t>k</m:t>
                  </m:r>
                </m:sup>
              </m:sSup>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r>
                <m:rPr>
                  <m:sty m:val="p"/>
                </m:rPr>
                <w:rPr>
                  <w:rFonts w:ascii="Cambria Math" w:hAnsi="Cambria Math"/>
                </w:rPr>
                <m:t>+</m:t>
              </m:r>
              <m:sSup>
                <m:sSupPr>
                  <m:ctrlPr>
                    <w:rPr>
                      <w:rFonts w:ascii="Cambria Math" w:hAnsi="Cambria Math"/>
                    </w:rPr>
                  </m:ctrlPr>
                </m:sSupPr>
                <m:e>
                  <m:r>
                    <m:rPr>
                      <m:sty m:val="b"/>
                    </m:rPr>
                    <w:rPr>
                      <w:rFonts w:ascii="Cambria Math" w:hAnsi="Cambria Math"/>
                    </w:rPr>
                    <m:t>δ</m:t>
                  </m:r>
                </m:e>
                <m:sup>
                  <m:r>
                    <w:rPr>
                      <w:rFonts w:ascii="Cambria Math" w:hAnsi="Cambria Math"/>
                    </w:rPr>
                    <m:t>k</m:t>
                  </m:r>
                  <m:r>
                    <m:rPr>
                      <m:sty m:val="p"/>
                    </m:rPr>
                    <w:rPr>
                      <w:rFonts w:ascii="Cambria Math" w:hAnsi="Cambria Math"/>
                    </w:rPr>
                    <m:t>'</m:t>
                  </m:r>
                </m:sup>
              </m:sSup>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ϕ</m:t>
                  </m:r>
                </m:e>
                <m:sup>
                  <m:r>
                    <w:rPr>
                      <w:rFonts w:ascii="Cambria Math" w:hAnsi="Cambria Math"/>
                    </w:rPr>
                    <m:t>k</m:t>
                  </m:r>
                </m:sup>
              </m:sSup>
              <m:r>
                <w:rPr>
                  <w:rFonts w:ascii="Cambria Math" w:hAnsi="Cambria Math"/>
                </w:rPr>
                <m:t>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t</m:t>
                  </m:r>
                </m:sub>
                <m:sup>
                  <m:r>
                    <w:rPr>
                      <w:rFonts w:ascii="Cambria Math" w:hAnsi="Cambria Math"/>
                    </w:rPr>
                    <m:t>k</m:t>
                  </m:r>
                </m:sup>
              </m:sSubSup>
            </m:e>
          </m:d>
          <m:r>
            <m:rPr>
              <m:sty m:val="p"/>
            </m:rPr>
            <w:rPr>
              <w:rFonts w:ascii="Cambria Math" w:hAnsi="Cambria Math"/>
            </w:rPr>
            <m:t>.</m:t>
          </m:r>
        </m:oMath>
      </m:oMathPara>
    </w:p>
    <w:p w14:paraId="530337F0" w14:textId="77777777" w:rsidR="00A005E1" w:rsidRDefault="00A005E1" w:rsidP="00A005E1">
      <w:pPr>
        <w:spacing w:line="480" w:lineRule="auto"/>
      </w:pPr>
      <w:r>
        <w:t>The odds ratio associated with the upper quartile is:</w:t>
      </w:r>
    </w:p>
    <w:p w14:paraId="3D85D6F7"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m:rPr>
                  <m:sty m:val="p"/>
                </m:rPr>
                <w:rPr>
                  <w:rFonts w:ascii="Cambria Math" w:hAnsi="Cambria Math"/>
                </w:rPr>
                <m:t>OR</m:t>
              </m:r>
            </m:e>
            <m:sub>
              <m:r>
                <w:rPr>
                  <w:rFonts w:ascii="Cambria Math" w:hAnsi="Cambria Math"/>
                </w:rPr>
                <m:t>HighMLR</m:t>
              </m:r>
            </m:sub>
            <m:sup>
              <m:r>
                <w:rPr>
                  <w:rFonts w:ascii="Cambria Math" w:hAnsi="Cambria Math"/>
                </w:rPr>
                <m:t>k</m:t>
              </m:r>
            </m:sup>
          </m:sSubSup>
          <m:r>
            <m:rPr>
              <m:sty m:val="p"/>
            </m:rPr>
            <w:rPr>
              <w:rFonts w:ascii="Cambria Math" w:hAnsi="Cambria Math"/>
            </w:rPr>
            <m:t>=exp</m:t>
          </m:r>
          <m:d>
            <m:dPr>
              <m:ctrlPr>
                <w:rPr>
                  <w:rFonts w:ascii="Cambria Math" w:hAnsi="Cambria Math"/>
                </w:rPr>
              </m:ctrlPr>
            </m:dPr>
            <m:e>
              <m:sSup>
                <m:sSupPr>
                  <m:ctrlPr>
                    <w:rPr>
                      <w:rFonts w:ascii="Cambria Math" w:hAnsi="Cambria Math"/>
                    </w:rPr>
                  </m:ctrlPr>
                </m:sSupPr>
                <m:e>
                  <m:r>
                    <w:rPr>
                      <w:rFonts w:ascii="Cambria Math" w:hAnsi="Cambria Math"/>
                    </w:rPr>
                    <m:t>θ</m:t>
                  </m:r>
                </m:e>
                <m:sup>
                  <m:r>
                    <w:rPr>
                      <w:rFonts w:ascii="Cambria Math" w:hAnsi="Cambria Math"/>
                    </w:rPr>
                    <m:t>k</m:t>
                  </m:r>
                </m:sup>
              </m:sSup>
            </m:e>
          </m:d>
          <m:r>
            <m:rPr>
              <m:sty m:val="p"/>
            </m:rPr>
            <w:rPr>
              <w:rFonts w:ascii="Cambria Math" w:hAnsi="Cambria Math"/>
            </w:rPr>
            <m:t>.</m:t>
          </m:r>
        </m:oMath>
      </m:oMathPara>
    </w:p>
    <w:p w14:paraId="5294A755" w14:textId="77777777" w:rsidR="00A005E1" w:rsidRDefault="00A005E1" w:rsidP="00A005E1">
      <w:pPr>
        <w:spacing w:line="480" w:lineRule="auto"/>
      </w:pPr>
      <w:r>
        <w:t>This specification is preferred because the results indicate a nonlinear relationship concentrated in the upper quartile rather than a smooth continuous slope across the entire MLR distribution.</w:t>
      </w:r>
    </w:p>
    <w:p w14:paraId="2BE44D69" w14:textId="77777777" w:rsidR="00A005E1" w:rsidRDefault="00A005E1" w:rsidP="00A005E1">
      <w:pPr>
        <w:pStyle w:val="Heading3"/>
        <w:spacing w:line="480" w:lineRule="auto"/>
      </w:pPr>
      <w:bookmarkStart w:id="22" w:name="operator-clustered-standard-errors"/>
      <w:bookmarkEnd w:id="21"/>
      <w:r>
        <w:t>Operator-clustered standard errors</w:t>
      </w:r>
    </w:p>
    <w:p w14:paraId="707A6D57" w14:textId="77777777" w:rsidR="00A005E1" w:rsidRDefault="00A005E1" w:rsidP="00A005E1">
      <w:pPr>
        <w:spacing w:line="480" w:lineRule="auto"/>
      </w:pPr>
      <w:r>
        <w:t xml:space="preserve">Inference allows arbitrary residual correlation within each operator. Let </w:t>
      </w:r>
      <m:oMath>
        <m:sSub>
          <m:sSubPr>
            <m:ctrlPr>
              <w:rPr>
                <w:rFonts w:ascii="Cambria Math" w:hAnsi="Cambria Math"/>
              </w:rPr>
            </m:ctrlPr>
          </m:sSubPr>
          <m:e>
            <m:r>
              <w:rPr>
                <w:rFonts w:ascii="Cambria Math" w:hAnsi="Cambria Math"/>
              </w:rPr>
              <m:t>X</m:t>
            </m:r>
          </m:e>
          <m:sub>
            <m:r>
              <w:rPr>
                <w:rFonts w:ascii="Cambria Math" w:hAnsi="Cambria Math"/>
              </w:rPr>
              <m:t>i</m:t>
            </m:r>
          </m:sub>
        </m:sSub>
      </m:oMath>
      <w:r>
        <w:t xml:space="preserve"> be the regressor matrix for operator </w:t>
      </w:r>
      <m:oMath>
        <m:r>
          <w:rPr>
            <w:rFonts w:ascii="Cambria Math" w:hAnsi="Cambria Math"/>
          </w:rPr>
          <m:t>i</m:t>
        </m:r>
      </m:oMath>
      <w:r>
        <w:t xml:space="preserve"> and </w:t>
      </w:r>
      <m:oMath>
        <m:sSub>
          <m:sSubPr>
            <m:ctrlPr>
              <w:rPr>
                <w:rFonts w:ascii="Cambria Math" w:hAnsi="Cambria Math"/>
              </w:rPr>
            </m:ctrlPr>
          </m:sSubPr>
          <m:e>
            <m:acc>
              <m:accPr>
                <m:ctrlPr>
                  <w:rPr>
                    <w:rFonts w:ascii="Cambria Math" w:hAnsi="Cambria Math"/>
                  </w:rPr>
                </m:ctrlPr>
              </m:accPr>
              <m:e>
                <m:r>
                  <w:rPr>
                    <w:rFonts w:ascii="Cambria Math" w:hAnsi="Cambria Math"/>
                  </w:rPr>
                  <m:t>u</m:t>
                </m:r>
              </m:e>
            </m:acc>
          </m:e>
          <m:sub>
            <m:r>
              <w:rPr>
                <w:rFonts w:ascii="Cambria Math" w:hAnsi="Cambria Math"/>
              </w:rPr>
              <m:t>i</m:t>
            </m:r>
          </m:sub>
        </m:sSub>
      </m:oMath>
      <w:r>
        <w:t xml:space="preserve"> the associated residual vector. A generic form of the cluster-robust variance matrix is:</w:t>
      </w:r>
    </w:p>
    <w:p w14:paraId="23C1854A" w14:textId="77777777" w:rsidR="00A005E1" w:rsidRDefault="00A005E1" w:rsidP="00A005E1">
      <w:pPr>
        <w:spacing w:line="480" w:lineRule="auto"/>
      </w:pPr>
      <m:oMathPara>
        <m:oMathParaPr>
          <m:jc m:val="center"/>
        </m:oMathParaPr>
        <m:oMath>
          <m:sSub>
            <m:sSubPr>
              <m:ctrlPr>
                <w:rPr>
                  <w:rFonts w:ascii="Cambria Math" w:hAnsi="Cambria Math"/>
                </w:rPr>
              </m:ctrlPr>
            </m:sSubPr>
            <m:e>
              <m:acc>
                <m:accPr>
                  <m:ctrlPr>
                    <w:rPr>
                      <w:rFonts w:ascii="Cambria Math" w:hAnsi="Cambria Math"/>
                    </w:rPr>
                  </m:ctrlPr>
                </m:accPr>
                <m:e>
                  <m:r>
                    <w:rPr>
                      <w:rFonts w:ascii="Cambria Math" w:hAnsi="Cambria Math"/>
                    </w:rPr>
                    <m:t>V</m:t>
                  </m:r>
                </m:e>
              </m:acc>
            </m:e>
            <m:sub>
              <m:r>
                <w:rPr>
                  <w:rFonts w:ascii="Cambria Math" w:hAnsi="Cambria Math"/>
                </w:rPr>
                <m:t>cluster</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acc>
                    <m:accPr>
                      <m:ctrlPr>
                        <w:rPr>
                          <w:rFonts w:ascii="Cambria Math" w:hAnsi="Cambria Math"/>
                        </w:rPr>
                      </m:ctrlPr>
                    </m:accPr>
                    <m:e>
                      <m:r>
                        <w:rPr>
                          <w:rFonts w:ascii="Cambria Math" w:hAnsi="Cambria Math"/>
                        </w:rPr>
                        <m:t>W</m:t>
                      </m:r>
                    </m:e>
                  </m:acc>
                  <m:r>
                    <w:rPr>
                      <w:rFonts w:ascii="Cambria Math" w:hAnsi="Cambria Math"/>
                    </w:rPr>
                    <m:t>X</m:t>
                  </m:r>
                </m:e>
              </m:d>
            </m:e>
            <m:sup>
              <m:r>
                <m:rPr>
                  <m:sty m:val="p"/>
                </m:rPr>
                <w:rPr>
                  <w:rFonts w:ascii="Cambria Math" w:hAnsi="Cambria Math"/>
                </w:rPr>
                <m:t>-</m:t>
              </m:r>
              <m:r>
                <w:rPr>
                  <w:rFonts w:ascii="Cambria Math" w:hAnsi="Cambria Math"/>
                </w:rPr>
                <m:t>1</m:t>
              </m:r>
            </m:sup>
          </m:sSup>
          <m:d>
            <m:dPr>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X</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u</m:t>
                      </m:r>
                    </m:e>
                  </m:acc>
                </m:e>
                <m:sub>
                  <m:r>
                    <w:rPr>
                      <w:rFonts w:ascii="Cambria Math" w:hAnsi="Cambria Math"/>
                    </w:rPr>
                    <m:t>i</m:t>
                  </m:r>
                </m:sub>
              </m:sSub>
              <m:sSub>
                <m:sSubPr>
                  <m:ctrlPr>
                    <w:rPr>
                      <w:rFonts w:ascii="Cambria Math" w:hAnsi="Cambria Math"/>
                    </w:rPr>
                  </m:ctrlPr>
                </m:sSubPr>
                <m:e>
                  <m:acc>
                    <m:accPr>
                      <m:ctrlPr>
                        <w:rPr>
                          <w:rFonts w:ascii="Cambria Math" w:hAnsi="Cambria Math"/>
                        </w:rPr>
                      </m:ctrlPr>
                    </m:accPr>
                    <m:e>
                      <m:r>
                        <w:rPr>
                          <w:rFonts w:ascii="Cambria Math" w:hAnsi="Cambria Math"/>
                        </w:rPr>
                        <m:t>u</m:t>
                      </m:r>
                    </m:e>
                  </m:acc>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d>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acc>
                    <m:accPr>
                      <m:ctrlPr>
                        <w:rPr>
                          <w:rFonts w:ascii="Cambria Math" w:hAnsi="Cambria Math"/>
                        </w:rPr>
                      </m:ctrlPr>
                    </m:accPr>
                    <m:e>
                      <m:r>
                        <w:rPr>
                          <w:rFonts w:ascii="Cambria Math" w:hAnsi="Cambria Math"/>
                        </w:rPr>
                        <m:t>W</m:t>
                      </m:r>
                    </m:e>
                  </m:acc>
                  <m:r>
                    <w:rPr>
                      <w:rFonts w:ascii="Cambria Math" w:hAnsi="Cambria Math"/>
                    </w:rPr>
                    <m:t>X</m:t>
                  </m:r>
                </m:e>
              </m:d>
            </m:e>
            <m:sup>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22323E6" w14:textId="77777777" w:rsidR="00A005E1" w:rsidRDefault="00A005E1" w:rsidP="00A005E1">
      <w:pPr>
        <w:spacing w:line="480" w:lineRule="auto"/>
      </w:pPr>
      <w:r>
        <w:t xml:space="preserve">where </w:t>
      </w:r>
      <m:oMath>
        <m:acc>
          <m:accPr>
            <m:ctrlPr>
              <w:rPr>
                <w:rFonts w:ascii="Cambria Math" w:hAnsi="Cambria Math"/>
              </w:rPr>
            </m:ctrlPr>
          </m:accPr>
          <m:e>
            <m:r>
              <w:rPr>
                <w:rFonts w:ascii="Cambria Math" w:hAnsi="Cambria Math"/>
              </w:rPr>
              <m:t>W</m:t>
            </m:r>
          </m:e>
        </m:acc>
      </m:oMath>
      <w:r>
        <w:t xml:space="preserve"> denotes the logit/GLM weight matrix. This correction is important because observations from the same operator across different years are not independent.</w:t>
      </w:r>
    </w:p>
    <w:p w14:paraId="29251B5A" w14:textId="77777777" w:rsidR="00A005E1" w:rsidRDefault="00A005E1" w:rsidP="00A005E1">
      <w:pPr>
        <w:pStyle w:val="Heading2"/>
        <w:spacing w:line="480" w:lineRule="auto"/>
      </w:pPr>
      <w:bookmarkStart w:id="23" w:name="contemporaneous-benchmark"/>
      <w:bookmarkEnd w:id="18"/>
      <w:bookmarkEnd w:id="22"/>
      <w:r>
        <w:t>Contemporaneous benchmark</w:t>
      </w:r>
    </w:p>
    <w:p w14:paraId="0F971BA6" w14:textId="77777777" w:rsidR="00A005E1" w:rsidRDefault="00A005E1" w:rsidP="00A005E1">
      <w:pPr>
        <w:spacing w:line="480" w:lineRule="auto"/>
      </w:pPr>
      <w:r>
        <w:t>The article estimates a contemporaneous specification only as a descriptive reference:</w:t>
      </w:r>
    </w:p>
    <w:p w14:paraId="330C5B83"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F</m:t>
                  </m:r>
                </m:e>
                <m:sub>
                  <m:r>
                    <w:rPr>
                      <w:rFonts w:ascii="Cambria Math" w:hAnsi="Cambria Math"/>
                    </w:rPr>
                    <m:t>it</m:t>
                  </m:r>
                </m:sub>
                <m:sup>
                  <m:d>
                    <m:dPr>
                      <m:ctrlPr>
                        <w:rPr>
                          <w:rFonts w:ascii="Cambria Math" w:hAnsi="Cambria Math"/>
                        </w:rPr>
                      </m:ctrlPr>
                    </m:dPr>
                    <m:e>
                      <m:r>
                        <w:rPr>
                          <w:rFonts w:ascii="Cambria Math" w:hAnsi="Cambria Math"/>
                        </w:rPr>
                        <m:t>2</m:t>
                      </m:r>
                    </m:e>
                  </m:d>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it</m:t>
                  </m:r>
                </m:sub>
              </m:sSub>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θ</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γ</m:t>
              </m:r>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r>
                <m:rPr>
                  <m:sty m:val="p"/>
                </m:rPr>
                <w:rPr>
                  <w:rFonts w:ascii="Cambria Math" w:hAnsi="Cambria Math"/>
                </w:rPr>
                <m:t>+</m:t>
              </m:r>
              <m:r>
                <m:rPr>
                  <m:sty m:val="b"/>
                </m:rPr>
                <w:rPr>
                  <w:rFonts w:ascii="Cambria Math" w:hAnsi="Cambria Math"/>
                </w:rPr>
                <m:t>δ</m:t>
              </m:r>
              <m:r>
                <m:rPr>
                  <m:sty m:val="p"/>
                </m:rPr>
                <w:rPr>
                  <w:rFonts w:ascii="Cambria Math" w:hAnsi="Cambria Math"/>
                </w:rPr>
                <m:t>'</m:t>
              </m:r>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r>
                <w:rPr>
                  <w:rFonts w:ascii="Cambria Math" w:hAnsi="Cambria Math"/>
                </w:rPr>
                <m:t>ϕAdmRati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e>
          </m:d>
          <m:r>
            <m:rPr>
              <m:sty m:val="p"/>
            </m:rPr>
            <w:rPr>
              <w:rFonts w:ascii="Cambria Math" w:hAnsi="Cambria Math"/>
            </w:rPr>
            <m:t>.</m:t>
          </m:r>
        </m:oMath>
      </m:oMathPara>
    </w:p>
    <w:p w14:paraId="7C1F90DF" w14:textId="77777777" w:rsidR="00A005E1" w:rsidRDefault="00A005E1" w:rsidP="00A005E1">
      <w:pPr>
        <w:spacing w:line="480" w:lineRule="auto"/>
      </w:pPr>
      <w:r>
        <w:lastRenderedPageBreak/>
        <w:t>This regression does not support the article’s main claims because the MLR and operating margin share accounting components in the same year. Its role is only to compare the contemporaneous magnitude with the predictive evidence.</w:t>
      </w:r>
    </w:p>
    <w:p w14:paraId="6205A482" w14:textId="77777777" w:rsidR="00A005E1" w:rsidRDefault="00A005E1" w:rsidP="00A005E1">
      <w:pPr>
        <w:pStyle w:val="Heading2"/>
        <w:spacing w:line="480" w:lineRule="auto"/>
      </w:pPr>
      <w:bookmarkStart w:id="24" w:name="X63f00759030b0645eb1460b4b92fad6976f3d47"/>
      <w:bookmarkEnd w:id="23"/>
      <w:r>
        <w:t>Functional form: quartiles and nonlinearity</w:t>
      </w:r>
    </w:p>
    <w:p w14:paraId="0D8505D7" w14:textId="77777777" w:rsidR="00A005E1" w:rsidRDefault="00A005E1" w:rsidP="00A005E1">
      <w:pPr>
        <w:pStyle w:val="Heading3"/>
        <w:spacing w:line="480" w:lineRule="auto"/>
      </w:pPr>
      <w:bookmarkStart w:id="25" w:name="quartile-model"/>
      <w:r>
        <w:t>Quartile model</w:t>
      </w:r>
    </w:p>
    <w:p w14:paraId="433DD130" w14:textId="77777777" w:rsidR="00A005E1" w:rsidRDefault="00A005E1" w:rsidP="00A005E1">
      <w:pPr>
        <w:spacing w:line="480" w:lineRule="auto"/>
      </w:pPr>
      <w:r>
        <w:t>To assess whether the association is monotonic or concentrated in a specific region of the distribution, define:</w:t>
      </w:r>
    </w:p>
    <w:p w14:paraId="358EEE3D" w14:textId="77777777" w:rsidR="00A005E1" w:rsidRDefault="00A005E1" w:rsidP="00A005E1">
      <w:pPr>
        <w:spacing w:line="480" w:lineRule="auto"/>
      </w:pPr>
      <m:oMathPara>
        <m:oMathParaPr>
          <m:jc m:val="center"/>
        </m:oMathParaPr>
        <m:oMath>
          <m:sSub>
            <m:sSubPr>
              <m:ctrlPr>
                <w:rPr>
                  <w:rFonts w:ascii="Cambria Math" w:hAnsi="Cambria Math"/>
                </w:rPr>
              </m:ctrlPr>
            </m:sSubPr>
            <m:e>
              <m:r>
                <w:rPr>
                  <w:rFonts w:ascii="Cambria Math" w:hAnsi="Cambria Math"/>
                </w:rPr>
                <m:t>Q</m:t>
              </m:r>
            </m:e>
            <m:sub>
              <m:r>
                <w:rPr>
                  <w:rFonts w:ascii="Cambria Math" w:hAnsi="Cambria Math"/>
                </w:rPr>
                <m:t>jit</m:t>
              </m:r>
            </m:sub>
          </m:sSub>
          <m:r>
            <m:rPr>
              <m:scr m:val="double-struck"/>
              <m:sty m:val="p"/>
            </m:rPr>
            <w:rPr>
              <w:rFonts w:ascii="Cambria Math" w:hAnsi="Cambria Math"/>
            </w:rPr>
            <m:t>=I</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MLR</m:t>
                  </m:r>
                </m:e>
                <m:sub>
                  <m:r>
                    <w:rPr>
                      <w:rFonts w:ascii="Cambria Math" w:hAnsi="Cambria Math"/>
                    </w:rPr>
                    <m:t>it</m:t>
                  </m:r>
                </m:sub>
                <m:sup>
                  <m:r>
                    <w:rPr>
                      <w:rFonts w:ascii="Cambria Math" w:hAnsi="Cambria Math"/>
                    </w:rPr>
                    <m:t>W</m:t>
                  </m:r>
                </m:sup>
              </m:sSubSup>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Q</m:t>
                  </m:r>
                </m:e>
                <m:sub>
                  <m:r>
                    <w:rPr>
                      <w:rFonts w:ascii="Cambria Math" w:hAnsi="Cambria Math"/>
                    </w:rPr>
                    <m:t>j</m:t>
                  </m:r>
                </m:sub>
              </m:sSub>
            </m:e>
          </m:d>
          <m:r>
            <m:rPr>
              <m:sty m:val="p"/>
            </m:rPr>
            <w:rPr>
              <w:rFonts w:ascii="Cambria Math" w:hAnsi="Cambria Math"/>
            </w:rPr>
            <m:t>,</m:t>
          </m:r>
          <m:r>
            <w:rPr>
              <w:rFonts w:ascii="Cambria Math" w:hAnsi="Cambria Math"/>
            </w:rPr>
            <m:t>  j</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r>
            <m:rPr>
              <m:sty m:val="p"/>
            </m:rPr>
            <w:rPr>
              <w:rFonts w:ascii="Cambria Math" w:hAnsi="Cambria Math"/>
            </w:rPr>
            <m:t>},</m:t>
          </m:r>
        </m:oMath>
      </m:oMathPara>
    </w:p>
    <w:p w14:paraId="47565ECB" w14:textId="77777777" w:rsidR="00A005E1" w:rsidRDefault="00A005E1" w:rsidP="00A005E1">
      <w:pPr>
        <w:spacing w:line="480" w:lineRule="auto"/>
      </w:pPr>
      <w:r>
        <w:t xml:space="preserve">where </w:t>
      </w:r>
      <m:oMath>
        <m:sSub>
          <m:sSubPr>
            <m:ctrlPr>
              <w:rPr>
                <w:rFonts w:ascii="Cambria Math" w:hAnsi="Cambria Math"/>
              </w:rPr>
            </m:ctrlPr>
          </m:sSubPr>
          <m:e>
            <m:r>
              <m:rPr>
                <m:scr m:val="script"/>
                <m:sty m:val="p"/>
              </m:rPr>
              <w:rPr>
                <w:rFonts w:ascii="Cambria Math" w:hAnsi="Cambria Math"/>
              </w:rPr>
              <m:t>Q</m:t>
            </m:r>
          </m:e>
          <m:sub>
            <m:r>
              <w:rPr>
                <w:rFonts w:ascii="Cambria Math" w:hAnsi="Cambria Math"/>
              </w:rPr>
              <m:t>j</m:t>
            </m:r>
          </m:sub>
        </m:sSub>
      </m:oMath>
      <w:r>
        <w:t xml:space="preserve"> denotes the interval corresponding to quartile </w:t>
      </w:r>
      <m:oMath>
        <m:r>
          <w:rPr>
            <w:rFonts w:ascii="Cambria Math" w:hAnsi="Cambria Math"/>
          </w:rPr>
          <m:t>j</m:t>
        </m:r>
      </m:oMath>
      <w:r>
        <w:t>. Taking the second quartile as the empirical lowest-risk reference, estimate:</w:t>
      </w:r>
    </w:p>
    <w:p w14:paraId="577F7A45"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2</m:t>
                      </m:r>
                    </m:e>
                  </m:d>
                </m:sup>
              </m:sSubSup>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it</m:t>
                  </m:r>
                </m:sub>
              </m:sSub>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sSub>
                <m:sSubPr>
                  <m:ctrlPr>
                    <w:rPr>
                      <w:rFonts w:ascii="Cambria Math" w:hAnsi="Cambria Math"/>
                    </w:rPr>
                  </m:ctrlPr>
                </m:sSubPr>
                <m:e>
                  <m:r>
                    <w:rPr>
                      <w:rFonts w:ascii="Cambria Math" w:hAnsi="Cambria Math"/>
                    </w:rPr>
                    <m:t>Q</m:t>
                  </m:r>
                </m:e>
                <m:sub>
                  <m:r>
                    <w:rPr>
                      <w:rFonts w:ascii="Cambria Math" w:hAnsi="Cambria Math"/>
                    </w:rPr>
                    <m:t>1it</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3</m:t>
                  </m:r>
                </m:sub>
              </m:sSub>
              <m:sSub>
                <m:sSubPr>
                  <m:ctrlPr>
                    <w:rPr>
                      <w:rFonts w:ascii="Cambria Math" w:hAnsi="Cambria Math"/>
                    </w:rPr>
                  </m:ctrlPr>
                </m:sSubPr>
                <m:e>
                  <m:r>
                    <w:rPr>
                      <w:rFonts w:ascii="Cambria Math" w:hAnsi="Cambria Math"/>
                    </w:rPr>
                    <m:t>Q</m:t>
                  </m:r>
                </m:e>
                <m:sub>
                  <m:r>
                    <w:rPr>
                      <w:rFonts w:ascii="Cambria Math" w:hAnsi="Cambria Math"/>
                    </w:rPr>
                    <m:t>3it</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4</m:t>
                  </m:r>
                </m:sub>
              </m:sSub>
              <m:sSub>
                <m:sSubPr>
                  <m:ctrlPr>
                    <w:rPr>
                      <w:rFonts w:ascii="Cambria Math" w:hAnsi="Cambria Math"/>
                    </w:rPr>
                  </m:ctrlPr>
                </m:sSubPr>
                <m:e>
                  <m:r>
                    <w:rPr>
                      <w:rFonts w:ascii="Cambria Math" w:hAnsi="Cambria Math"/>
                    </w:rPr>
                    <m:t>Q</m:t>
                  </m:r>
                </m:e>
                <m:sub>
                  <m:r>
                    <w:rPr>
                      <w:rFonts w:ascii="Cambria Math" w:hAnsi="Cambria Math"/>
                    </w:rPr>
                    <m:t>4it</m:t>
                  </m:r>
                </m:sub>
              </m:sSub>
              <m:r>
                <m:rPr>
                  <m:sty m:val="p"/>
                </m:rPr>
                <w:rPr>
                  <w:rFonts w:ascii="Cambria Math" w:hAnsi="Cambria Math"/>
                </w:rPr>
                <m:t>+</m:t>
              </m:r>
              <m:r>
                <w:rPr>
                  <w:rFonts w:ascii="Cambria Math" w:hAnsi="Cambria Math"/>
                </w:rPr>
                <m:t>γ</m:t>
              </m:r>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r>
                <m:rPr>
                  <m:sty m:val="p"/>
                </m:rPr>
                <w:rPr>
                  <w:rFonts w:ascii="Cambria Math" w:hAnsi="Cambria Math"/>
                </w:rPr>
                <m:t>+</m:t>
              </m:r>
              <m:r>
                <m:rPr>
                  <m:sty m:val="b"/>
                </m:rPr>
                <w:rPr>
                  <w:rFonts w:ascii="Cambria Math" w:hAnsi="Cambria Math"/>
                </w:rPr>
                <m:t>δ</m:t>
              </m:r>
              <m:r>
                <m:rPr>
                  <m:sty m:val="p"/>
                </m:rPr>
                <w:rPr>
                  <w:rFonts w:ascii="Cambria Math" w:hAnsi="Cambria Math"/>
                </w:rPr>
                <m:t>'</m:t>
              </m:r>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r>
                <w:rPr>
                  <w:rFonts w:ascii="Cambria Math" w:hAnsi="Cambria Math"/>
                </w:rPr>
                <m:t>ϕAdmRati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e>
          </m:d>
          <m:r>
            <m:rPr>
              <m:sty m:val="p"/>
            </m:rPr>
            <w:rPr>
              <w:rFonts w:ascii="Cambria Math" w:hAnsi="Cambria Math"/>
            </w:rPr>
            <m:t>.</m:t>
          </m:r>
        </m:oMath>
      </m:oMathPara>
    </w:p>
    <w:p w14:paraId="508291D1" w14:textId="77777777" w:rsidR="00A005E1" w:rsidRDefault="00A005E1" w:rsidP="00A005E1">
      <w:pPr>
        <w:spacing w:line="480" w:lineRule="auto"/>
      </w:pPr>
      <w:r>
        <w:t>The odds ratios for each quartile relative to the second quartile are:</w:t>
      </w:r>
    </w:p>
    <w:p w14:paraId="3C20D638" w14:textId="77777777" w:rsidR="00A005E1" w:rsidRDefault="00A005E1" w:rsidP="00A005E1">
      <w:pPr>
        <w:spacing w:line="480" w:lineRule="auto"/>
      </w:pPr>
      <m:oMathPara>
        <m:oMathParaPr>
          <m:jc m:val="center"/>
        </m:oMathParaPr>
        <m:oMath>
          <m:sSub>
            <m:sSubPr>
              <m:ctrlPr>
                <w:rPr>
                  <w:rFonts w:ascii="Cambria Math" w:hAnsi="Cambria Math"/>
                </w:rPr>
              </m:ctrlPr>
            </m:sSubPr>
            <m:e>
              <m:r>
                <m:rPr>
                  <m:sty m:val="p"/>
                </m:rPr>
                <w:rPr>
                  <w:rFonts w:ascii="Cambria Math" w:hAnsi="Cambria Math"/>
                </w:rPr>
                <m:t>OR</m:t>
              </m:r>
            </m:e>
            <m:sub>
              <m:r>
                <w:rPr>
                  <w:rFonts w:ascii="Cambria Math" w:hAnsi="Cambria Math"/>
                </w:rPr>
                <m:t>Qj</m:t>
              </m:r>
              <m:r>
                <m:rPr>
                  <m:sty m:val="p"/>
                </m:rPr>
                <w:rPr>
                  <w:rFonts w:ascii="Cambria Math" w:hAnsi="Cambria Math"/>
                </w:rPr>
                <m:t>:</m:t>
              </m:r>
              <m:r>
                <w:rPr>
                  <w:rFonts w:ascii="Cambria Math" w:hAnsi="Cambria Math"/>
                </w:rPr>
                <m:t>Q2</m:t>
              </m:r>
            </m:sub>
          </m:sSub>
          <m:r>
            <m:rPr>
              <m:sty m:val="p"/>
            </m:rPr>
            <w:rPr>
              <w:rFonts w:ascii="Cambria Math" w:hAnsi="Cambria Math"/>
            </w:rPr>
            <m:t>=exp</m:t>
          </m:r>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j</m:t>
                  </m:r>
                </m:sub>
              </m:sSub>
            </m:e>
          </m:d>
          <m:r>
            <m:rPr>
              <m:sty m:val="p"/>
            </m:rPr>
            <w:rPr>
              <w:rFonts w:ascii="Cambria Math" w:hAnsi="Cambria Math"/>
            </w:rPr>
            <m:t>,</m:t>
          </m:r>
          <m:r>
            <w:rPr>
              <w:rFonts w:ascii="Cambria Math" w:hAnsi="Cambria Math"/>
            </w:rPr>
            <m:t>  j</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r>
            <m:rPr>
              <m:sty m:val="p"/>
            </m:rPr>
            <w:rPr>
              <w:rFonts w:ascii="Cambria Math" w:hAnsi="Cambria Math"/>
            </w:rPr>
            <m:t>}.</m:t>
          </m:r>
        </m:oMath>
      </m:oMathPara>
    </w:p>
    <w:p w14:paraId="52C6ED45" w14:textId="77777777" w:rsidR="00A005E1" w:rsidRDefault="00A005E1" w:rsidP="00A005E1">
      <w:pPr>
        <w:pStyle w:val="Heading3"/>
        <w:spacing w:line="480" w:lineRule="auto"/>
      </w:pPr>
      <w:bookmarkStart w:id="26" w:name="Xf6b628482d22cb5284a5276992936376e62fb60"/>
      <w:bookmarkEnd w:id="25"/>
      <w:r>
        <w:t>Restricted cubic spline and likelihood-ratio test</w:t>
      </w:r>
    </w:p>
    <w:p w14:paraId="3489627C" w14:textId="77777777" w:rsidR="00A005E1" w:rsidRDefault="00A005E1" w:rsidP="00A005E1">
      <w:pPr>
        <w:spacing w:line="480" w:lineRule="auto"/>
      </w:pPr>
      <w:r>
        <w:t>An additional check compares the linear MLR specification with a flexible restricted-cubic-spline form:</w:t>
      </w:r>
    </w:p>
    <w:p w14:paraId="1593F08A" w14:textId="77777777" w:rsidR="00A005E1" w:rsidRDefault="00A005E1" w:rsidP="00A005E1">
      <w:pPr>
        <w:spacing w:line="480" w:lineRule="auto"/>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it</m:t>
              </m:r>
            </m:sub>
            <m:sup>
              <m:r>
                <w:rPr>
                  <w:rFonts w:ascii="Cambria Math" w:hAnsi="Cambria Math"/>
                </w:rPr>
                <m:t>spline</m:t>
              </m:r>
            </m:sup>
          </m:sSubSup>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RCS</m:t>
              </m:r>
            </m:sub>
          </m:sSub>
          <m:d>
            <m:dPr>
              <m:ctrlPr>
                <w:rPr>
                  <w:rFonts w:ascii="Cambria Math" w:hAnsi="Cambria Math"/>
                </w:rPr>
              </m:ctrlPr>
            </m:dPr>
            <m:e>
              <m:sSubSup>
                <m:sSubSupPr>
                  <m:ctrlPr>
                    <w:rPr>
                      <w:rFonts w:ascii="Cambria Math" w:hAnsi="Cambria Math"/>
                    </w:rPr>
                  </m:ctrlPr>
                </m:sSubSupPr>
                <m:e>
                  <m:r>
                    <m:rPr>
                      <m:sty m:val="p"/>
                    </m:rPr>
                    <w:rPr>
                      <w:rFonts w:ascii="Cambria Math" w:hAnsi="Cambria Math"/>
                    </w:rPr>
                    <m:t>MLR</m:t>
                  </m:r>
                </m:e>
                <m:sub>
                  <m:r>
                    <w:rPr>
                      <w:rFonts w:ascii="Cambria Math" w:hAnsi="Cambria Math"/>
                    </w:rPr>
                    <m:t>it</m:t>
                  </m:r>
                </m:sub>
                <m:sup>
                  <m:r>
                    <w:rPr>
                      <w:rFonts w:ascii="Cambria Math" w:hAnsi="Cambria Math"/>
                    </w:rPr>
                    <m:t>W</m:t>
                  </m:r>
                </m:sup>
              </m:sSubSup>
            </m:e>
          </m:d>
          <m:r>
            <m:rPr>
              <m:sty m:val="p"/>
            </m:rPr>
            <w:rPr>
              <w:rFonts w:ascii="Cambria Math" w:hAnsi="Cambria Math"/>
            </w:rPr>
            <m:t>+</m:t>
          </m:r>
          <m:r>
            <w:rPr>
              <w:rFonts w:ascii="Cambria Math" w:hAnsi="Cambria Math"/>
            </w:rPr>
            <m:t>γ</m:t>
          </m:r>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r>
            <m:rPr>
              <m:sty m:val="p"/>
            </m:rPr>
            <w:rPr>
              <w:rFonts w:ascii="Cambria Math" w:hAnsi="Cambria Math"/>
            </w:rPr>
            <m:t>+</m:t>
          </m:r>
          <m:r>
            <m:rPr>
              <m:sty m:val="b"/>
            </m:rPr>
            <w:rPr>
              <w:rFonts w:ascii="Cambria Math" w:hAnsi="Cambria Math"/>
            </w:rPr>
            <m:t>δ</m:t>
          </m:r>
          <m:r>
            <m:rPr>
              <m:sty m:val="p"/>
            </m:rPr>
            <w:rPr>
              <w:rFonts w:ascii="Cambria Math" w:hAnsi="Cambria Math"/>
            </w:rPr>
            <m:t>'</m:t>
          </m:r>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r>
            <w:rPr>
              <w:rFonts w:ascii="Cambria Math" w:hAnsi="Cambria Math"/>
            </w:rPr>
            <m:t>ϕAdmRati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r>
            <m:rPr>
              <m:sty m:val="p"/>
            </m:rPr>
            <w:rPr>
              <w:rFonts w:ascii="Cambria Math" w:hAnsi="Cambria Math"/>
            </w:rPr>
            <m:t>,</m:t>
          </m:r>
        </m:oMath>
      </m:oMathPara>
    </w:p>
    <w:p w14:paraId="677F882A" w14:textId="77777777" w:rsidR="00A005E1" w:rsidRDefault="00A005E1" w:rsidP="00A005E1">
      <w:pPr>
        <w:spacing w:line="480" w:lineRule="auto"/>
      </w:pPr>
      <w:r>
        <w:t xml:space="preserve">where </w:t>
      </w:r>
      <m:oMath>
        <m:sSub>
          <m:sSubPr>
            <m:ctrlPr>
              <w:rPr>
                <w:rFonts w:ascii="Cambria Math" w:hAnsi="Cambria Math"/>
              </w:rPr>
            </m:ctrlPr>
          </m:sSubPr>
          <m:e>
            <m:r>
              <w:rPr>
                <w:rFonts w:ascii="Cambria Math" w:hAnsi="Cambria Math"/>
              </w:rPr>
              <m:t>f</m:t>
            </m:r>
          </m:e>
          <m:sub>
            <m:r>
              <w:rPr>
                <w:rFonts w:ascii="Cambria Math" w:hAnsi="Cambria Math"/>
              </w:rPr>
              <m:t>RCS</m:t>
            </m:r>
          </m:sub>
        </m:sSub>
        <m:d>
          <m:dPr>
            <m:ctrlPr>
              <w:rPr>
                <w:rFonts w:ascii="Cambria Math" w:hAnsi="Cambria Math"/>
              </w:rPr>
            </m:ctrlPr>
          </m:dPr>
          <m:e>
            <m:r>
              <m:rPr>
                <m:sty m:val="p"/>
              </m:rPr>
              <w:rPr>
                <w:rFonts w:ascii="Cambria Math" w:hAnsi="Cambria Math"/>
              </w:rPr>
              <m:t>⋅</m:t>
            </m:r>
          </m:e>
        </m:d>
      </m:oMath>
      <w:r>
        <w:t xml:space="preserve"> represents a restricted cubic spline function. The comparison uses the Akaike information criterion:</w:t>
      </w:r>
    </w:p>
    <w:p w14:paraId="2297AFA4" w14:textId="77777777" w:rsidR="00A005E1" w:rsidRDefault="00A005E1" w:rsidP="00A005E1">
      <w:pPr>
        <w:spacing w:line="480" w:lineRule="auto"/>
      </w:pPr>
      <m:oMathPara>
        <m:oMathParaPr>
          <m:jc m:val="center"/>
        </m:oMathParaPr>
        <m:oMath>
          <m:r>
            <m:rPr>
              <m:sty m:val="p"/>
            </m:rPr>
            <w:rPr>
              <w:rFonts w:ascii="Cambria Math" w:hAnsi="Cambria Math"/>
            </w:rPr>
            <m:t>AIC=</m:t>
          </m:r>
          <m:r>
            <w:rPr>
              <w:rFonts w:ascii="Cambria Math" w:hAnsi="Cambria Math"/>
            </w:rPr>
            <m:t>2K</m:t>
          </m:r>
          <m:r>
            <m:rPr>
              <m:sty m:val="p"/>
            </m:rPr>
            <w:rPr>
              <w:rFonts w:ascii="Cambria Math" w:hAnsi="Cambria Math"/>
            </w:rPr>
            <m:t>-</m:t>
          </m:r>
          <m:r>
            <w:rPr>
              <w:rFonts w:ascii="Cambria Math" w:hAnsi="Cambria Math"/>
            </w:rPr>
            <m:t>2</m:t>
          </m:r>
          <m:r>
            <m:rPr>
              <m:scr m:val="script"/>
              <m:sty m:val="p"/>
            </m:rPr>
            <w:rPr>
              <w:rFonts w:ascii="Cambria Math" w:hAnsi="Cambria Math"/>
            </w:rPr>
            <m:t>l,</m:t>
          </m:r>
        </m:oMath>
      </m:oMathPara>
    </w:p>
    <w:p w14:paraId="3039EE23" w14:textId="77777777" w:rsidR="00A005E1" w:rsidRDefault="00A005E1" w:rsidP="00A005E1">
      <w:pPr>
        <w:spacing w:line="480" w:lineRule="auto"/>
      </w:pPr>
      <w:r>
        <w:lastRenderedPageBreak/>
        <w:t xml:space="preserve">where </w:t>
      </w:r>
      <m:oMath>
        <m:r>
          <w:rPr>
            <w:rFonts w:ascii="Cambria Math" w:hAnsi="Cambria Math"/>
          </w:rPr>
          <m:t>K</m:t>
        </m:r>
      </m:oMath>
      <w:r>
        <w:t xml:space="preserve"> is the number of estimated parameters and </w:t>
      </w:r>
      <m:oMath>
        <m:r>
          <m:rPr>
            <m:scr m:val="script"/>
            <m:sty m:val="p"/>
          </m:rPr>
          <w:rPr>
            <w:rFonts w:ascii="Cambria Math" w:hAnsi="Cambria Math"/>
          </w:rPr>
          <m:t>l</m:t>
        </m:r>
      </m:oMath>
      <w:r>
        <w:t xml:space="preserve"> is the maximized log-likelihood. The likelihood-ratio statistic comparing the models is:</w:t>
      </w:r>
    </w:p>
    <w:p w14:paraId="39717A19" w14:textId="77777777" w:rsidR="00A005E1" w:rsidRDefault="00A005E1" w:rsidP="00A005E1">
      <w:pPr>
        <w:spacing w:line="480" w:lineRule="auto"/>
      </w:pPr>
      <m:oMathPara>
        <m:oMathParaPr>
          <m:jc m:val="center"/>
        </m:oMathParaPr>
        <m:oMath>
          <m:r>
            <w:rPr>
              <w:rFonts w:ascii="Cambria Math" w:hAnsi="Cambria Math"/>
            </w:rPr>
            <m:t>LR</m:t>
          </m:r>
          <m:r>
            <m:rPr>
              <m:sty m:val="p"/>
            </m:rPr>
            <w:rPr>
              <w:rFonts w:ascii="Cambria Math" w:hAnsi="Cambria Math"/>
            </w:rPr>
            <m:t>=</m:t>
          </m:r>
          <m:r>
            <w:rPr>
              <w:rFonts w:ascii="Cambria Math" w:hAnsi="Cambria Math"/>
            </w:rPr>
            <m:t>2</m:t>
          </m:r>
          <m:d>
            <m:dPr>
              <m:ctrlPr>
                <w:rPr>
                  <w:rFonts w:ascii="Cambria Math" w:hAnsi="Cambria Math"/>
                </w:rPr>
              </m:ctrlPr>
            </m:dPr>
            <m:e>
              <m:sSub>
                <m:sSubPr>
                  <m:ctrlPr>
                    <w:rPr>
                      <w:rFonts w:ascii="Cambria Math" w:hAnsi="Cambria Math"/>
                    </w:rPr>
                  </m:ctrlPr>
                </m:sSubPr>
                <m:e>
                  <m:r>
                    <m:rPr>
                      <m:scr m:val="script"/>
                      <m:sty m:val="p"/>
                    </m:rPr>
                    <w:rPr>
                      <w:rFonts w:ascii="Cambria Math" w:hAnsi="Cambria Math"/>
                    </w:rPr>
                    <m:t>l</m:t>
                  </m:r>
                </m:e>
                <m:sub>
                  <m:r>
                    <w:rPr>
                      <w:rFonts w:ascii="Cambria Math" w:hAnsi="Cambria Math"/>
                    </w:rPr>
                    <m:t>spline</m:t>
                  </m:r>
                </m:sub>
              </m:sSub>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l</m:t>
                  </m:r>
                </m:e>
                <m:sub>
                  <m:r>
                    <w:rPr>
                      <w:rFonts w:ascii="Cambria Math" w:hAnsi="Cambria Math"/>
                    </w:rPr>
                    <m:t>linear</m:t>
                  </m:r>
                </m:sub>
              </m:sSub>
            </m:e>
          </m:d>
          <m:r>
            <m:rPr>
              <m:sty m:val="p"/>
            </m:rPr>
            <w:rPr>
              <w:rFonts w:ascii="Cambria Math" w:hAnsi="Cambria Math"/>
            </w:rPr>
            <m:t>∼</m:t>
          </m:r>
          <m:sSubSup>
            <m:sSubSupPr>
              <m:ctrlPr>
                <w:rPr>
                  <w:rFonts w:ascii="Cambria Math" w:hAnsi="Cambria Math"/>
                </w:rPr>
              </m:ctrlPr>
            </m:sSubSupPr>
            <m:e>
              <m:r>
                <w:rPr>
                  <w:rFonts w:ascii="Cambria Math" w:hAnsi="Cambria Math"/>
                </w:rPr>
                <m:t>χ</m:t>
              </m:r>
            </m:e>
            <m:sub>
              <m:r>
                <w:rPr>
                  <w:rFonts w:ascii="Cambria Math" w:hAnsi="Cambria Math"/>
                </w:rPr>
                <m:t>df</m:t>
              </m:r>
            </m:sub>
            <m:sup>
              <m:r>
                <w:rPr>
                  <w:rFonts w:ascii="Cambria Math" w:hAnsi="Cambria Math"/>
                </w:rPr>
                <m:t>2</m:t>
              </m:r>
            </m:sup>
          </m:sSubSup>
          <m:r>
            <m:rPr>
              <m:sty m:val="p"/>
            </m:rPr>
            <w:rPr>
              <w:rFonts w:ascii="Cambria Math" w:hAnsi="Cambria Math"/>
            </w:rPr>
            <m:t>,</m:t>
          </m:r>
        </m:oMath>
      </m:oMathPara>
    </w:p>
    <w:p w14:paraId="5165F290" w14:textId="77777777" w:rsidR="00A005E1" w:rsidRDefault="00A005E1" w:rsidP="00A005E1">
      <w:pPr>
        <w:spacing w:line="480" w:lineRule="auto"/>
      </w:pPr>
      <w:r>
        <w:t xml:space="preserve">with </w:t>
      </w:r>
      <m:oMath>
        <m:r>
          <w:rPr>
            <w:rFonts w:ascii="Cambria Math" w:hAnsi="Cambria Math"/>
          </w:rPr>
          <m:t>df</m:t>
        </m:r>
      </m:oMath>
      <w:r>
        <w:t xml:space="preserve"> equal to the difference in the number of parameters. In the article, the spline specification improves the AIC and rejects the purely linear form, supporting the threshold interpretation.</w:t>
      </w:r>
    </w:p>
    <w:p w14:paraId="4F176437" w14:textId="77777777" w:rsidR="00A005E1" w:rsidRDefault="00A005E1" w:rsidP="00A005E1">
      <w:pPr>
        <w:pStyle w:val="Heading2"/>
        <w:spacing w:line="480" w:lineRule="auto"/>
      </w:pPr>
      <w:bookmarkStart w:id="27" w:name="supplementary-analyses"/>
      <w:bookmarkEnd w:id="24"/>
      <w:bookmarkEnd w:id="26"/>
      <w:r>
        <w:t>Supplementary analyses</w:t>
      </w:r>
    </w:p>
    <w:p w14:paraId="4F6C6D05" w14:textId="77777777" w:rsidR="00A005E1" w:rsidRDefault="00A005E1" w:rsidP="00A005E1">
      <w:pPr>
        <w:pStyle w:val="Heading3"/>
        <w:spacing w:line="480" w:lineRule="auto"/>
      </w:pPr>
      <w:bookmarkStart w:id="28" w:name="equity-based-outcomes"/>
      <w:r>
        <w:t>Equity-based outcomes</w:t>
      </w:r>
    </w:p>
    <w:p w14:paraId="0D9F26E5" w14:textId="77777777" w:rsidR="00A005E1" w:rsidRDefault="00A005E1" w:rsidP="00A005E1">
      <w:pPr>
        <w:spacing w:line="480" w:lineRule="auto"/>
      </w:pPr>
      <w:r>
        <w:t>With equity restored from account 25, two additional outcomes are tested:</w:t>
      </w:r>
    </w:p>
    <w:p w14:paraId="2DA3DD02"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r>
                      <w:rPr>
                        <w:rFonts w:ascii="Cambria Math" w:hAnsi="Cambria Math"/>
                      </w:rPr>
                      <m:t>F3</m:t>
                    </m:r>
                  </m:sup>
                </m:sSubSup>
              </m:e>
              <m:e>
                <m:r>
                  <m:rPr>
                    <m:sty m:val="p"/>
                  </m:rPr>
                  <w:rPr>
                    <w:rFonts w:ascii="Cambria Math" w:hAnsi="Cambria Math"/>
                  </w:rPr>
                  <m:t>=</m:t>
                </m:r>
                <m:sSubSup>
                  <m:sSubSupPr>
                    <m:ctrlPr>
                      <w:rPr>
                        <w:rFonts w:ascii="Cambria Math" w:hAnsi="Cambria Math"/>
                      </w:rPr>
                    </m:ctrlPr>
                  </m:sSubSup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3</m:t>
                        </m:r>
                      </m:e>
                    </m:d>
                  </m:sup>
                </m:sSubSup>
                <m:r>
                  <m:rPr>
                    <m:sty m:val="p"/>
                  </m:rPr>
                  <w:rPr>
                    <w:rFonts w:ascii="Cambria Math" w:hAnsi="Cambria Math"/>
                  </w:rPr>
                  <m:t>,</m:t>
                </m:r>
              </m:e>
            </m:mr>
            <m:m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r>
                      <w:rPr>
                        <w:rFonts w:ascii="Cambria Math" w:hAnsi="Cambria Math"/>
                      </w:rPr>
                      <m:t>NE</m:t>
                    </m:r>
                  </m:sup>
                </m:sSubSup>
              </m:e>
              <m:e>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E</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r>
                  <m:rPr>
                    <m:sty m:val="p"/>
                  </m:rPr>
                  <w:rPr>
                    <w:rFonts w:ascii="Cambria Math" w:hAnsi="Cambria Math"/>
                  </w:rPr>
                  <m:t>.</m:t>
                </m:r>
              </m:e>
            </m:mr>
          </m:m>
        </m:oMath>
      </m:oMathPara>
    </w:p>
    <w:p w14:paraId="026269F3" w14:textId="77777777" w:rsidR="00A005E1" w:rsidRDefault="00A005E1" w:rsidP="00A005E1">
      <w:pPr>
        <w:spacing w:line="480" w:lineRule="auto"/>
      </w:pPr>
      <w:r>
        <w:t>These models assess whether high claims ratios predict not only operating and liquidity weakness but also patrimonial insufficiency.</w:t>
      </w:r>
    </w:p>
    <w:p w14:paraId="1487490D" w14:textId="77777777" w:rsidR="00A005E1" w:rsidRDefault="00A005E1" w:rsidP="00A005E1">
      <w:pPr>
        <w:pStyle w:val="Heading3"/>
        <w:spacing w:line="480" w:lineRule="auto"/>
      </w:pPr>
      <w:bookmarkStart w:id="29" w:name="robustness-to-the-pandemic-period"/>
      <w:bookmarkEnd w:id="28"/>
      <w:r>
        <w:t>Robustness to the pandemic period</w:t>
      </w:r>
    </w:p>
    <w:p w14:paraId="250A2CED" w14:textId="77777777" w:rsidR="00A005E1" w:rsidRDefault="00A005E1" w:rsidP="00A005E1">
      <w:pPr>
        <w:spacing w:line="480" w:lineRule="auto"/>
      </w:pPr>
      <w:r>
        <w:t>To assess whether the association depends on the pandemic period, the main model is estimated in subsets excluding affected years:</w:t>
      </w:r>
    </w:p>
    <w:p w14:paraId="126A493B"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cr m:val="script"/>
                        <m:sty m:val="p"/>
                      </m:rPr>
                      <w:rPr>
                        <w:rFonts w:ascii="Cambria Math" w:hAnsi="Cambria Math"/>
                      </w:rPr>
                      <m:t>T</m:t>
                    </m:r>
                  </m:e>
                  <m:sub>
                    <m:r>
                      <m:rPr>
                        <m:sty m:val="p"/>
                      </m:rPr>
                      <w:rPr>
                        <w:rFonts w:ascii="Cambria Math" w:hAnsi="Cambria Math"/>
                      </w:rPr>
                      <m:t>-</m:t>
                    </m:r>
                    <m:r>
                      <w:rPr>
                        <w:rFonts w:ascii="Cambria Math" w:hAnsi="Cambria Math"/>
                      </w:rPr>
                      <m:t>2020</m:t>
                    </m:r>
                    <m:r>
                      <m:rPr>
                        <m:sty m:val="p"/>
                      </m:rPr>
                      <w:rPr>
                        <w:rFonts w:ascii="Cambria Math" w:hAnsi="Cambria Math"/>
                      </w:rPr>
                      <m:t>/</m:t>
                    </m:r>
                    <m:r>
                      <w:rPr>
                        <w:rFonts w:ascii="Cambria Math" w:hAnsi="Cambria Math"/>
                      </w:rPr>
                      <m:t>2021</m:t>
                    </m:r>
                  </m:sub>
                </m:sSub>
              </m:e>
              <m:e>
                <m:r>
                  <m:rPr>
                    <m:scr m:val="script"/>
                    <m:sty m:val="p"/>
                  </m:rPr>
                  <w:rPr>
                    <w:rFonts w:ascii="Cambria Math" w:hAnsi="Cambria Math"/>
                  </w:rPr>
                  <m:t>=T\{</m:t>
                </m:r>
                <m:r>
                  <w:rPr>
                    <w:rFonts w:ascii="Cambria Math" w:hAnsi="Cambria Math"/>
                  </w:rPr>
                  <m:t>2020</m:t>
                </m:r>
                <m:r>
                  <m:rPr>
                    <m:sty m:val="p"/>
                  </m:rPr>
                  <w:rPr>
                    <w:rFonts w:ascii="Cambria Math" w:hAnsi="Cambria Math"/>
                  </w:rPr>
                  <m:t>,</m:t>
                </m:r>
                <m:r>
                  <w:rPr>
                    <w:rFonts w:ascii="Cambria Math" w:hAnsi="Cambria Math"/>
                  </w:rPr>
                  <m:t>2021</m:t>
                </m:r>
                <m:r>
                  <m:rPr>
                    <m:sty m:val="p"/>
                  </m:rPr>
                  <w:rPr>
                    <w:rFonts w:ascii="Cambria Math" w:hAnsi="Cambria Math"/>
                  </w:rPr>
                  <m:t>},</m:t>
                </m:r>
              </m:e>
            </m:mr>
            <m:mr>
              <m:e>
                <m:sSub>
                  <m:sSubPr>
                    <m:ctrlPr>
                      <w:rPr>
                        <w:rFonts w:ascii="Cambria Math" w:hAnsi="Cambria Math"/>
                      </w:rPr>
                    </m:ctrlPr>
                  </m:sSubPr>
                  <m:e>
                    <m:r>
                      <m:rPr>
                        <m:scr m:val="script"/>
                        <m:sty m:val="p"/>
                      </m:rPr>
                      <w:rPr>
                        <w:rFonts w:ascii="Cambria Math" w:hAnsi="Cambria Math"/>
                      </w:rPr>
                      <m:t>T</m:t>
                    </m:r>
                  </m:e>
                  <m:sub>
                    <m:r>
                      <m:rPr>
                        <m:sty m:val="p"/>
                      </m:rPr>
                      <w:rPr>
                        <w:rFonts w:ascii="Cambria Math" w:hAnsi="Cambria Math"/>
                      </w:rPr>
                      <m:t>-</m:t>
                    </m:r>
                    <m:r>
                      <w:rPr>
                        <w:rFonts w:ascii="Cambria Math" w:hAnsi="Cambria Math"/>
                      </w:rPr>
                      <m:t>2020</m:t>
                    </m:r>
                    <m:r>
                      <m:rPr>
                        <m:sty m:val="p"/>
                      </m:rPr>
                      <w:rPr>
                        <w:rFonts w:ascii="Cambria Math" w:hAnsi="Cambria Math"/>
                      </w:rPr>
                      <m:t>/</m:t>
                    </m:r>
                    <m:r>
                      <w:rPr>
                        <w:rFonts w:ascii="Cambria Math" w:hAnsi="Cambria Math"/>
                      </w:rPr>
                      <m:t>2022</m:t>
                    </m:r>
                  </m:sub>
                </m:sSub>
              </m:e>
              <m:e>
                <m:r>
                  <m:rPr>
                    <m:scr m:val="script"/>
                    <m:sty m:val="p"/>
                  </m:rPr>
                  <w:rPr>
                    <w:rFonts w:ascii="Cambria Math" w:hAnsi="Cambria Math"/>
                  </w:rPr>
                  <m:t>=T\{</m:t>
                </m:r>
                <m:r>
                  <w:rPr>
                    <w:rFonts w:ascii="Cambria Math" w:hAnsi="Cambria Math"/>
                  </w:rPr>
                  <m:t>2020</m:t>
                </m:r>
                <m:r>
                  <m:rPr>
                    <m:sty m:val="p"/>
                  </m:rPr>
                  <w:rPr>
                    <w:rFonts w:ascii="Cambria Math" w:hAnsi="Cambria Math"/>
                  </w:rPr>
                  <m:t>,</m:t>
                </m:r>
                <m:r>
                  <w:rPr>
                    <w:rFonts w:ascii="Cambria Math" w:hAnsi="Cambria Math"/>
                  </w:rPr>
                  <m:t>2021</m:t>
                </m:r>
                <m:r>
                  <m:rPr>
                    <m:sty m:val="p"/>
                  </m:rPr>
                  <w:rPr>
                    <w:rFonts w:ascii="Cambria Math" w:hAnsi="Cambria Math"/>
                  </w:rPr>
                  <m:t>,</m:t>
                </m:r>
                <m:r>
                  <w:rPr>
                    <w:rFonts w:ascii="Cambria Math" w:hAnsi="Cambria Math"/>
                  </w:rPr>
                  <m:t>2022</m:t>
                </m:r>
                <m:r>
                  <m:rPr>
                    <m:sty m:val="p"/>
                  </m:rPr>
                  <w:rPr>
                    <w:rFonts w:ascii="Cambria Math" w:hAnsi="Cambria Math"/>
                  </w:rPr>
                  <m:t>}.</m:t>
                </m:r>
              </m:e>
            </m:mr>
          </m:m>
        </m:oMath>
      </m:oMathPara>
    </w:p>
    <w:p w14:paraId="12881AB4" w14:textId="77777777" w:rsidR="00A005E1" w:rsidRDefault="00A005E1" w:rsidP="00A005E1">
      <w:pPr>
        <w:spacing w:line="480" w:lineRule="auto"/>
      </w:pPr>
      <w:r>
        <w:t>An interaction between high MLR and the post-2020 period may also be included:</w:t>
      </w:r>
    </w:p>
    <w:p w14:paraId="0A751CB2"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2</m:t>
                      </m:r>
                    </m:e>
                  </m:d>
                </m:sup>
              </m:sSub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θ</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ψPost</m:t>
              </m:r>
              <m:sSub>
                <m:sSubPr>
                  <m:ctrlPr>
                    <w:rPr>
                      <w:rFonts w:ascii="Cambria Math" w:hAnsi="Cambria Math"/>
                    </w:rPr>
                  </m:ctrlPr>
                </m:sSubPr>
                <m:e>
                  <m:r>
                    <w:rPr>
                      <w:rFonts w:ascii="Cambria Math" w:hAnsi="Cambria Math"/>
                    </w:rPr>
                    <m:t>2020</m:t>
                  </m:r>
                </m:e>
                <m:sub>
                  <m:r>
                    <w:rPr>
                      <w:rFonts w:ascii="Cambria Math" w:hAnsi="Cambria Math"/>
                    </w:rPr>
                    <m:t>t</m:t>
                  </m:r>
                </m:sub>
              </m:sSub>
              <m:r>
                <m:rPr>
                  <m:sty m:val="p"/>
                </m:rPr>
                <w:rPr>
                  <w:rFonts w:ascii="Cambria Math" w:hAnsi="Cambria Math"/>
                </w:rPr>
                <m:t>+</m:t>
              </m:r>
              <m:r>
                <w:rPr>
                  <w:rFonts w:ascii="Cambria Math" w:hAnsi="Cambria Math"/>
                </w:rPr>
                <m:t>ω</m:t>
              </m:r>
              <m:d>
                <m:dPr>
                  <m:ctrlPr>
                    <w:rPr>
                      <w:rFonts w:ascii="Cambria Math" w:hAnsi="Cambria Math"/>
                    </w:rPr>
                  </m:ctrlPr>
                </m:dPr>
                <m:e>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Post</m:t>
                  </m:r>
                  <m:sSub>
                    <m:sSubPr>
                      <m:ctrlPr>
                        <w:rPr>
                          <w:rFonts w:ascii="Cambria Math" w:hAnsi="Cambria Math"/>
                        </w:rPr>
                      </m:ctrlPr>
                    </m:sSubPr>
                    <m:e>
                      <m:r>
                        <w:rPr>
                          <w:rFonts w:ascii="Cambria Math" w:hAnsi="Cambria Math"/>
                        </w:rPr>
                        <m:t>2020</m:t>
                      </m:r>
                    </m:e>
                    <m:sub>
                      <m:r>
                        <w:rPr>
                          <w:rFonts w:ascii="Cambria Math" w:hAnsi="Cambria Math"/>
                        </w:rPr>
                        <m:t>t</m:t>
                      </m:r>
                    </m:sub>
                  </m:sSub>
                </m:e>
              </m:d>
              <m:r>
                <m:rPr>
                  <m:sty m:val="p"/>
                </m:rPr>
                <w:rPr>
                  <w:rFonts w:ascii="Cambria Math" w:hAnsi="Cambria Math"/>
                </w:rPr>
                <m:t>+</m:t>
              </m:r>
              <m:r>
                <w:rPr>
                  <w:rFonts w:ascii="Cambria Math" w:hAnsi="Cambria Math"/>
                </w:rPr>
                <m:t>Control</m:t>
              </m:r>
              <m:sSub>
                <m:sSubPr>
                  <m:ctrlPr>
                    <w:rPr>
                      <w:rFonts w:ascii="Cambria Math" w:hAnsi="Cambria Math"/>
                    </w:rPr>
                  </m:ctrlPr>
                </m:sSubPr>
                <m:e>
                  <m:r>
                    <w:rPr>
                      <w:rFonts w:ascii="Cambria Math" w:hAnsi="Cambria Math"/>
                    </w:rPr>
                    <m:t>s</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e>
          </m:d>
          <m:r>
            <m:rPr>
              <m:sty m:val="p"/>
            </m:rPr>
            <w:rPr>
              <w:rFonts w:ascii="Cambria Math" w:hAnsi="Cambria Math"/>
            </w:rPr>
            <m:t>.</m:t>
          </m:r>
        </m:oMath>
      </m:oMathPara>
    </w:p>
    <w:p w14:paraId="49DAA012" w14:textId="77777777" w:rsidR="00A005E1" w:rsidRDefault="00A005E1" w:rsidP="00A005E1">
      <w:pPr>
        <w:pStyle w:val="Heading3"/>
        <w:spacing w:line="480" w:lineRule="auto"/>
      </w:pPr>
      <w:bookmarkStart w:id="30" w:name="Xd6233b492045784d18359a19e0023367c36e315"/>
      <w:bookmarkEnd w:id="29"/>
      <w:r>
        <w:t>Within–between decomposition: Mundlak specification</w:t>
      </w:r>
    </w:p>
    <w:p w14:paraId="633BB059" w14:textId="77777777" w:rsidR="00A005E1" w:rsidRDefault="00A005E1" w:rsidP="00A005E1">
      <w:pPr>
        <w:spacing w:line="480" w:lineRule="auto"/>
      </w:pPr>
      <w:r>
        <w:t>To distinguish between-operator variation from within-operator variation over time, define the operator-level mean of the standardized MLR:</w:t>
      </w:r>
    </w:p>
    <w:p w14:paraId="03E9300F" w14:textId="77777777" w:rsidR="00A005E1" w:rsidRDefault="00A005E1" w:rsidP="00A005E1">
      <w:pPr>
        <w:spacing w:line="480" w:lineRule="auto"/>
      </w:pPr>
      <m:oMathPara>
        <m:oMathParaPr>
          <m:jc m:val="center"/>
        </m:oMathParaPr>
        <m:oMath>
          <m:sSubSup>
            <m:sSubSupPr>
              <m:ctrlPr>
                <w:rPr>
                  <w:rFonts w:ascii="Cambria Math" w:hAnsi="Cambria Math"/>
                </w:rPr>
              </m:ctrlPr>
            </m:sSubSupPr>
            <m:e>
              <m:bar>
                <m:barPr>
                  <m:pos m:val="top"/>
                  <m:ctrlPr>
                    <w:rPr>
                      <w:rFonts w:ascii="Cambria Math" w:hAnsi="Cambria Math"/>
                    </w:rPr>
                  </m:ctrlPr>
                </m:barPr>
                <m:e>
                  <m:r>
                    <w:rPr>
                      <w:rFonts w:ascii="Cambria Math" w:hAnsi="Cambria Math"/>
                    </w:rPr>
                    <m:t>Z</m:t>
                  </m:r>
                </m:e>
              </m:bar>
            </m:e>
            <m:sub>
              <m:r>
                <w:rPr>
                  <w:rFonts w:ascii="Cambria Math" w:hAnsi="Cambria Math"/>
                </w:rPr>
                <m:t>i</m:t>
              </m:r>
            </m:sub>
            <m:sup>
              <m:r>
                <m:rPr>
                  <m:sty m:val="p"/>
                </m:rPr>
                <w:rPr>
                  <w:rFonts w:ascii="Cambria Math" w:hAnsi="Cambria Math"/>
                </w:rPr>
                <m:t>MLR</m:t>
              </m:r>
            </m:sup>
          </m:sSubSup>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i</m:t>
                  </m:r>
                </m:sub>
              </m:sSub>
            </m:den>
          </m:f>
          <m:nary>
            <m:naryPr>
              <m:chr m:val="∑"/>
              <m:limLoc m:val="undOvr"/>
              <m:supHide m:val="1"/>
              <m:ctrlPr>
                <w:rPr>
                  <w:rFonts w:ascii="Cambria Math" w:hAnsi="Cambria Math"/>
                </w:rPr>
              </m:ctrlPr>
            </m:naryPr>
            <m:sub>
              <m:r>
                <w:rPr>
                  <w:rFonts w:ascii="Cambria Math" w:hAnsi="Cambria Math"/>
                </w:rPr>
                <m:t>t</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T</m:t>
                  </m:r>
                </m:e>
                <m:sub>
                  <m:r>
                    <w:rPr>
                      <w:rFonts w:ascii="Cambria Math" w:hAnsi="Cambria Math"/>
                    </w:rPr>
                    <m:t>i</m:t>
                  </m:r>
                </m:sub>
              </m:sSub>
            </m:sub>
            <m:sup>
              <m:r>
                <w:rPr>
                  <w:rFonts w:ascii="Cambria Math" w:hAnsi="Cambria Math"/>
                </w:rPr>
                <m:t>​</m:t>
              </m:r>
            </m:sup>
            <m:e>
              <m:sSubSup>
                <m:sSubSupPr>
                  <m:ctrlPr>
                    <w:rPr>
                      <w:rFonts w:ascii="Cambria Math" w:hAnsi="Cambria Math"/>
                    </w:rPr>
                  </m:ctrlPr>
                </m:sSubSupPr>
                <m:e>
                  <m:r>
                    <w:rPr>
                      <w:rFonts w:ascii="Cambria Math" w:hAnsi="Cambria Math"/>
                    </w:rPr>
                    <m:t>Z</m:t>
                  </m:r>
                </m:e>
                <m:sub>
                  <m:r>
                    <w:rPr>
                      <w:rFonts w:ascii="Cambria Math" w:hAnsi="Cambria Math"/>
                    </w:rPr>
                    <m:t>it</m:t>
                  </m:r>
                </m:sub>
                <m:sup>
                  <m:r>
                    <m:rPr>
                      <m:sty m:val="p"/>
                    </m:rPr>
                    <w:rPr>
                      <w:rFonts w:ascii="Cambria Math" w:hAnsi="Cambria Math"/>
                    </w:rPr>
                    <m:t>MLR</m:t>
                  </m:r>
                </m:sup>
              </m:sSubSup>
            </m:e>
          </m:nary>
          <m:r>
            <m:rPr>
              <m:sty m:val="p"/>
            </m:rPr>
            <w:rPr>
              <w:rFonts w:ascii="Cambria Math" w:hAnsi="Cambria Math"/>
            </w:rPr>
            <m:t>,</m:t>
          </m:r>
        </m:oMath>
      </m:oMathPara>
    </w:p>
    <w:p w14:paraId="23E56E3E" w14:textId="77777777" w:rsidR="00A005E1" w:rsidRDefault="00A005E1" w:rsidP="00A005E1">
      <w:pPr>
        <w:spacing w:line="480" w:lineRule="auto"/>
      </w:pPr>
      <w:r>
        <w:t xml:space="preserve">where </w:t>
      </w:r>
      <m:oMath>
        <m:sSub>
          <m:sSubPr>
            <m:ctrlPr>
              <w:rPr>
                <w:rFonts w:ascii="Cambria Math" w:hAnsi="Cambria Math"/>
              </w:rPr>
            </m:ctrlPr>
          </m:sSubPr>
          <m:e>
            <m:r>
              <w:rPr>
                <w:rFonts w:ascii="Cambria Math" w:hAnsi="Cambria Math"/>
              </w:rPr>
              <m:t>T</m:t>
            </m:r>
          </m:e>
          <m:sub>
            <m:r>
              <w:rPr>
                <w:rFonts w:ascii="Cambria Math" w:hAnsi="Cambria Math"/>
              </w:rPr>
              <m:t>i</m:t>
            </m:r>
          </m:sub>
        </m:sSub>
      </m:oMath>
      <w:r>
        <w:t xml:space="preserve"> is the number of observed years for operator </w:t>
      </w:r>
      <m:oMath>
        <m:r>
          <w:rPr>
            <w:rFonts w:ascii="Cambria Math" w:hAnsi="Cambria Math"/>
          </w:rPr>
          <m:t>i</m:t>
        </m:r>
      </m:oMath>
      <w:r>
        <w:t>. The within-operator deviation is:</w:t>
      </w:r>
    </w:p>
    <w:p w14:paraId="33C2FC3E" w14:textId="77777777" w:rsidR="00A005E1" w:rsidRDefault="00A005E1" w:rsidP="00A005E1">
      <w:pPr>
        <w:spacing w:line="480" w:lineRule="auto"/>
      </w:pPr>
      <m:oMathPara>
        <m:oMathParaPr>
          <m:jc m:val="center"/>
        </m:oMathPara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Z</m:t>
                  </m:r>
                </m:e>
              </m:acc>
            </m:e>
            <m:sub>
              <m:r>
                <w:rPr>
                  <w:rFonts w:ascii="Cambria Math" w:hAnsi="Cambria Math"/>
                </w:rPr>
                <m:t>it</m:t>
              </m:r>
            </m:sub>
            <m:sup>
              <m:r>
                <m:rPr>
                  <m:sty m:val="p"/>
                </m:rPr>
                <w:rPr>
                  <w:rFonts w:ascii="Cambria Math" w:hAnsi="Cambria Math"/>
                </w:rPr>
                <m:t>MLR</m:t>
              </m:r>
            </m:sup>
          </m:sSubSup>
          <m:r>
            <m:rPr>
              <m:sty m:val="p"/>
            </m:rP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it</m:t>
              </m:r>
            </m:sub>
            <m:sup>
              <m:r>
                <m:rPr>
                  <m:sty m:val="p"/>
                </m:rPr>
                <w:rPr>
                  <w:rFonts w:ascii="Cambria Math" w:hAnsi="Cambria Math"/>
                </w:rPr>
                <m:t>MLR</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Z</m:t>
                  </m:r>
                </m:e>
              </m:bar>
            </m:e>
            <m:sub>
              <m:r>
                <w:rPr>
                  <w:rFonts w:ascii="Cambria Math" w:hAnsi="Cambria Math"/>
                </w:rPr>
                <m:t>i</m:t>
              </m:r>
            </m:sub>
            <m:sup>
              <m:r>
                <m:rPr>
                  <m:sty m:val="p"/>
                </m:rPr>
                <w:rPr>
                  <w:rFonts w:ascii="Cambria Math" w:hAnsi="Cambria Math"/>
                </w:rPr>
                <m:t>MLR</m:t>
              </m:r>
            </m:sup>
          </m:sSubSup>
          <m:r>
            <m:rPr>
              <m:sty m:val="p"/>
            </m:rPr>
            <w:rPr>
              <w:rFonts w:ascii="Cambria Math" w:hAnsi="Cambria Math"/>
            </w:rPr>
            <m:t>.</m:t>
          </m:r>
        </m:oMath>
      </m:oMathPara>
    </w:p>
    <w:p w14:paraId="5A53A772" w14:textId="77777777" w:rsidR="00A005E1" w:rsidRDefault="00A005E1" w:rsidP="00A005E1">
      <w:pPr>
        <w:spacing w:line="480" w:lineRule="auto"/>
      </w:pPr>
      <w:r>
        <w:t>The Mundlak specification is:</w:t>
      </w:r>
    </w:p>
    <w:p w14:paraId="564BA0D9"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2</m:t>
                      </m:r>
                    </m:e>
                  </m:d>
                </m:sup>
              </m:sSub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B</m:t>
                  </m:r>
                </m:sub>
              </m:sSub>
              <m:sSubSup>
                <m:sSubSupPr>
                  <m:ctrlPr>
                    <w:rPr>
                      <w:rFonts w:ascii="Cambria Math" w:hAnsi="Cambria Math"/>
                    </w:rPr>
                  </m:ctrlPr>
                </m:sSubSupPr>
                <m:e>
                  <m:bar>
                    <m:barPr>
                      <m:pos m:val="top"/>
                      <m:ctrlPr>
                        <w:rPr>
                          <w:rFonts w:ascii="Cambria Math" w:hAnsi="Cambria Math"/>
                        </w:rPr>
                      </m:ctrlPr>
                    </m:barPr>
                    <m:e>
                      <m:r>
                        <w:rPr>
                          <w:rFonts w:ascii="Cambria Math" w:hAnsi="Cambria Math"/>
                        </w:rPr>
                        <m:t>Z</m:t>
                      </m:r>
                    </m:e>
                  </m:bar>
                </m:e>
                <m:sub>
                  <m:r>
                    <w:rPr>
                      <w:rFonts w:ascii="Cambria Math" w:hAnsi="Cambria Math"/>
                    </w:rPr>
                    <m:t>i</m:t>
                  </m:r>
                </m:sub>
                <m:sup>
                  <m:r>
                    <m:rPr>
                      <m:sty m:val="p"/>
                    </m:rPr>
                    <w:rPr>
                      <w:rFonts w:ascii="Cambria Math" w:hAnsi="Cambria Math"/>
                    </w:rPr>
                    <m:t>MLR</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W</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Z</m:t>
                      </m:r>
                    </m:e>
                  </m:acc>
                </m:e>
                <m:sub>
                  <m:r>
                    <w:rPr>
                      <w:rFonts w:ascii="Cambria Math" w:hAnsi="Cambria Math"/>
                    </w:rPr>
                    <m:t>it</m:t>
                  </m:r>
                </m:sub>
                <m:sup>
                  <m:r>
                    <m:rPr>
                      <m:sty m:val="p"/>
                    </m:rPr>
                    <w:rPr>
                      <w:rFonts w:ascii="Cambria Math" w:hAnsi="Cambria Math"/>
                    </w:rPr>
                    <m:t>MLR</m:t>
                  </m:r>
                </m:sup>
              </m:sSubSup>
              <m:r>
                <m:rPr>
                  <m:sty m:val="p"/>
                </m:rPr>
                <w:rPr>
                  <w:rFonts w:ascii="Cambria Math" w:hAnsi="Cambria Math"/>
                </w:rPr>
                <m:t>+</m:t>
              </m:r>
              <m:r>
                <w:rPr>
                  <w:rFonts w:ascii="Cambria Math" w:hAnsi="Cambria Math"/>
                </w:rPr>
                <m:t>Control</m:t>
              </m:r>
              <m:sSub>
                <m:sSubPr>
                  <m:ctrlPr>
                    <w:rPr>
                      <w:rFonts w:ascii="Cambria Math" w:hAnsi="Cambria Math"/>
                    </w:rPr>
                  </m:ctrlPr>
                </m:sSubPr>
                <m:e>
                  <m:r>
                    <w:rPr>
                      <w:rFonts w:ascii="Cambria Math" w:hAnsi="Cambria Math"/>
                    </w:rPr>
                    <m:t>s</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e>
          </m:d>
          <m:r>
            <m:rPr>
              <m:sty m:val="p"/>
            </m:rPr>
            <w:rPr>
              <w:rFonts w:ascii="Cambria Math" w:hAnsi="Cambria Math"/>
            </w:rPr>
            <m:t>.</m:t>
          </m:r>
        </m:oMath>
      </m:oMathPara>
    </w:p>
    <w:p w14:paraId="2E6675E8" w14:textId="77777777" w:rsidR="00A005E1" w:rsidRDefault="00A005E1" w:rsidP="00A005E1">
      <w:pPr>
        <w:spacing w:line="480" w:lineRule="auto"/>
      </w:pPr>
      <w:r>
        <w:t xml:space="preserve">In this formulation, </w:t>
      </w:r>
      <m:oMath>
        <m:sSub>
          <m:sSubPr>
            <m:ctrlPr>
              <w:rPr>
                <w:rFonts w:ascii="Cambria Math" w:hAnsi="Cambria Math"/>
              </w:rPr>
            </m:ctrlPr>
          </m:sSubPr>
          <m:e>
            <m:r>
              <w:rPr>
                <w:rFonts w:ascii="Cambria Math" w:hAnsi="Cambria Math"/>
              </w:rPr>
              <m:t>β</m:t>
            </m:r>
          </m:e>
          <m:sub>
            <m:r>
              <w:rPr>
                <w:rFonts w:ascii="Cambria Math" w:hAnsi="Cambria Math"/>
              </w:rPr>
              <m:t>B</m:t>
            </m:r>
          </m:sub>
        </m:sSub>
      </m:oMath>
      <w:r>
        <w:t xml:space="preserve"> captures structural differences between operators with higher or lower average MLR, while </w:t>
      </w:r>
      <m:oMath>
        <m:sSub>
          <m:sSubPr>
            <m:ctrlPr>
              <w:rPr>
                <w:rFonts w:ascii="Cambria Math" w:hAnsi="Cambria Math"/>
              </w:rPr>
            </m:ctrlPr>
          </m:sSubPr>
          <m:e>
            <m:r>
              <w:rPr>
                <w:rFonts w:ascii="Cambria Math" w:hAnsi="Cambria Math"/>
              </w:rPr>
              <m:t>β</m:t>
            </m:r>
          </m:e>
          <m:sub>
            <m:r>
              <w:rPr>
                <w:rFonts w:ascii="Cambria Math" w:hAnsi="Cambria Math"/>
              </w:rPr>
              <m:t>W</m:t>
            </m:r>
          </m:sub>
        </m:sSub>
      </m:oMath>
      <w:r>
        <w:t xml:space="preserve"> captures temporary deviations of an operator from its own mean.</w:t>
      </w:r>
    </w:p>
    <w:p w14:paraId="2BC60D4A" w14:textId="77777777" w:rsidR="00A005E1" w:rsidRDefault="00A005E1" w:rsidP="00A005E1">
      <w:pPr>
        <w:pStyle w:val="Heading3"/>
        <w:spacing w:line="480" w:lineRule="auto"/>
      </w:pPr>
      <w:bookmarkStart w:id="31" w:name="X54623d83cedde4bd8d1cada957f40a6eddb4648"/>
      <w:bookmarkEnd w:id="30"/>
      <w:r>
        <w:t>Alternative control for beneficiary scale</w:t>
      </w:r>
    </w:p>
    <w:p w14:paraId="67F898B6" w14:textId="77777777" w:rsidR="00A005E1" w:rsidRDefault="00A005E1" w:rsidP="00A005E1">
      <w:pPr>
        <w:spacing w:line="480" w:lineRule="auto"/>
      </w:pPr>
      <w:r>
        <w:t xml:space="preserve">As an alternative scale control, </w:t>
      </w:r>
      <m:oMath>
        <m:r>
          <m:rPr>
            <m:sty m:val="p"/>
          </m:rPr>
          <w:rPr>
            <w:rFonts w:ascii="Cambria Math" w:hAnsi="Cambria Math"/>
          </w:rPr>
          <m:t>ln</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it</m:t>
                </m:r>
              </m:sub>
              <m:sup>
                <m:r>
                  <w:rPr>
                    <w:rFonts w:ascii="Cambria Math" w:hAnsi="Cambria Math"/>
                  </w:rPr>
                  <m:t>311</m:t>
                </m:r>
              </m:sup>
            </m:sSubSup>
          </m:e>
        </m:d>
      </m:oMath>
      <w:r>
        <w:t xml:space="preserve"> is replaced by beneficiaries:</w:t>
      </w:r>
    </w:p>
    <w:p w14:paraId="47076D3C"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up>
                  <m:r>
                    <w:rPr>
                      <w:rFonts w:ascii="Cambria Math" w:hAnsi="Cambria Math"/>
                    </w:rPr>
                    <m:t>k</m:t>
                  </m:r>
                </m:sup>
              </m:sSub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Λ</m:t>
          </m:r>
          <m:d>
            <m:dPr>
              <m:ctrlPr>
                <w:rPr>
                  <w:rFonts w:ascii="Cambria Math" w:hAnsi="Cambria Math"/>
                </w:rPr>
              </m:ctrlPr>
            </m:dPr>
            <m:e>
              <m:sSup>
                <m:sSupPr>
                  <m:ctrlPr>
                    <w:rPr>
                      <w:rFonts w:ascii="Cambria Math" w:hAnsi="Cambria Math"/>
                    </w:rPr>
                  </m:ctrlPr>
                </m:sSupPr>
                <m:e>
                  <m:r>
                    <w:rPr>
                      <w:rFonts w:ascii="Cambria Math" w:hAnsi="Cambria Math"/>
                    </w:rPr>
                    <m:t>α</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θ</m:t>
                  </m:r>
                </m:e>
                <m:sup>
                  <m:r>
                    <w:rPr>
                      <w:rFonts w:ascii="Cambria Math" w:hAnsi="Cambria Math"/>
                    </w:rPr>
                    <m:t>k</m:t>
                  </m:r>
                </m:sup>
              </m:sSup>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sSup>
                <m:sSupPr>
                  <m:ctrlPr>
                    <w:rPr>
                      <w:rFonts w:ascii="Cambria Math" w:hAnsi="Cambria Math"/>
                    </w:rPr>
                  </m:ctrlPr>
                </m:sSupPr>
                <m:e>
                  <m:r>
                    <w:rPr>
                      <w:rFonts w:ascii="Cambria Math" w:hAnsi="Cambria Math"/>
                    </w:rPr>
                    <m:t>κ</m:t>
                  </m:r>
                </m:e>
                <m:sup>
                  <m:r>
                    <w:rPr>
                      <w:rFonts w:ascii="Cambria Math" w:hAnsi="Cambria Math"/>
                    </w:rPr>
                    <m:t>k</m:t>
                  </m:r>
                </m:sup>
              </m:sSup>
              <m:r>
                <m:rPr>
                  <m:sty m:val="p"/>
                </m:rPr>
                <w:rPr>
                  <w:rFonts w:ascii="Cambria Math" w:hAnsi="Cambria Math"/>
                </w:rPr>
                <m:t>ln</m:t>
              </m:r>
              <m:d>
                <m:dPr>
                  <m:ctrlPr>
                    <w:rPr>
                      <w:rFonts w:ascii="Cambria Math" w:hAnsi="Cambria Math"/>
                    </w:rPr>
                  </m:ctrlPr>
                </m:dPr>
                <m:e>
                  <m:r>
                    <w:rPr>
                      <w:rFonts w:ascii="Cambria Math" w:hAnsi="Cambria Math"/>
                    </w:rPr>
                    <m:t>Bene</m:t>
                  </m:r>
                  <m:sSub>
                    <m:sSubPr>
                      <m:ctrlPr>
                        <w:rPr>
                          <w:rFonts w:ascii="Cambria Math" w:hAnsi="Cambria Math"/>
                        </w:rPr>
                      </m:ctrlPr>
                    </m:sSubPr>
                    <m:e>
                      <m:r>
                        <w:rPr>
                          <w:rFonts w:ascii="Cambria Math" w:hAnsi="Cambria Math"/>
                        </w:rPr>
                        <m:t>f</m:t>
                      </m:r>
                    </m:e>
                    <m:sub>
                      <m:r>
                        <w:rPr>
                          <w:rFonts w:ascii="Cambria Math" w:hAnsi="Cambria Math"/>
                        </w:rPr>
                        <m:t>it</m:t>
                      </m:r>
                    </m:sub>
                  </m:sSub>
                </m:e>
              </m:d>
              <m:r>
                <m:rPr>
                  <m:sty m:val="p"/>
                </m:rPr>
                <w:rPr>
                  <w:rFonts w:ascii="Cambria Math" w:hAnsi="Cambria Math"/>
                </w:rPr>
                <m:t>+</m:t>
              </m:r>
              <m:sSup>
                <m:sSupPr>
                  <m:ctrlPr>
                    <w:rPr>
                      <w:rFonts w:ascii="Cambria Math" w:hAnsi="Cambria Math"/>
                    </w:rPr>
                  </m:ctrlPr>
                </m:sSupPr>
                <m:e>
                  <m:r>
                    <m:rPr>
                      <m:sty m:val="b"/>
                    </m:rPr>
                    <w:rPr>
                      <w:rFonts w:ascii="Cambria Math" w:hAnsi="Cambria Math"/>
                    </w:rPr>
                    <m:t>δ</m:t>
                  </m:r>
                </m:e>
                <m:sup>
                  <m:r>
                    <w:rPr>
                      <w:rFonts w:ascii="Cambria Math" w:hAnsi="Cambria Math"/>
                    </w:rPr>
                    <m:t>k</m:t>
                  </m:r>
                  <m:r>
                    <m:rPr>
                      <m:sty m:val="p"/>
                    </m:rPr>
                    <w:rPr>
                      <w:rFonts w:ascii="Cambria Math" w:hAnsi="Cambria Math"/>
                    </w:rPr>
                    <m:t>'</m:t>
                  </m:r>
                </m:sup>
              </m:sSup>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ϕ</m:t>
                  </m:r>
                </m:e>
                <m:sup>
                  <m:r>
                    <w:rPr>
                      <w:rFonts w:ascii="Cambria Math" w:hAnsi="Cambria Math"/>
                    </w:rPr>
                    <m:t>k</m:t>
                  </m:r>
                </m:sup>
              </m:sSup>
              <m:r>
                <w:rPr>
                  <w:rFonts w:ascii="Cambria Math" w:hAnsi="Cambria Math"/>
                </w:rPr>
                <m:t>AdmRati</m:t>
              </m:r>
              <m:sSub>
                <m:sSubPr>
                  <m:ctrlPr>
                    <w:rPr>
                      <w:rFonts w:ascii="Cambria Math" w:hAnsi="Cambria Math"/>
                    </w:rPr>
                  </m:ctrlPr>
                </m:sSubPr>
                <m:e>
                  <m:r>
                    <w:rPr>
                      <w:rFonts w:ascii="Cambria Math" w:hAnsi="Cambria Math"/>
                    </w:rPr>
                    <m:t>o</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t</m:t>
                  </m:r>
                </m:sub>
                <m:sup>
                  <m:r>
                    <w:rPr>
                      <w:rFonts w:ascii="Cambria Math" w:hAnsi="Cambria Math"/>
                    </w:rPr>
                    <m:t>k</m:t>
                  </m:r>
                </m:sup>
              </m:sSubSup>
            </m:e>
          </m:d>
          <m:r>
            <m:rPr>
              <m:sty m:val="p"/>
            </m:rPr>
            <w:rPr>
              <w:rFonts w:ascii="Cambria Math" w:hAnsi="Cambria Math"/>
            </w:rPr>
            <m:t>.</m:t>
          </m:r>
        </m:oMath>
      </m:oMathPara>
    </w:p>
    <w:p w14:paraId="02F67EF4" w14:textId="77777777" w:rsidR="00A005E1" w:rsidRDefault="00A005E1" w:rsidP="00A005E1">
      <w:pPr>
        <w:spacing w:line="480" w:lineRule="auto"/>
      </w:pPr>
      <w:r>
        <w:t>This analysis is limited to the window with beneficiary-count coverage, but it verifies whether using revenue as a size proxy changes the conclusions.</w:t>
      </w:r>
    </w:p>
    <w:p w14:paraId="4570F62F" w14:textId="77777777" w:rsidR="00A005E1" w:rsidRDefault="00A005E1" w:rsidP="00A005E1">
      <w:pPr>
        <w:pStyle w:val="Heading2"/>
        <w:spacing w:line="480" w:lineRule="auto"/>
      </w:pPr>
      <w:bookmarkStart w:id="32" w:name="evaluation-of-discrimination"/>
      <w:bookmarkEnd w:id="27"/>
      <w:bookmarkEnd w:id="31"/>
      <w:r>
        <w:t>Evaluation of discrimination</w:t>
      </w:r>
    </w:p>
    <w:p w14:paraId="19A154FA" w14:textId="77777777" w:rsidR="00A005E1" w:rsidRDefault="00A005E1" w:rsidP="00A005E1">
      <w:pPr>
        <w:spacing w:line="480" w:lineRule="auto"/>
      </w:pPr>
      <w:r>
        <w:t>Statistical significance of the MLR does not imply that it is a sufficient classifier. Therefore, the article separates predictive association from discriminatory performance.</w:t>
      </w:r>
    </w:p>
    <w:p w14:paraId="5D45B483" w14:textId="77777777" w:rsidR="00A005E1" w:rsidRDefault="00A005E1" w:rsidP="00A005E1">
      <w:pPr>
        <w:pStyle w:val="Heading3"/>
        <w:spacing w:line="480" w:lineRule="auto"/>
      </w:pPr>
      <w:bookmarkStart w:id="33" w:name="brier-score"/>
      <w:r>
        <w:t>Brier score</w:t>
      </w:r>
    </w:p>
    <w:p w14:paraId="562B008C" w14:textId="77777777" w:rsidR="00A005E1" w:rsidRDefault="00A005E1" w:rsidP="00A005E1">
      <w:pPr>
        <w:spacing w:line="480" w:lineRule="auto"/>
      </w:pPr>
      <w:r>
        <w:t xml:space="preserve">For predicted probabilities </w:t>
      </w:r>
      <m:oMath>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it</m:t>
            </m:r>
          </m:sub>
        </m:sSub>
      </m:oMath>
      <w:r>
        <w:t xml:space="preserve"> and observed outcomes </w:t>
      </w:r>
      <m:oMath>
        <m:sSub>
          <m:sSubPr>
            <m:ctrlPr>
              <w:rPr>
                <w:rFonts w:ascii="Cambria Math" w:hAnsi="Cambria Math"/>
              </w:rPr>
            </m:ctrlPr>
          </m:sSubPr>
          <m:e>
            <m:r>
              <w:rPr>
                <w:rFonts w:ascii="Cambria Math" w:hAnsi="Cambria Math"/>
              </w:rPr>
              <m:t>Y</m:t>
            </m:r>
          </m:e>
          <m:sub>
            <m:r>
              <w:rPr>
                <w:rFonts w:ascii="Cambria Math" w:hAnsi="Cambria Math"/>
              </w:rPr>
              <m:t>it</m:t>
            </m:r>
          </m:sub>
        </m:sSub>
      </m:oMath>
      <w:r>
        <w:t>, the Brier score is:</w:t>
      </w:r>
    </w:p>
    <w:p w14:paraId="4AC0D778" w14:textId="77777777" w:rsidR="00A005E1" w:rsidRDefault="00A005E1" w:rsidP="00A005E1">
      <w:pPr>
        <w:spacing w:line="480" w:lineRule="auto"/>
      </w:pPr>
      <m:oMathPara>
        <m:oMathParaPr>
          <m:jc m:val="center"/>
        </m:oMathParaPr>
        <m:oMath>
          <m:r>
            <m:rPr>
              <m:sty m:val="p"/>
            </m:rPr>
            <w:rPr>
              <w:rFonts w:ascii="Cambria Math" w:hAnsi="Cambria Math"/>
            </w:rPr>
            <m:t>Brier=</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it</m:t>
                          </m:r>
                        </m:sub>
                      </m:sSub>
                    </m:e>
                  </m:d>
                </m:e>
                <m:sup>
                  <m:r>
                    <w:rPr>
                      <w:rFonts w:ascii="Cambria Math" w:hAnsi="Cambria Math"/>
                    </w:rPr>
                    <m:t>2</m:t>
                  </m:r>
                </m:sup>
              </m:sSup>
            </m:e>
          </m:nary>
          <m:r>
            <m:rPr>
              <m:sty m:val="p"/>
            </m:rPr>
            <w:rPr>
              <w:rFonts w:ascii="Cambria Math" w:hAnsi="Cambria Math"/>
            </w:rPr>
            <m:t>.</m:t>
          </m:r>
        </m:oMath>
      </m:oMathPara>
    </w:p>
    <w:p w14:paraId="631703EA" w14:textId="77777777" w:rsidR="00A005E1" w:rsidRDefault="00A005E1" w:rsidP="00A005E1">
      <w:pPr>
        <w:spacing w:line="480" w:lineRule="auto"/>
      </w:pPr>
      <w:r>
        <w:t>Lower values indicate better average calibration of predicted probabilities.</w:t>
      </w:r>
    </w:p>
    <w:p w14:paraId="04FE0260" w14:textId="77777777" w:rsidR="00A005E1" w:rsidRDefault="00A005E1" w:rsidP="00A005E1">
      <w:pPr>
        <w:pStyle w:val="Heading3"/>
        <w:spacing w:line="480" w:lineRule="auto"/>
      </w:pPr>
      <w:bookmarkStart w:id="34" w:name="auc"/>
      <w:bookmarkEnd w:id="33"/>
      <w:r>
        <w:lastRenderedPageBreak/>
        <w:t>AUC</w:t>
      </w:r>
    </w:p>
    <w:p w14:paraId="1FADD29A" w14:textId="77777777" w:rsidR="00A005E1" w:rsidRDefault="00A005E1" w:rsidP="00A005E1">
      <w:pPr>
        <w:spacing w:line="480" w:lineRule="auto"/>
      </w:pPr>
      <w:r>
        <w:t>The area under the ROC curve can be interpreted as the probability that the model assigns a higher score to an event than to a non-event:</w:t>
      </w:r>
    </w:p>
    <w:p w14:paraId="6A751A7C" w14:textId="77777777" w:rsidR="00A005E1" w:rsidRDefault="00A005E1" w:rsidP="00A005E1">
      <w:pPr>
        <w:spacing w:line="480" w:lineRule="auto"/>
      </w:pPr>
      <m:oMathPara>
        <m:oMathParaPr>
          <m:jc m:val="center"/>
        </m:oMathParaPr>
        <m:oMath>
          <m:r>
            <m:rPr>
              <m:sty m:val="p"/>
            </m:rPr>
            <w:rPr>
              <w:rFonts w:ascii="Cambria Math" w:hAnsi="Cambria Math"/>
            </w:rPr>
            <m:t>AUC=</m:t>
          </m:r>
          <m:r>
            <m:rPr>
              <m:scr m:val="double-struck"/>
              <m:sty m:val="p"/>
            </m:rPr>
            <w:rPr>
              <w:rFonts w:ascii="Cambria Math" w:hAnsi="Cambria Math"/>
            </w:rPr>
            <m:t>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event</m:t>
                  </m:r>
                </m:sub>
              </m:sSub>
              <m:r>
                <m:rPr>
                  <m:sty m:val="p"/>
                </m:rPr>
                <w:rPr>
                  <w:rFonts w:ascii="Cambria Math" w:hAnsi="Cambria Math"/>
                </w:rPr>
                <m:t>&gt;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non</m:t>
                  </m:r>
                  <m:r>
                    <m:rPr>
                      <m:sty m:val="p"/>
                    </m:rPr>
                    <w:rPr>
                      <w:rFonts w:ascii="Cambria Math" w:hAnsi="Cambria Math"/>
                    </w:rPr>
                    <m:t>-</m:t>
                  </m:r>
                  <m:r>
                    <w:rPr>
                      <w:rFonts w:ascii="Cambria Math" w:hAnsi="Cambria Math"/>
                    </w:rPr>
                    <m:t>event</m:t>
                  </m:r>
                </m:sub>
              </m:sSub>
            </m:e>
          </m:d>
          <m:r>
            <m:rPr>
              <m:sty m:val="p"/>
            </m:rPr>
            <w:rPr>
              <w:rFonts w:ascii="Cambria Math" w:hAnsi="Cambria Math"/>
            </w:rPr>
            <m:t>.</m:t>
          </m:r>
        </m:oMath>
      </m:oMathPara>
    </w:p>
    <w:p w14:paraId="2985FE42" w14:textId="77777777" w:rsidR="00A005E1" w:rsidRDefault="00A005E1" w:rsidP="00A005E1">
      <w:pPr>
        <w:spacing w:line="480" w:lineRule="auto"/>
      </w:pPr>
      <w:r>
        <w:t xml:space="preserve">In the article, the MLR alone has an AUC close to </w:t>
      </w:r>
      <m:oMath>
        <m:r>
          <w:rPr>
            <w:rFonts w:ascii="Cambria Math" w:hAnsi="Cambria Math"/>
          </w:rPr>
          <m:t>0.5</m:t>
        </m:r>
      </m:oMath>
      <w:r>
        <w:t>, whereas the full model with controls performs substantially better.</w:t>
      </w:r>
    </w:p>
    <w:p w14:paraId="14780372" w14:textId="77777777" w:rsidR="00A005E1" w:rsidRDefault="00A005E1" w:rsidP="00A005E1">
      <w:pPr>
        <w:pStyle w:val="Heading3"/>
        <w:spacing w:line="480" w:lineRule="auto"/>
      </w:pPr>
      <w:bookmarkStart w:id="35" w:name="Xe9a8ca1823e580695f971dcc183974257d0c9a3"/>
      <w:bookmarkEnd w:id="34"/>
      <w:r>
        <w:t>Classification matrix for the high-MLR indicator</w:t>
      </w:r>
    </w:p>
    <w:p w14:paraId="5B28DB3E" w14:textId="77777777" w:rsidR="00A005E1" w:rsidRDefault="00A005E1" w:rsidP="00A005E1">
      <w:pPr>
        <w:spacing w:line="480" w:lineRule="auto"/>
      </w:pPr>
      <w:r>
        <w:t xml:space="preserve">For the indicator </w:t>
      </w:r>
      <m:oMath>
        <m:sSub>
          <m:sSubPr>
            <m:ctrlPr>
              <w:rPr>
                <w:rFonts w:ascii="Cambria Math" w:hAnsi="Cambria Math"/>
              </w:rPr>
            </m:ctrlPr>
          </m:sSubPr>
          <m:e>
            <m:r>
              <w:rPr>
                <w:rFonts w:ascii="Cambria Math" w:hAnsi="Cambria Math"/>
              </w:rPr>
              <m:t>H</m:t>
            </m:r>
          </m:e>
          <m:sub>
            <m:r>
              <w:rPr>
                <w:rFonts w:ascii="Cambria Math" w:hAnsi="Cambria Math"/>
              </w:rPr>
              <m:t>it</m:t>
            </m:r>
          </m:sub>
        </m:sSub>
      </m:oMath>
      <w:r>
        <w:t>, define:</w:t>
      </w:r>
    </w:p>
    <w:p w14:paraId="496FC785"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TP</m:t>
                </m:r>
              </m:e>
              <m:e>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Sub>
                <m:r>
                  <m:rPr>
                    <m:sty m:val="p"/>
                  </m:rPr>
                  <w:rPr>
                    <w:rFonts w:ascii="Cambria Math" w:hAnsi="Cambria Math"/>
                  </w:rPr>
                  <m:t>=</m:t>
                </m:r>
                <m:r>
                  <w:rPr>
                    <w:rFonts w:ascii="Cambria Math" w:hAnsi="Cambria Math"/>
                  </w:rPr>
                  <m:t>1</m:t>
                </m:r>
                <m:r>
                  <m:rPr>
                    <m:sty m:val="p"/>
                  </m:rPr>
                  <w:rPr>
                    <w:rFonts w:ascii="Cambria Math" w:hAnsi="Cambria Math"/>
                  </w:rPr>
                  <m:t>},</m:t>
                </m:r>
              </m:e>
            </m:mr>
            <m:mr>
              <m:e>
                <m:r>
                  <w:rPr>
                    <w:rFonts w:ascii="Cambria Math" w:hAnsi="Cambria Math"/>
                  </w:rPr>
                  <m:t>FP</m:t>
                </m:r>
              </m:e>
              <m:e>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Sub>
                <m:r>
                  <m:rPr>
                    <m:sty m:val="p"/>
                  </m:rPr>
                  <w:rPr>
                    <w:rFonts w:ascii="Cambria Math" w:hAnsi="Cambria Math"/>
                  </w:rPr>
                  <m:t>=</m:t>
                </m:r>
                <m:r>
                  <w:rPr>
                    <w:rFonts w:ascii="Cambria Math" w:hAnsi="Cambria Math"/>
                  </w:rPr>
                  <m:t>0</m:t>
                </m:r>
                <m:r>
                  <m:rPr>
                    <m:sty m:val="p"/>
                  </m:rPr>
                  <w:rPr>
                    <w:rFonts w:ascii="Cambria Math" w:hAnsi="Cambria Math"/>
                  </w:rPr>
                  <m:t>},</m:t>
                </m:r>
              </m:e>
            </m:mr>
            <m:mr>
              <m:e>
                <m:r>
                  <w:rPr>
                    <w:rFonts w:ascii="Cambria Math" w:hAnsi="Cambria Math"/>
                  </w:rPr>
                  <m:t>TN</m:t>
                </m:r>
              </m:e>
              <m:e>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Sub>
                <m:r>
                  <m:rPr>
                    <m:sty m:val="p"/>
                  </m:rPr>
                  <w:rPr>
                    <w:rFonts w:ascii="Cambria Math" w:hAnsi="Cambria Math"/>
                  </w:rPr>
                  <m:t>=</m:t>
                </m:r>
                <m:r>
                  <w:rPr>
                    <w:rFonts w:ascii="Cambria Math" w:hAnsi="Cambria Math"/>
                  </w:rPr>
                  <m:t>0</m:t>
                </m:r>
                <m:r>
                  <m:rPr>
                    <m:sty m:val="p"/>
                  </m:rPr>
                  <w:rPr>
                    <w:rFonts w:ascii="Cambria Math" w:hAnsi="Cambria Math"/>
                  </w:rPr>
                  <m:t>},</m:t>
                </m:r>
              </m:e>
            </m:mr>
            <m:mr>
              <m:e>
                <m:r>
                  <w:rPr>
                    <w:rFonts w:ascii="Cambria Math" w:hAnsi="Cambria Math"/>
                  </w:rPr>
                  <m:t>FN</m:t>
                </m:r>
              </m:e>
              <m:e>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h</m:t>
                    </m:r>
                  </m:sub>
                </m:sSub>
                <m:r>
                  <m:rPr>
                    <m:sty m:val="p"/>
                  </m:rPr>
                  <w:rPr>
                    <w:rFonts w:ascii="Cambria Math" w:hAnsi="Cambria Math"/>
                  </w:rPr>
                  <m:t>=</m:t>
                </m:r>
                <m:r>
                  <w:rPr>
                    <w:rFonts w:ascii="Cambria Math" w:hAnsi="Cambria Math"/>
                  </w:rPr>
                  <m:t>1</m:t>
                </m:r>
                <m:r>
                  <m:rPr>
                    <m:sty m:val="p"/>
                  </m:rPr>
                  <w:rPr>
                    <w:rFonts w:ascii="Cambria Math" w:hAnsi="Cambria Math"/>
                  </w:rPr>
                  <m:t>}.</m:t>
                </m:r>
              </m:e>
            </m:mr>
          </m:m>
        </m:oMath>
      </m:oMathPara>
    </w:p>
    <w:p w14:paraId="604605AB" w14:textId="77777777" w:rsidR="00A005E1" w:rsidRDefault="00A005E1" w:rsidP="00A005E1">
      <w:pPr>
        <w:spacing w:line="480" w:lineRule="auto"/>
      </w:pPr>
      <w:r>
        <w:t>The metrics are:</w:t>
      </w:r>
    </w:p>
    <w:p w14:paraId="79544E7B" w14:textId="77777777" w:rsidR="00A005E1" w:rsidRDefault="00A005E1" w:rsidP="00A005E1">
      <w:pPr>
        <w:spacing w:line="480" w:lineRule="auto"/>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Sensitivity</m:t>
                </m:r>
              </m:e>
              <m:e>
                <m:r>
                  <m:rPr>
                    <m:sty m:val="p"/>
                  </m:rP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FN</m:t>
                    </m:r>
                  </m:den>
                </m:f>
                <m:r>
                  <m:rPr>
                    <m:sty m:val="p"/>
                  </m:rPr>
                  <w:rPr>
                    <w:rFonts w:ascii="Cambria Math" w:hAnsi="Cambria Math"/>
                  </w:rPr>
                  <m:t>,</m:t>
                </m:r>
              </m:e>
            </m:mr>
            <m:mr>
              <m:e>
                <m:r>
                  <w:rPr>
                    <w:rFonts w:ascii="Cambria Math" w:hAnsi="Cambria Math"/>
                  </w:rPr>
                  <m:t>Specificity</m:t>
                </m:r>
              </m:e>
              <m:e>
                <m:r>
                  <m:rPr>
                    <m:sty m:val="p"/>
                  </m:rPr>
                  <w:rPr>
                    <w:rFonts w:ascii="Cambria Math" w:hAnsi="Cambria Math"/>
                  </w:rPr>
                  <m:t>=</m:t>
                </m:r>
                <m:f>
                  <m:fPr>
                    <m:ctrlPr>
                      <w:rPr>
                        <w:rFonts w:ascii="Cambria Math" w:hAnsi="Cambria Math"/>
                      </w:rPr>
                    </m:ctrlPr>
                  </m:fPr>
                  <m:num>
                    <m:r>
                      <w:rPr>
                        <w:rFonts w:ascii="Cambria Math" w:hAnsi="Cambria Math"/>
                      </w:rPr>
                      <m:t>TN</m:t>
                    </m:r>
                  </m:num>
                  <m:den>
                    <m:r>
                      <w:rPr>
                        <w:rFonts w:ascii="Cambria Math" w:hAnsi="Cambria Math"/>
                      </w:rPr>
                      <m:t>TN</m:t>
                    </m:r>
                    <m:r>
                      <m:rPr>
                        <m:sty m:val="p"/>
                      </m:rPr>
                      <w:rPr>
                        <w:rFonts w:ascii="Cambria Math" w:hAnsi="Cambria Math"/>
                      </w:rPr>
                      <m:t>+</m:t>
                    </m:r>
                    <m:r>
                      <w:rPr>
                        <w:rFonts w:ascii="Cambria Math" w:hAnsi="Cambria Math"/>
                      </w:rPr>
                      <m:t>FP</m:t>
                    </m:r>
                  </m:den>
                </m:f>
                <m:r>
                  <m:rPr>
                    <m:sty m:val="p"/>
                  </m:rPr>
                  <w:rPr>
                    <w:rFonts w:ascii="Cambria Math" w:hAnsi="Cambria Math"/>
                  </w:rPr>
                  <m:t>,</m:t>
                </m:r>
              </m:e>
            </m:mr>
            <m:mr>
              <m:e>
                <m:r>
                  <w:rPr>
                    <w:rFonts w:ascii="Cambria Math" w:hAnsi="Cambria Math"/>
                  </w:rPr>
                  <m:t>PPV</m:t>
                </m:r>
              </m:e>
              <m:e>
                <m:r>
                  <m:rPr>
                    <m:sty m:val="p"/>
                  </m:rPr>
                  <w:rPr>
                    <w:rFonts w:ascii="Cambria Math" w:hAnsi="Cambria Math"/>
                  </w:rPr>
                  <m:t>=</m:t>
                </m:r>
                <m:f>
                  <m:fPr>
                    <m:ctrlPr>
                      <w:rPr>
                        <w:rFonts w:ascii="Cambria Math" w:hAnsi="Cambria Math"/>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FP</m:t>
                    </m:r>
                  </m:den>
                </m:f>
                <m:r>
                  <m:rPr>
                    <m:sty m:val="p"/>
                  </m:rPr>
                  <w:rPr>
                    <w:rFonts w:ascii="Cambria Math" w:hAnsi="Cambria Math"/>
                  </w:rPr>
                  <m:t>,</m:t>
                </m:r>
              </m:e>
            </m:mr>
            <m:mr>
              <m:e>
                <m:r>
                  <w:rPr>
                    <w:rFonts w:ascii="Cambria Math" w:hAnsi="Cambria Math"/>
                  </w:rPr>
                  <m:t>NPV</m:t>
                </m:r>
              </m:e>
              <m:e>
                <m:r>
                  <m:rPr>
                    <m:sty m:val="p"/>
                  </m:rPr>
                  <w:rPr>
                    <w:rFonts w:ascii="Cambria Math" w:hAnsi="Cambria Math"/>
                  </w:rPr>
                  <m:t>=</m:t>
                </m:r>
                <m:f>
                  <m:fPr>
                    <m:ctrlPr>
                      <w:rPr>
                        <w:rFonts w:ascii="Cambria Math" w:hAnsi="Cambria Math"/>
                      </w:rPr>
                    </m:ctrlPr>
                  </m:fPr>
                  <m:num>
                    <m:r>
                      <w:rPr>
                        <w:rFonts w:ascii="Cambria Math" w:hAnsi="Cambria Math"/>
                      </w:rPr>
                      <m:t>TN</m:t>
                    </m:r>
                  </m:num>
                  <m:den>
                    <m:r>
                      <w:rPr>
                        <w:rFonts w:ascii="Cambria Math" w:hAnsi="Cambria Math"/>
                      </w:rPr>
                      <m:t>TN</m:t>
                    </m:r>
                    <m:r>
                      <m:rPr>
                        <m:sty m:val="p"/>
                      </m:rPr>
                      <w:rPr>
                        <w:rFonts w:ascii="Cambria Math" w:hAnsi="Cambria Math"/>
                      </w:rPr>
                      <m:t>+</m:t>
                    </m:r>
                    <m:r>
                      <w:rPr>
                        <w:rFonts w:ascii="Cambria Math" w:hAnsi="Cambria Math"/>
                      </w:rPr>
                      <m:t>FN</m:t>
                    </m:r>
                  </m:den>
                </m:f>
                <m:r>
                  <m:rPr>
                    <m:sty m:val="p"/>
                  </m:rPr>
                  <w:rPr>
                    <w:rFonts w:ascii="Cambria Math" w:hAnsi="Cambria Math"/>
                  </w:rPr>
                  <m:t>.</m:t>
                </m:r>
              </m:e>
            </m:mr>
          </m:m>
        </m:oMath>
      </m:oMathPara>
    </w:p>
    <w:p w14:paraId="3253AAF6" w14:textId="77777777" w:rsidR="00A005E1" w:rsidRDefault="00A005E1" w:rsidP="00A005E1">
      <w:pPr>
        <w:spacing w:line="480" w:lineRule="auto"/>
      </w:pPr>
      <w:r>
        <w:t>The article’s evidence shows that the high-MLR indicator has high specificity and negative predictive value, but low sensitivity and low positive predictive value. Therefore, the MLR is a useful warning dimension but is insufficient as a stand-alone classifier.</w:t>
      </w:r>
    </w:p>
    <w:p w14:paraId="4ED276F5" w14:textId="77777777" w:rsidR="00A005E1" w:rsidRDefault="00A005E1" w:rsidP="00A005E1">
      <w:pPr>
        <w:pStyle w:val="Heading2"/>
        <w:spacing w:line="480" w:lineRule="auto"/>
      </w:pPr>
      <w:bookmarkStart w:id="36" w:name="heterogeneity-by-operator-modality"/>
      <w:bookmarkEnd w:id="32"/>
      <w:bookmarkEnd w:id="35"/>
      <w:r>
        <w:t>Heterogeneity by operator modality</w:t>
      </w:r>
    </w:p>
    <w:p w14:paraId="7B2A7BCD" w14:textId="77777777" w:rsidR="00A005E1" w:rsidRDefault="00A005E1" w:rsidP="00A005E1">
      <w:pPr>
        <w:spacing w:line="480" w:lineRule="auto"/>
      </w:pPr>
      <w:r>
        <w:t>Heterogeneity by modality is incorporated in the models through category dummies:</w:t>
      </w:r>
    </w:p>
    <w:p w14:paraId="27DC6FC5" w14:textId="77777777" w:rsidR="00A005E1" w:rsidRDefault="00A005E1" w:rsidP="00A005E1">
      <w:pPr>
        <w:spacing w:line="480" w:lineRule="auto"/>
      </w:pPr>
      <m:oMathPara>
        <m:oMathParaPr>
          <m:jc m:val="center"/>
        </m:oMathParaPr>
        <m:oMath>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Mo</m:t>
              </m:r>
              <m:sSub>
                <m:sSubPr>
                  <m:ctrlPr>
                    <w:rPr>
                      <w:rFonts w:ascii="Cambria Math" w:hAnsi="Cambria Math"/>
                    </w:rPr>
                  </m:ctrlPr>
                </m:sSubPr>
                <m:e>
                  <m:r>
                    <w:rPr>
                      <w:rFonts w:ascii="Cambria Math" w:hAnsi="Cambria Math"/>
                    </w:rPr>
                    <m:t>d</m:t>
                  </m:r>
                </m:e>
                <m:sub>
                  <m:r>
                    <w:rPr>
                      <w:rFonts w:ascii="Cambria Math" w:hAnsi="Cambria Math"/>
                    </w:rPr>
                    <m:t>i1</m:t>
                  </m:r>
                </m:sub>
              </m:sSub>
              <m:r>
                <m:rPr>
                  <m:sty m:val="p"/>
                </m:rPr>
                <w:rPr>
                  <w:rFonts w:ascii="Cambria Math" w:hAnsi="Cambria Math"/>
                </w:rPr>
                <m:t>,</m:t>
              </m:r>
              <m:r>
                <w:rPr>
                  <w:rFonts w:ascii="Cambria Math" w:hAnsi="Cambria Math"/>
                </w:rPr>
                <m:t>Mo</m:t>
              </m:r>
              <m:sSub>
                <m:sSubPr>
                  <m:ctrlPr>
                    <w:rPr>
                      <w:rFonts w:ascii="Cambria Math" w:hAnsi="Cambria Math"/>
                    </w:rPr>
                  </m:ctrlPr>
                </m:sSubPr>
                <m:e>
                  <m:r>
                    <w:rPr>
                      <w:rFonts w:ascii="Cambria Math" w:hAnsi="Cambria Math"/>
                    </w:rPr>
                    <m:t>d</m:t>
                  </m:r>
                </m:e>
                <m:sub>
                  <m:r>
                    <w:rPr>
                      <w:rFonts w:ascii="Cambria Math" w:hAnsi="Cambria Math"/>
                    </w:rPr>
                    <m:t>i2</m:t>
                  </m:r>
                </m:sub>
              </m:sSub>
              <m:r>
                <m:rPr>
                  <m:sty m:val="p"/>
                </m:rPr>
                <w:rPr>
                  <w:rFonts w:ascii="Cambria Math" w:hAnsi="Cambria Math"/>
                </w:rPr>
                <m:t>,…,</m:t>
              </m:r>
              <m:r>
                <w:rPr>
                  <w:rFonts w:ascii="Cambria Math" w:hAnsi="Cambria Math"/>
                </w:rPr>
                <m:t>Mo</m:t>
              </m:r>
              <m:sSub>
                <m:sSubPr>
                  <m:ctrlPr>
                    <w:rPr>
                      <w:rFonts w:ascii="Cambria Math" w:hAnsi="Cambria Math"/>
                    </w:rPr>
                  </m:ctrlPr>
                </m:sSub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1</m:t>
                  </m:r>
                </m:sub>
              </m:sSub>
            </m:e>
          </m:d>
          <m:r>
            <m:rPr>
              <m:sty m:val="p"/>
            </m:rPr>
            <w:rPr>
              <w:rFonts w:ascii="Cambria Math" w:hAnsi="Cambria Math"/>
            </w:rPr>
            <m:t>,</m:t>
          </m:r>
        </m:oMath>
      </m:oMathPara>
    </w:p>
    <w:p w14:paraId="4EB89BA0" w14:textId="77777777" w:rsidR="00A005E1" w:rsidRDefault="00A005E1" w:rsidP="00A005E1">
      <w:pPr>
        <w:spacing w:line="480" w:lineRule="auto"/>
      </w:pPr>
      <w:r>
        <w:lastRenderedPageBreak/>
        <w:t>where one modality is omitted as the reference category. Fragility prevalence differs sharply across modalities, justifying that any supervisory application of the MLR should be segmented by operator type.</w:t>
      </w:r>
    </w:p>
    <w:p w14:paraId="1B3738C5" w14:textId="77777777" w:rsidR="00A005E1" w:rsidRDefault="00A005E1" w:rsidP="00A005E1">
      <w:pPr>
        <w:spacing w:line="480" w:lineRule="auto"/>
      </w:pPr>
      <w:r>
        <w:t>A formal interaction could be written as:</w:t>
      </w:r>
    </w:p>
    <w:p w14:paraId="3089A9C5" w14:textId="77777777" w:rsidR="00A005E1" w:rsidRDefault="00A005E1" w:rsidP="00A005E1">
      <w:pPr>
        <w:spacing w:line="480" w:lineRule="auto"/>
      </w:pPr>
      <m:oMathPara>
        <m:oMathParaPr>
          <m:jc m:val="center"/>
        </m:oMathParaPr>
        <m:oMath>
          <m:r>
            <m:rPr>
              <m:scr m:val="double-struck"/>
              <m:sty m:val="p"/>
            </m:rPr>
            <w:rPr>
              <w:rFonts w:ascii="Cambria Math" w:hAnsi="Cambria Math"/>
            </w:rPr>
            <m:t>P</m:t>
          </m:r>
          <m:d>
            <m:dPr>
              <m:ctrlPr>
                <w:rPr>
                  <w:rFonts w:ascii="Cambria Math" w:hAnsi="Cambria Math"/>
                </w:rPr>
              </m:ctrlPr>
            </m:dPr>
            <m:e>
              <m:sSubSup>
                <m:sSubSupPr>
                  <m:ctrlPr>
                    <w:rPr>
                      <w:rFonts w:ascii="Cambria Math" w:hAnsi="Cambria Math"/>
                    </w:rPr>
                  </m:ctrlPr>
                </m:sSubSupPr>
                <m:e>
                  <m:r>
                    <w:rPr>
                      <w:rFonts w:ascii="Cambria Math" w:hAnsi="Cambria Math"/>
                    </w:rPr>
                    <m:t>F</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2</m:t>
                      </m:r>
                    </m:e>
                  </m:d>
                </m:sup>
              </m:sSubSup>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θ</m:t>
              </m:r>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r>
                <m:rPr>
                  <m:sty m:val="b"/>
                </m:rPr>
                <w:rPr>
                  <w:rFonts w:ascii="Cambria Math" w:hAnsi="Cambria Math"/>
                </w:rPr>
                <m:t>δ</m:t>
              </m:r>
              <m:r>
                <m:rPr>
                  <m:sty m:val="p"/>
                </m:rPr>
                <w:rPr>
                  <w:rFonts w:ascii="Cambria Math" w:hAnsi="Cambria Math"/>
                </w:rPr>
                <m:t>'</m:t>
              </m:r>
              <m:sSub>
                <m:sSubPr>
                  <m:ctrlPr>
                    <w:rPr>
                      <w:rFonts w:ascii="Cambria Math" w:hAnsi="Cambria Math"/>
                    </w:rPr>
                  </m:ctrlPr>
                </m:sSubPr>
                <m:e>
                  <m:r>
                    <m:rPr>
                      <m:sty m:val="b"/>
                    </m:rPr>
                    <w:rPr>
                      <w:rFonts w:ascii="Cambria Math" w:hAnsi="Cambria Math"/>
                    </w:rPr>
                    <m:t>Mod</m:t>
                  </m:r>
                </m:e>
                <m:sub>
                  <m:r>
                    <w:rPr>
                      <w:rFonts w:ascii="Cambria Math" w:hAnsi="Cambria Math"/>
                    </w:rPr>
                    <m:t>i</m:t>
                  </m:r>
                </m:sub>
              </m:sSub>
              <m:r>
                <m:rPr>
                  <m:sty m:val="p"/>
                </m:rPr>
                <w:rPr>
                  <w:rFonts w:ascii="Cambria Math" w:hAnsi="Cambria Math"/>
                </w:rPr>
                <m:t>+</m:t>
              </m:r>
              <m:r>
                <m:rPr>
                  <m:sty m:val="b"/>
                </m:rPr>
                <w:rPr>
                  <w:rFonts w:ascii="Cambria Math" w:hAnsi="Cambria Math"/>
                </w:rPr>
                <m:t>ω</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H</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Mod</m:t>
                      </m:r>
                    </m:e>
                    <m:sub>
                      <m:r>
                        <w:rPr>
                          <w:rFonts w:ascii="Cambria Math" w:hAnsi="Cambria Math"/>
                        </w:rPr>
                        <m:t>i</m:t>
                      </m:r>
                    </m:sub>
                  </m:sSub>
                </m:e>
              </m:d>
              <m:r>
                <m:rPr>
                  <m:sty m:val="p"/>
                </m:rPr>
                <w:rPr>
                  <w:rFonts w:ascii="Cambria Math" w:hAnsi="Cambria Math"/>
                </w:rPr>
                <m:t>+</m:t>
              </m:r>
              <m:r>
                <w:rPr>
                  <w:rFonts w:ascii="Cambria Math" w:hAnsi="Cambria Math"/>
                </w:rPr>
                <m:t>Control</m:t>
              </m:r>
              <m:sSub>
                <m:sSubPr>
                  <m:ctrlPr>
                    <w:rPr>
                      <w:rFonts w:ascii="Cambria Math" w:hAnsi="Cambria Math"/>
                    </w:rPr>
                  </m:ctrlPr>
                </m:sSubPr>
                <m:e>
                  <m:r>
                    <w:rPr>
                      <w:rFonts w:ascii="Cambria Math" w:hAnsi="Cambria Math"/>
                    </w:rPr>
                    <m:t>s</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t</m:t>
                  </m:r>
                </m:sub>
              </m:sSub>
            </m:e>
          </m:d>
          <m:r>
            <m:rPr>
              <m:sty m:val="p"/>
            </m:rPr>
            <w:rPr>
              <w:rFonts w:ascii="Cambria Math" w:hAnsi="Cambria Math"/>
            </w:rPr>
            <m:t>,</m:t>
          </m:r>
        </m:oMath>
      </m:oMathPara>
    </w:p>
    <w:p w14:paraId="2C42B9FE" w14:textId="77777777" w:rsidR="00A005E1" w:rsidRDefault="00A005E1" w:rsidP="00A005E1">
      <w:pPr>
        <w:spacing w:line="480" w:lineRule="auto"/>
      </w:pPr>
      <w:r>
        <w:t>but in the article this interaction is treated cautiously because some modality–quartile cells contain very few events, generating unstable estimates or perfect separation. For this reason, heterogeneity is presented mainly descriptively.</w:t>
      </w:r>
    </w:p>
    <w:p w14:paraId="16E60D6F" w14:textId="77777777" w:rsidR="00A005E1" w:rsidRDefault="00A005E1" w:rsidP="00A005E1">
      <w:pPr>
        <w:pStyle w:val="Heading2"/>
        <w:spacing w:line="480" w:lineRule="auto"/>
      </w:pPr>
      <w:bookmarkStart w:id="37" w:name="interpretation-of-coefficients"/>
      <w:bookmarkEnd w:id="36"/>
      <w:r>
        <w:t>Interpretation of coefficients</w:t>
      </w:r>
    </w:p>
    <w:p w14:paraId="129E0BBB" w14:textId="77777777" w:rsidR="00A005E1" w:rsidRDefault="00A005E1" w:rsidP="00A005E1">
      <w:pPr>
        <w:spacing w:line="480" w:lineRule="auto"/>
      </w:pPr>
      <w:r>
        <w:t xml:space="preserve">In logit models, coefficients are estimated in log-odds. For a coefficient </w:t>
      </w:r>
      <m:oMath>
        <m:r>
          <w:rPr>
            <w:rFonts w:ascii="Cambria Math" w:hAnsi="Cambria Math"/>
          </w:rPr>
          <m:t>β</m:t>
        </m:r>
      </m:oMath>
      <w:r>
        <w:t>, the corresponding odds ratio is:</w:t>
      </w:r>
    </w:p>
    <w:p w14:paraId="5434C572" w14:textId="77777777" w:rsidR="00A005E1" w:rsidRDefault="00A005E1" w:rsidP="00A005E1">
      <w:pPr>
        <w:spacing w:line="480" w:lineRule="auto"/>
      </w:pPr>
      <m:oMathPara>
        <m:oMathParaPr>
          <m:jc m:val="center"/>
        </m:oMathParaPr>
        <m:oMath>
          <m:r>
            <m:rPr>
              <m:sty m:val="p"/>
            </m:rPr>
            <w:rPr>
              <w:rFonts w:ascii="Cambria Math" w:hAnsi="Cambria Math"/>
            </w:rPr>
            <m:t>OR=</m:t>
          </m:r>
          <m:sSup>
            <m:sSupPr>
              <m:ctrlPr>
                <w:rPr>
                  <w:rFonts w:ascii="Cambria Math" w:hAnsi="Cambria Math"/>
                </w:rPr>
              </m:ctrlPr>
            </m:sSupPr>
            <m:e>
              <m:r>
                <w:rPr>
                  <w:rFonts w:ascii="Cambria Math" w:hAnsi="Cambria Math"/>
                </w:rPr>
                <m:t>e</m:t>
              </m:r>
            </m:e>
            <m:sup>
              <m:r>
                <w:rPr>
                  <w:rFonts w:ascii="Cambria Math" w:hAnsi="Cambria Math"/>
                </w:rPr>
                <m:t>β</m:t>
              </m:r>
            </m:sup>
          </m:sSup>
          <m:r>
            <m:rPr>
              <m:sty m:val="p"/>
            </m:rPr>
            <w:rPr>
              <w:rFonts w:ascii="Cambria Math" w:hAnsi="Cambria Math"/>
            </w:rPr>
            <m:t>.</m:t>
          </m:r>
        </m:oMath>
      </m:oMathPara>
    </w:p>
    <w:p w14:paraId="07878F51" w14:textId="77777777" w:rsidR="00A005E1" w:rsidRDefault="00A005E1" w:rsidP="00A005E1">
      <w:pPr>
        <w:spacing w:line="480" w:lineRule="auto"/>
      </w:pPr>
      <w:r>
        <w:t xml:space="preserve">When </w:t>
      </w:r>
      <m:oMath>
        <m:r>
          <m:rPr>
            <m:sty m:val="p"/>
          </m:rPr>
          <w:rPr>
            <w:rFonts w:ascii="Cambria Math" w:hAnsi="Cambria Math"/>
          </w:rPr>
          <m:t>OR&gt;</m:t>
        </m:r>
        <m:r>
          <w:rPr>
            <w:rFonts w:ascii="Cambria Math" w:hAnsi="Cambria Math"/>
          </w:rPr>
          <m:t>1</m:t>
        </m:r>
      </m:oMath>
      <w:r>
        <w:t xml:space="preserve">, the variable is associated with higher odds of the outcome; when </w:t>
      </w:r>
      <m:oMath>
        <m:r>
          <m:rPr>
            <m:sty m:val="p"/>
          </m:rPr>
          <w:rPr>
            <w:rFonts w:ascii="Cambria Math" w:hAnsi="Cambria Math"/>
          </w:rPr>
          <m:t>OR&lt;</m:t>
        </m:r>
        <m:r>
          <w:rPr>
            <w:rFonts w:ascii="Cambria Math" w:hAnsi="Cambria Math"/>
          </w:rPr>
          <m:t>1</m:t>
        </m:r>
      </m:oMath>
      <w:r>
        <w:t xml:space="preserve">, it is associated with lower odds. For example, if </w:t>
      </w:r>
      <m:oMath>
        <m:sSub>
          <m:sSubPr>
            <m:ctrlPr>
              <w:rPr>
                <w:rFonts w:ascii="Cambria Math" w:hAnsi="Cambria Math"/>
              </w:rPr>
            </m:ctrlPr>
          </m:sSubPr>
          <m:e>
            <m:r>
              <m:rPr>
                <m:sty m:val="p"/>
              </m:rPr>
              <w:rPr>
                <w:rFonts w:ascii="Cambria Math" w:hAnsi="Cambria Math"/>
              </w:rPr>
              <m:t>OR</m:t>
            </m:r>
          </m:e>
          <m:sub>
            <m:r>
              <w:rPr>
                <w:rFonts w:ascii="Cambria Math" w:hAnsi="Cambria Math"/>
              </w:rPr>
              <m:t>HighMLR</m:t>
            </m:r>
          </m:sub>
        </m:sSub>
        <m:r>
          <m:rPr>
            <m:sty m:val="p"/>
          </m:rPr>
          <w:rPr>
            <w:rFonts w:ascii="Cambria Math" w:hAnsi="Cambria Math"/>
          </w:rPr>
          <m:t>=</m:t>
        </m:r>
        <m:r>
          <w:rPr>
            <w:rFonts w:ascii="Cambria Math" w:hAnsi="Cambria Math"/>
          </w:rPr>
          <m:t>1.76</m:t>
        </m:r>
      </m:oMath>
      <w:r>
        <w:t xml:space="preserve"> for fragility in </w:t>
      </w:r>
      <m:oMath>
        <m:r>
          <w:rPr>
            <w:rFonts w:ascii="Cambria Math" w:hAnsi="Cambria Math"/>
          </w:rPr>
          <m:t>t</m:t>
        </m:r>
        <m:r>
          <m:rPr>
            <m:sty m:val="p"/>
          </m:rPr>
          <w:rPr>
            <w:rFonts w:ascii="Cambria Math" w:hAnsi="Cambria Math"/>
          </w:rPr>
          <m:t>+</m:t>
        </m:r>
        <m:r>
          <w:rPr>
            <w:rFonts w:ascii="Cambria Math" w:hAnsi="Cambria Math"/>
          </w:rPr>
          <m:t>1</m:t>
        </m:r>
      </m:oMath>
      <w:r>
        <w:t xml:space="preserve">, the odds of next-year fragility are approximately </w:t>
      </w:r>
      <m:oMath>
        <m:r>
          <w:rPr>
            <w:rFonts w:ascii="Cambria Math" w:hAnsi="Cambria Math"/>
          </w:rPr>
          <m:t>76</m:t>
        </m:r>
        <m:r>
          <m:rPr>
            <m:sty m:val="p"/>
          </m:rPr>
          <w:rPr>
            <w:rFonts w:ascii="Cambria Math" w:hAnsi="Cambria Math"/>
          </w:rPr>
          <m:t>%</m:t>
        </m:r>
      </m:oMath>
      <w:r>
        <w:t xml:space="preserve"> higher for observations in the upper MLR quartile, conditional on the model controls.</w:t>
      </w:r>
    </w:p>
    <w:p w14:paraId="7691D54A" w14:textId="77777777" w:rsidR="00A005E1" w:rsidRDefault="00A005E1" w:rsidP="00A005E1">
      <w:pPr>
        <w:spacing w:line="480" w:lineRule="auto"/>
      </w:pPr>
      <w:r>
        <w:t>The 95% confidence interval for the odds ratio is obtained from the coefficient standard error:</w:t>
      </w:r>
    </w:p>
    <w:p w14:paraId="53B060EE" w14:textId="77777777" w:rsidR="00A005E1" w:rsidRDefault="00A005E1" w:rsidP="00A005E1">
      <w:pPr>
        <w:spacing w:line="480" w:lineRule="auto"/>
      </w:pPr>
      <m:oMathPara>
        <m:oMathParaPr>
          <m:jc m:val="center"/>
        </m:oMathParaPr>
        <m:oMath>
          <m:r>
            <w:rPr>
              <w:rFonts w:ascii="Cambria Math" w:hAnsi="Cambria Math"/>
            </w:rPr>
            <m:t>C</m:t>
          </m:r>
          <m:sSub>
            <m:sSubPr>
              <m:ctrlPr>
                <w:rPr>
                  <w:rFonts w:ascii="Cambria Math" w:hAnsi="Cambria Math"/>
                </w:rPr>
              </m:ctrlPr>
            </m:sSubPr>
            <m:e>
              <m:r>
                <w:rPr>
                  <w:rFonts w:ascii="Cambria Math" w:hAnsi="Cambria Math"/>
                </w:rPr>
                <m:t>I</m:t>
              </m:r>
            </m:e>
            <m:sub>
              <m:r>
                <w:rPr>
                  <w:rFonts w:ascii="Cambria Math" w:hAnsi="Cambria Math"/>
                </w:rPr>
                <m:t>95</m:t>
              </m:r>
              <m:r>
                <m:rPr>
                  <m:sty m:val="p"/>
                </m:rPr>
                <w:rPr>
                  <w:rFonts w:ascii="Cambria Math" w:hAnsi="Cambria Math"/>
                </w:rPr>
                <m:t>%</m:t>
              </m:r>
            </m:sub>
          </m:sSub>
          <m:d>
            <m:dPr>
              <m:ctrlPr>
                <w:rPr>
                  <w:rFonts w:ascii="Cambria Math" w:hAnsi="Cambria Math"/>
                </w:rPr>
              </m:ctrlPr>
            </m:dPr>
            <m:e>
              <m:r>
                <m:rPr>
                  <m:sty m:val="p"/>
                </m:rPr>
                <w:rPr>
                  <w:rFonts w:ascii="Cambria Math" w:hAnsi="Cambria Math"/>
                </w:rPr>
                <m:t>OR</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exp</m:t>
              </m:r>
              <m:d>
                <m:dPr>
                  <m:ctrlPr>
                    <w:rPr>
                      <w:rFonts w:ascii="Cambria Math" w:hAnsi="Cambria Math"/>
                    </w:rPr>
                  </m:ctrlPr>
                </m:dPr>
                <m:e>
                  <m:acc>
                    <m:accPr>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1.96 SE</m:t>
                  </m:r>
                  <m:d>
                    <m:dPr>
                      <m:ctrlPr>
                        <w:rPr>
                          <w:rFonts w:ascii="Cambria Math" w:hAnsi="Cambria Math"/>
                        </w:rPr>
                      </m:ctrlPr>
                    </m:dPr>
                    <m:e>
                      <m:acc>
                        <m:accPr>
                          <m:ctrlPr>
                            <w:rPr>
                              <w:rFonts w:ascii="Cambria Math" w:hAnsi="Cambria Math"/>
                            </w:rPr>
                          </m:ctrlPr>
                        </m:accPr>
                        <m:e>
                          <m:r>
                            <w:rPr>
                              <w:rFonts w:ascii="Cambria Math" w:hAnsi="Cambria Math"/>
                            </w:rPr>
                            <m:t>β</m:t>
                          </m:r>
                        </m:e>
                      </m:acc>
                    </m:e>
                  </m:d>
                </m:e>
              </m:d>
              <m:r>
                <m:rPr>
                  <m:sty m:val="p"/>
                </m:rPr>
                <w:rPr>
                  <w:rFonts w:ascii="Cambria Math" w:hAnsi="Cambria Math"/>
                </w:rPr>
                <m:t>,exp</m:t>
              </m:r>
              <m:d>
                <m:dPr>
                  <m:ctrlPr>
                    <w:rPr>
                      <w:rFonts w:ascii="Cambria Math" w:hAnsi="Cambria Math"/>
                    </w:rPr>
                  </m:ctrlPr>
                </m:dPr>
                <m:e>
                  <m:acc>
                    <m:accPr>
                      <m:ctrlPr>
                        <w:rPr>
                          <w:rFonts w:ascii="Cambria Math" w:hAnsi="Cambria Math"/>
                        </w:rPr>
                      </m:ctrlPr>
                    </m:accPr>
                    <m:e>
                      <m:r>
                        <w:rPr>
                          <w:rFonts w:ascii="Cambria Math" w:hAnsi="Cambria Math"/>
                        </w:rPr>
                        <m:t>β</m:t>
                      </m:r>
                    </m:e>
                  </m:acc>
                  <m:r>
                    <m:rPr>
                      <m:sty m:val="p"/>
                    </m:rPr>
                    <w:rPr>
                      <w:rFonts w:ascii="Cambria Math" w:hAnsi="Cambria Math"/>
                    </w:rPr>
                    <m:t>+</m:t>
                  </m:r>
                  <m:r>
                    <w:rPr>
                      <w:rFonts w:ascii="Cambria Math" w:hAnsi="Cambria Math"/>
                    </w:rPr>
                    <m:t>1.96 SE</m:t>
                  </m:r>
                  <m:d>
                    <m:dPr>
                      <m:ctrlPr>
                        <w:rPr>
                          <w:rFonts w:ascii="Cambria Math" w:hAnsi="Cambria Math"/>
                        </w:rPr>
                      </m:ctrlPr>
                    </m:dPr>
                    <m:e>
                      <m:acc>
                        <m:accPr>
                          <m:ctrlPr>
                            <w:rPr>
                              <w:rFonts w:ascii="Cambria Math" w:hAnsi="Cambria Math"/>
                            </w:rPr>
                          </m:ctrlPr>
                        </m:accPr>
                        <m:e>
                          <m:r>
                            <w:rPr>
                              <w:rFonts w:ascii="Cambria Math" w:hAnsi="Cambria Math"/>
                            </w:rPr>
                            <m:t>β</m:t>
                          </m:r>
                        </m:e>
                      </m:acc>
                    </m:e>
                  </m:d>
                </m:e>
              </m:d>
            </m:e>
          </m:d>
          <m:r>
            <m:rPr>
              <m:sty m:val="p"/>
            </m:rPr>
            <w:rPr>
              <w:rFonts w:ascii="Cambria Math" w:hAnsi="Cambria Math"/>
            </w:rPr>
            <m:t>.</m:t>
          </m:r>
        </m:oMath>
      </m:oMathPara>
    </w:p>
    <w:p w14:paraId="30837DC7" w14:textId="77777777" w:rsidR="00A005E1" w:rsidRDefault="00A005E1" w:rsidP="00A005E1">
      <w:pPr>
        <w:pStyle w:val="Heading2"/>
        <w:spacing w:line="480" w:lineRule="auto"/>
      </w:pPr>
      <w:bookmarkStart w:id="38" w:name="summary-of-the-methodological-logic"/>
      <w:bookmarkEnd w:id="37"/>
      <w:r>
        <w:t>Summary of the methodological logic</w:t>
      </w:r>
    </w:p>
    <w:p w14:paraId="3F7D03AD" w14:textId="77777777" w:rsidR="00A005E1" w:rsidRDefault="00A005E1" w:rsidP="00A005E1">
      <w:pPr>
        <w:spacing w:line="480" w:lineRule="auto"/>
      </w:pPr>
      <w:r>
        <w:t>The methodology can be summarized in five steps:</w:t>
      </w:r>
    </w:p>
    <w:p w14:paraId="3A02C928" w14:textId="77777777" w:rsidR="00A005E1" w:rsidRDefault="00A005E1" w:rsidP="00A005E1">
      <w:pPr>
        <w:numPr>
          <w:ilvl w:val="0"/>
          <w:numId w:val="4"/>
        </w:numPr>
        <w:spacing w:line="480" w:lineRule="auto"/>
      </w:pPr>
      <w:r>
        <w:t>rebuild the operator-year panel from the DIOPS universe, avoiding complete-case selection that would exclude the financially distressed tail;</w:t>
      </w:r>
    </w:p>
    <w:p w14:paraId="17EBDE0C" w14:textId="77777777" w:rsidR="00A005E1" w:rsidRDefault="00A005E1" w:rsidP="00A005E1">
      <w:pPr>
        <w:numPr>
          <w:ilvl w:val="0"/>
          <w:numId w:val="4"/>
        </w:numPr>
        <w:spacing w:line="480" w:lineRule="auto"/>
      </w:pPr>
      <w:r>
        <w:lastRenderedPageBreak/>
        <w:t>reconstruct the MLR, operating margin, current ratio, and equity directly from regulatory accounts;</w:t>
      </w:r>
    </w:p>
    <w:p w14:paraId="4EB23605" w14:textId="77777777" w:rsidR="00A005E1" w:rsidRDefault="00A005E1" w:rsidP="00A005E1">
      <w:pPr>
        <w:numPr>
          <w:ilvl w:val="0"/>
          <w:numId w:val="4"/>
        </w:numPr>
        <w:spacing w:line="480" w:lineRule="auto"/>
      </w:pPr>
      <w:r>
        <w:t>define accounting-based fragility as the combination of negative operating margin and weak current liquidity, while reporting the stricter three-condition equity-based version as a supplementary analysis;</w:t>
      </w:r>
    </w:p>
    <w:p w14:paraId="25CF387B" w14:textId="77777777" w:rsidR="00A005E1" w:rsidRDefault="00A005E1" w:rsidP="00A005E1">
      <w:pPr>
        <w:numPr>
          <w:ilvl w:val="0"/>
          <w:numId w:val="4"/>
        </w:numPr>
        <w:spacing w:line="480" w:lineRule="auto"/>
      </w:pPr>
      <w:r>
        <w:t xml:space="preserve">estimate predictive logit models in which the MLR in </w:t>
      </w:r>
      <m:oMath>
        <m:r>
          <w:rPr>
            <w:rFonts w:ascii="Cambria Math" w:hAnsi="Cambria Math"/>
          </w:rPr>
          <m:t>t</m:t>
        </m:r>
      </m:oMath>
      <w:r>
        <w:t xml:space="preserve"> predicts outcomes in </w:t>
      </w:r>
      <m:oMath>
        <m:r>
          <w:rPr>
            <w:rFonts w:ascii="Cambria Math" w:hAnsi="Cambria Math"/>
          </w:rPr>
          <m:t>t</m:t>
        </m:r>
        <m:r>
          <m:rPr>
            <m:sty m:val="p"/>
          </m:rPr>
          <w:rPr>
            <w:rFonts w:ascii="Cambria Math" w:hAnsi="Cambria Math"/>
          </w:rPr>
          <m:t>+</m:t>
        </m:r>
        <m:r>
          <w:rPr>
            <w:rFonts w:ascii="Cambria Math" w:hAnsi="Cambria Math"/>
          </w:rPr>
          <m:t>1</m:t>
        </m:r>
      </m:oMath>
      <w:r>
        <w:t xml:space="preserve"> or, for forced regulatory exit, in </w:t>
      </w:r>
      <m:oMath>
        <m:r>
          <w:rPr>
            <w:rFonts w:ascii="Cambria Math" w:hAnsi="Cambria Math"/>
          </w:rPr>
          <m:t>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oMath>
      <w:r>
        <w:t>;</w:t>
      </w:r>
    </w:p>
    <w:p w14:paraId="19B69848" w14:textId="77777777" w:rsidR="00A005E1" w:rsidRDefault="00A005E1" w:rsidP="00A005E1">
      <w:pPr>
        <w:numPr>
          <w:ilvl w:val="0"/>
          <w:numId w:val="4"/>
        </w:numPr>
        <w:spacing w:line="480" w:lineRule="auto"/>
      </w:pPr>
      <w:r>
        <w:t>assess whether the MLR is merely statistically associated with the outcomes or whether it also has sufficient discriminatory capacity for use as an independent classifier.</w:t>
      </w:r>
    </w:p>
    <w:p w14:paraId="0CFCD495" w14:textId="77777777" w:rsidR="00A005E1" w:rsidRDefault="00A005E1" w:rsidP="00A005E1">
      <w:pPr>
        <w:pStyle w:val="Heading2"/>
        <w:spacing w:line="480" w:lineRule="auto"/>
      </w:pPr>
      <w:bookmarkStart w:id="39" w:name="interpretive-limits"/>
      <w:bookmarkEnd w:id="38"/>
      <w:r>
        <w:t>Interpretive limits</w:t>
      </w:r>
    </w:p>
    <w:p w14:paraId="5A74041C" w14:textId="77777777" w:rsidR="00A005E1" w:rsidRDefault="00A005E1" w:rsidP="00A005E1">
      <w:pPr>
        <w:spacing w:line="480" w:lineRule="auto"/>
      </w:pPr>
      <w:r>
        <w:t>The strategy is explicitly predictive, not causal. The association between high MLR and future fragility may reflect claims pressure, pre-existing operating weakness, structural characteristics of operators, or regulatory mechanisms. The temporal shift and the use of outcomes external to the accounting statement reduce the possibility that the result is only an accounting identity, but they do not eliminate endogeneity, reverse causality, or accounting discretion in claims measurement.</w:t>
      </w:r>
    </w:p>
    <w:p w14:paraId="2FCE97EA" w14:textId="77777777" w:rsidR="00A005E1" w:rsidRDefault="00A005E1" w:rsidP="00A005E1">
      <w:pPr>
        <w:spacing w:line="480" w:lineRule="auto"/>
      </w:pPr>
      <w:r>
        <w:t>The methodological conclusion is that the MLR is a transparent and replicable marker of elevated risk, especially as an upper-quartile threshold, but it should be used together with modality, size, liquidity, equity, operating history, and other regulatory indicators.</w:t>
      </w:r>
    </w:p>
    <w:bookmarkEnd w:id="39"/>
    <w:p w14:paraId="28167AE8" w14:textId="77777777" w:rsidR="00DC2479" w:rsidRDefault="00DC2479"/>
    <w:sectPr w:rsidR="00DC2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04B"/>
    <w:multiLevelType w:val="multilevel"/>
    <w:tmpl w:val="C94608E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32E78EB"/>
    <w:multiLevelType w:val="multilevel"/>
    <w:tmpl w:val="25B6262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355C5B84"/>
    <w:multiLevelType w:val="multilevel"/>
    <w:tmpl w:val="59B276A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44A647CC"/>
    <w:multiLevelType w:val="hybridMultilevel"/>
    <w:tmpl w:val="502AE9E4"/>
    <w:lvl w:ilvl="0" w:tplc="518CE584">
      <w:start w:val="1"/>
      <w:numFmt w:val="bullet"/>
      <w:lvlText w:val="●"/>
      <w:lvlJc w:val="left"/>
      <w:pPr>
        <w:ind w:left="720" w:hanging="360"/>
      </w:pPr>
    </w:lvl>
    <w:lvl w:ilvl="1" w:tplc="B302C39E">
      <w:start w:val="1"/>
      <w:numFmt w:val="bullet"/>
      <w:lvlText w:val="○"/>
      <w:lvlJc w:val="left"/>
      <w:pPr>
        <w:ind w:left="1440" w:hanging="360"/>
      </w:pPr>
    </w:lvl>
    <w:lvl w:ilvl="2" w:tplc="242C3282">
      <w:start w:val="1"/>
      <w:numFmt w:val="bullet"/>
      <w:lvlText w:val="■"/>
      <w:lvlJc w:val="left"/>
      <w:pPr>
        <w:ind w:left="2160" w:hanging="360"/>
      </w:pPr>
    </w:lvl>
    <w:lvl w:ilvl="3" w:tplc="0A9697F0">
      <w:start w:val="1"/>
      <w:numFmt w:val="bullet"/>
      <w:lvlText w:val="●"/>
      <w:lvlJc w:val="left"/>
      <w:pPr>
        <w:ind w:left="2880" w:hanging="360"/>
      </w:pPr>
    </w:lvl>
    <w:lvl w:ilvl="4" w:tplc="4BF8D182">
      <w:start w:val="1"/>
      <w:numFmt w:val="bullet"/>
      <w:lvlText w:val="○"/>
      <w:lvlJc w:val="left"/>
      <w:pPr>
        <w:ind w:left="3600" w:hanging="360"/>
      </w:pPr>
    </w:lvl>
    <w:lvl w:ilvl="5" w:tplc="02B891E0">
      <w:start w:val="1"/>
      <w:numFmt w:val="bullet"/>
      <w:lvlText w:val="■"/>
      <w:lvlJc w:val="left"/>
      <w:pPr>
        <w:ind w:left="4320" w:hanging="360"/>
      </w:pPr>
    </w:lvl>
    <w:lvl w:ilvl="6" w:tplc="C9CAE57C">
      <w:start w:val="1"/>
      <w:numFmt w:val="bullet"/>
      <w:lvlText w:val="●"/>
      <w:lvlJc w:val="left"/>
      <w:pPr>
        <w:ind w:left="5040" w:hanging="360"/>
      </w:pPr>
    </w:lvl>
    <w:lvl w:ilvl="7" w:tplc="53BCB76E">
      <w:start w:val="1"/>
      <w:numFmt w:val="bullet"/>
      <w:lvlText w:val="●"/>
      <w:lvlJc w:val="left"/>
      <w:pPr>
        <w:ind w:left="5760" w:hanging="360"/>
      </w:pPr>
    </w:lvl>
    <w:lvl w:ilvl="8" w:tplc="88AA76D0">
      <w:start w:val="1"/>
      <w:numFmt w:val="bullet"/>
      <w:lvlText w:val="●"/>
      <w:lvlJc w:val="left"/>
      <w:pPr>
        <w:ind w:left="6480" w:hanging="360"/>
      </w:pPr>
    </w:lvl>
  </w:abstractNum>
  <w:num w:numId="1" w16cid:durableId="205455519">
    <w:abstractNumId w:val="3"/>
    <w:lvlOverride w:ilvl="0">
      <w:startOverride w:val="1"/>
    </w:lvlOverride>
  </w:num>
  <w:num w:numId="2" w16cid:durableId="637959061">
    <w:abstractNumId w:val="1"/>
  </w:num>
  <w:num w:numId="3" w16cid:durableId="463235906">
    <w:abstractNumId w:val="0"/>
  </w:num>
  <w:num w:numId="4" w16cid:durableId="893272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E1"/>
    <w:rsid w:val="00487A42"/>
    <w:rsid w:val="005B6877"/>
    <w:rsid w:val="00A005E1"/>
    <w:rsid w:val="00AA0C39"/>
    <w:rsid w:val="00DC2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0B8"/>
  <w15:chartTrackingRefBased/>
  <w15:docId w15:val="{F0B5C249-651C-482F-B104-B324E86D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E1"/>
    <w:pPr>
      <w:spacing w:after="0" w:line="240" w:lineRule="auto"/>
    </w:pPr>
    <w:rPr>
      <w:rFonts w:ascii="Times New Roman" w:eastAsia="Times New Roman" w:hAnsi="Times New Roman" w:cs="Times New Roman"/>
      <w:kern w:val="0"/>
      <w:lang w:val="pt-BR" w:eastAsia="pt-BR"/>
      <w14:ligatures w14:val="none"/>
    </w:rPr>
  </w:style>
  <w:style w:type="paragraph" w:styleId="Heading1">
    <w:name w:val="heading 1"/>
    <w:basedOn w:val="Normal"/>
    <w:next w:val="Normal"/>
    <w:link w:val="Heading1Char"/>
    <w:uiPriority w:val="9"/>
    <w:qFormat/>
    <w:rsid w:val="00A0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E1"/>
    <w:rPr>
      <w:rFonts w:eastAsiaTheme="majorEastAsia" w:cstheme="majorBidi"/>
      <w:color w:val="272727" w:themeColor="text1" w:themeTint="D8"/>
    </w:rPr>
  </w:style>
  <w:style w:type="paragraph" w:styleId="Title">
    <w:name w:val="Title"/>
    <w:basedOn w:val="Normal"/>
    <w:next w:val="Normal"/>
    <w:link w:val="TitleChar"/>
    <w:uiPriority w:val="10"/>
    <w:qFormat/>
    <w:rsid w:val="00A00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E1"/>
    <w:pPr>
      <w:spacing w:before="160"/>
      <w:jc w:val="center"/>
    </w:pPr>
    <w:rPr>
      <w:i/>
      <w:iCs/>
      <w:color w:val="404040" w:themeColor="text1" w:themeTint="BF"/>
    </w:rPr>
  </w:style>
  <w:style w:type="character" w:customStyle="1" w:styleId="QuoteChar">
    <w:name w:val="Quote Char"/>
    <w:basedOn w:val="DefaultParagraphFont"/>
    <w:link w:val="Quote"/>
    <w:uiPriority w:val="29"/>
    <w:rsid w:val="00A005E1"/>
    <w:rPr>
      <w:i/>
      <w:iCs/>
      <w:color w:val="404040" w:themeColor="text1" w:themeTint="BF"/>
    </w:rPr>
  </w:style>
  <w:style w:type="paragraph" w:styleId="ListParagraph">
    <w:name w:val="List Paragraph"/>
    <w:basedOn w:val="Normal"/>
    <w:qFormat/>
    <w:rsid w:val="00A005E1"/>
    <w:pPr>
      <w:ind w:left="720"/>
      <w:contextualSpacing/>
    </w:pPr>
  </w:style>
  <w:style w:type="character" w:styleId="IntenseEmphasis">
    <w:name w:val="Intense Emphasis"/>
    <w:basedOn w:val="DefaultParagraphFont"/>
    <w:uiPriority w:val="21"/>
    <w:qFormat/>
    <w:rsid w:val="00A005E1"/>
    <w:rPr>
      <w:i/>
      <w:iCs/>
      <w:color w:val="0F4761" w:themeColor="accent1" w:themeShade="BF"/>
    </w:rPr>
  </w:style>
  <w:style w:type="paragraph" w:styleId="IntenseQuote">
    <w:name w:val="Intense Quote"/>
    <w:basedOn w:val="Normal"/>
    <w:next w:val="Normal"/>
    <w:link w:val="IntenseQuoteChar"/>
    <w:uiPriority w:val="30"/>
    <w:qFormat/>
    <w:rsid w:val="00A0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E1"/>
    <w:rPr>
      <w:i/>
      <w:iCs/>
      <w:color w:val="0F4761" w:themeColor="accent1" w:themeShade="BF"/>
    </w:rPr>
  </w:style>
  <w:style w:type="character" w:styleId="IntenseReference">
    <w:name w:val="Intense Reference"/>
    <w:basedOn w:val="DefaultParagraphFont"/>
    <w:uiPriority w:val="32"/>
    <w:qFormat/>
    <w:rsid w:val="00A005E1"/>
    <w:rPr>
      <w:b/>
      <w:bCs/>
      <w:smallCaps/>
      <w:color w:val="0F4761" w:themeColor="accent1" w:themeShade="BF"/>
      <w:spacing w:val="5"/>
    </w:rPr>
  </w:style>
  <w:style w:type="paragraph" w:customStyle="1" w:styleId="Forte1">
    <w:name w:val="Forte1"/>
    <w:qFormat/>
    <w:rsid w:val="00A005E1"/>
    <w:pPr>
      <w:spacing w:after="0" w:line="240" w:lineRule="auto"/>
    </w:pPr>
    <w:rPr>
      <w:rFonts w:ascii="Times New Roman" w:eastAsia="Times New Roman" w:hAnsi="Times New Roman" w:cs="Times New Roman"/>
      <w:b/>
      <w:bCs/>
      <w:kern w:val="0"/>
      <w:lang w:val="pt-BR" w:eastAsia="pt-BR"/>
      <w14:ligatures w14:val="none"/>
    </w:rPr>
  </w:style>
  <w:style w:type="character" w:styleId="Hyperlink">
    <w:name w:val="Hyperlink"/>
    <w:uiPriority w:val="99"/>
    <w:unhideWhenUsed/>
    <w:rsid w:val="00A005E1"/>
    <w:rPr>
      <w:color w:val="0563C1"/>
      <w:u w:val="single"/>
    </w:rPr>
  </w:style>
  <w:style w:type="character" w:styleId="FootnoteReference">
    <w:name w:val="footnote reference"/>
    <w:uiPriority w:val="99"/>
    <w:semiHidden/>
    <w:unhideWhenUsed/>
    <w:rsid w:val="00A005E1"/>
    <w:rPr>
      <w:vertAlign w:val="superscript"/>
    </w:rPr>
  </w:style>
  <w:style w:type="paragraph" w:styleId="FootnoteText">
    <w:name w:val="footnote text"/>
    <w:link w:val="FootnoteTextChar"/>
    <w:uiPriority w:val="99"/>
    <w:semiHidden/>
    <w:unhideWhenUsed/>
    <w:rsid w:val="00A005E1"/>
    <w:pPr>
      <w:spacing w:after="0" w:line="240" w:lineRule="auto"/>
    </w:pPr>
    <w:rPr>
      <w:rFonts w:ascii="Times New Roman" w:eastAsia="Times New Roman" w:hAnsi="Times New Roman" w:cs="Times New Roman"/>
      <w:kern w:val="0"/>
      <w:sz w:val="20"/>
      <w:szCs w:val="20"/>
      <w:lang w:val="pt-BR" w:eastAsia="pt-BR"/>
      <w14:ligatures w14:val="none"/>
    </w:rPr>
  </w:style>
  <w:style w:type="character" w:customStyle="1" w:styleId="FootnoteTextChar">
    <w:name w:val="Footnote Text Char"/>
    <w:basedOn w:val="DefaultParagraphFont"/>
    <w:link w:val="FootnoteText"/>
    <w:uiPriority w:val="99"/>
    <w:semiHidden/>
    <w:rsid w:val="00A005E1"/>
    <w:rPr>
      <w:rFonts w:ascii="Times New Roman" w:eastAsia="Times New Roman" w:hAnsi="Times New Roman" w:cs="Times New Roman"/>
      <w:kern w:val="0"/>
      <w:sz w:val="20"/>
      <w:szCs w:val="20"/>
      <w:lang w:val="pt-BR" w:eastAsia="pt-BR"/>
      <w14:ligatures w14:val="none"/>
    </w:rPr>
  </w:style>
  <w:style w:type="character" w:styleId="EndnoteReference">
    <w:name w:val="endnote reference"/>
    <w:uiPriority w:val="99"/>
    <w:semiHidden/>
    <w:unhideWhenUsed/>
    <w:rsid w:val="00A005E1"/>
    <w:rPr>
      <w:vertAlign w:val="superscript"/>
    </w:rPr>
  </w:style>
  <w:style w:type="paragraph" w:styleId="EndnoteText">
    <w:name w:val="endnote text"/>
    <w:link w:val="EndnoteTextChar"/>
    <w:uiPriority w:val="99"/>
    <w:semiHidden/>
    <w:unhideWhenUsed/>
    <w:rsid w:val="00A005E1"/>
    <w:pPr>
      <w:spacing w:after="0" w:line="240" w:lineRule="auto"/>
    </w:pPr>
    <w:rPr>
      <w:rFonts w:ascii="Times New Roman" w:eastAsia="Times New Roman" w:hAnsi="Times New Roman" w:cs="Times New Roman"/>
      <w:kern w:val="0"/>
      <w:sz w:val="20"/>
      <w:szCs w:val="20"/>
      <w:lang w:val="pt-BR" w:eastAsia="pt-BR"/>
      <w14:ligatures w14:val="none"/>
    </w:rPr>
  </w:style>
  <w:style w:type="character" w:customStyle="1" w:styleId="EndnoteTextChar">
    <w:name w:val="Endnote Text Char"/>
    <w:basedOn w:val="DefaultParagraphFont"/>
    <w:link w:val="EndnoteText"/>
    <w:uiPriority w:val="99"/>
    <w:semiHidden/>
    <w:rsid w:val="00A005E1"/>
    <w:rPr>
      <w:rFonts w:ascii="Times New Roman" w:eastAsia="Times New Roman" w:hAnsi="Times New Roman" w:cs="Times New Roman"/>
      <w:kern w:val="0"/>
      <w:sz w:val="20"/>
      <w:szCs w:val="20"/>
      <w:lang w:val="pt-BR" w:eastAsia="pt-BR"/>
      <w14:ligatures w14:val="none"/>
    </w:rPr>
  </w:style>
  <w:style w:type="character" w:styleId="LineNumber">
    <w:name w:val="line number"/>
    <w:basedOn w:val="DefaultParagraphFont"/>
    <w:uiPriority w:val="99"/>
    <w:semiHidden/>
    <w:unhideWhenUsed/>
    <w:rsid w:val="00A0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2026-07-15T06:32:00Z</dcterms:created>
  <dcterms:modified xsi:type="dcterms:W3CDTF">2026-07-15T06:33:00Z</dcterms:modified>
</cp:coreProperties>
</file>