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t>Appendix A: Conceptual Framework and Core Characteristics of Transition Finance</w:t>
      </w:r>
    </w:p>
    <w:p>
      <w:r>
        <w:t>A.1 Conceptual Framework of Transition Finance</w:t>
      </w:r>
    </w:p>
    <w:p>
      <w:r>
        <w:t>Concept and core characteristics of transition finance. The concept of transition finance was formally articulated in international policy discussions after 2019. It refers to financial activities that support high-emission firms, assets, or economic activities in moving toward low-carbon, climate-resilient, and ultimately net-zero pathways. Unlike conventional green finance, which mainly supports already-green or near-zero-carbon projects, transition finance is designed for existing carbon-intensive entities whose decarbonization requires staged investment, technological upgrading, credible transition plans, and continuous performance monitoring. The G20 Sustainable Finance Report defines transition finance as financial services that support the transition of the whole economy toward low-carbon and net-zero emissions and climate resilience under the sustainable development framework. Although definitions differ across the G20, OECD, ICMA, CBI, the European Union, and national regulators, most definitions share two core elements: first, transition finance targets carbon-intensive sectors or activities that cannot immediately become zero-carbon; second, it requires financing to be linked to verifiable transition activities, such as energy-efficiency upgrading, cleaner production, low-carbon process transformation, fuel substitution, carbon capture, and measurable reductions in emissions intensity.</w:t>
      </w:r>
    </w:p>
    <w:p>
      <w:r>
        <w:t>A.2 Core Differences Between Transition Finance and Green Finance</w:t>
      </w:r>
    </w:p>
    <w:p>
      <w:r>
        <w:t>To clearly define the scope of this study, Table A1 compares transition finance and green finance across several dimensions. The key distinction lies in the object of support. Green finance primarily supports pure green or near-zero-carbon activities, while transition finance supports the low-carbon upgrading process of existing high-emission firms and assets. This distinction is particularly important for the empirical design of this paper. Because transition finance became a formal policy and market concept only after 2019, some pre-2019 financial instruments issued under the green-finance label may still be treated as transition-oriented support when their disclosed use of proceeds can be verified as directly financing the low-carbon upgrading of existing carbon-intensive operations.</w:t>
      </w:r>
    </w:p>
    <w:p>
      <w:r>
        <w:t>Table A1. Comparison Between Transition Finance and Green Finance</w:t>
      </w:r>
    </w:p>
    <w:tbl>
      <w:tblPr>
        <w:tblW w:type="auto" w:w="0"/>
        <w:tblLook w:firstColumn="1" w:firstRow="1" w:lastColumn="0" w:lastRow="0" w:noHBand="0" w:noVBand="1" w:val="04A0"/>
      </w:tblPr>
      <w:tblGrid>
        <w:gridCol w:w="2769"/>
        <w:gridCol w:w="2769"/>
        <w:gridCol w:w="2769"/>
      </w:tblGrid>
      <w:tr>
        <w:tc>
          <w:tcPr>
            <w:tcW w:type="dxa" w:w="2769"/>
          </w:tcPr>
          <w:p>
            <w:r>
              <w:t>Dimension</w:t>
            </w:r>
          </w:p>
        </w:tc>
        <w:tc>
          <w:tcPr>
            <w:tcW w:type="dxa" w:w="2769"/>
          </w:tcPr>
          <w:p>
            <w:r>
              <w:t>Transition Finance</w:t>
            </w:r>
          </w:p>
        </w:tc>
        <w:tc>
          <w:tcPr>
            <w:tcW w:type="dxa" w:w="2769"/>
          </w:tcPr>
          <w:p>
            <w:r>
              <w:t>Green Finance</w:t>
            </w:r>
          </w:p>
        </w:tc>
      </w:tr>
      <w:tr>
        <w:tc>
          <w:tcPr>
            <w:tcW w:type="dxa" w:w="2769"/>
          </w:tcPr>
          <w:p>
            <w:r>
              <w:t>Core concept</w:t>
            </w:r>
          </w:p>
        </w:tc>
        <w:tc>
          <w:tcPr>
            <w:tcW w:type="dxa" w:w="2769"/>
          </w:tcPr>
          <w:p>
            <w:r>
              <w:t>Supports process-based decarbonization and the gradual transformation of carbon-intensive firms, assets, and production systems.</w:t>
            </w:r>
          </w:p>
        </w:tc>
        <w:tc>
          <w:tcPr>
            <w:tcW w:type="dxa" w:w="2769"/>
          </w:tcPr>
          <w:p>
            <w:r>
              <w:t>Supports pure green or near-zero-carbon economic activities.</w:t>
            </w:r>
          </w:p>
        </w:tc>
      </w:tr>
      <w:tr>
        <w:tc>
          <w:tcPr>
            <w:tcW w:type="dxa" w:w="2769"/>
          </w:tcPr>
          <w:p>
            <w:r>
              <w:t>Primary objective</w:t>
            </w:r>
          </w:p>
        </w:tc>
        <w:tc>
          <w:tcPr>
            <w:tcW w:type="dxa" w:w="2769"/>
          </w:tcPr>
          <w:p>
            <w:r>
              <w:t>Promote credible, measurable, and staged low-carbon transition in high-emission sectors.</w:t>
            </w:r>
          </w:p>
        </w:tc>
        <w:tc>
          <w:tcPr>
            <w:tcW w:type="dxa" w:w="2769"/>
          </w:tcPr>
          <w:p>
            <w:r>
              <w:t>Directly support activities with clear positive environmental benefits, such as renewable energy and pollution control.</w:t>
            </w:r>
          </w:p>
        </w:tc>
      </w:tr>
      <w:tr>
        <w:tc>
          <w:tcPr>
            <w:tcW w:type="dxa" w:w="2769"/>
          </w:tcPr>
          <w:p>
            <w:r>
              <w:t>Supported entities and activities</w:t>
            </w:r>
          </w:p>
        </w:tc>
        <w:tc>
          <w:tcPr>
            <w:tcW w:type="dxa" w:w="2769"/>
          </w:tcPr>
          <w:p>
            <w:r>
              <w:t>Existing high-emission firms or activities with credible transition plans, including energy-efficiency upgrading, fuel substitution, cleaner production, and carbon capture.</w:t>
            </w:r>
          </w:p>
        </w:tc>
        <w:tc>
          <w:tcPr>
            <w:tcW w:type="dxa" w:w="2769"/>
          </w:tcPr>
          <w:p>
            <w:r>
              <w:t>Purely green or near-zero-carbon activities, such as renewable energy generation, ecological conservation, green transport, and pollution treatment.</w:t>
            </w:r>
          </w:p>
        </w:tc>
      </w:tr>
      <w:tr>
        <w:tc>
          <w:tcPr>
            <w:tcW w:type="dxa" w:w="2769"/>
          </w:tcPr>
          <w:p>
            <w:r>
              <w:t>Disclosure and verification requirements</w:t>
            </w:r>
          </w:p>
        </w:tc>
        <w:tc>
          <w:tcPr>
            <w:tcW w:type="dxa" w:w="2769"/>
          </w:tcPr>
          <w:p>
            <w:r>
              <w:t>Requires transition pathways, baseline emissions, targets, key performance indicators, use-of-proceeds disclosure, progress tracking, and often third-party verification.</w:t>
            </w:r>
          </w:p>
        </w:tc>
        <w:tc>
          <w:tcPr>
            <w:tcW w:type="dxa" w:w="2769"/>
          </w:tcPr>
          <w:p>
            <w:r>
              <w:t>Emphasizes use of proceeds, project eligibility, and expected or realized environmental benefits.</w:t>
            </w:r>
          </w:p>
        </w:tc>
      </w:tr>
      <w:tr>
        <w:tc>
          <w:tcPr>
            <w:tcW w:type="dxa" w:w="2769"/>
          </w:tcPr>
          <w:p>
            <w:r>
              <w:t>Typical instruments</w:t>
            </w:r>
          </w:p>
        </w:tc>
        <w:tc>
          <w:tcPr>
            <w:tcW w:type="dxa" w:w="2769"/>
          </w:tcPr>
          <w:p>
            <w:r>
              <w:t>Transition bonds, transition loans, sustainability-linked bonds, sustainability-linked loans, and other instruments linked to transition performance.</w:t>
            </w:r>
          </w:p>
        </w:tc>
        <w:tc>
          <w:tcPr>
            <w:tcW w:type="dxa" w:w="2769"/>
          </w:tcPr>
          <w:p>
            <w:r>
              <w:t>Green bonds, green loans, green funds, green insurance, and other products supporting green projects.</w:t>
            </w:r>
          </w:p>
        </w:tc>
      </w:tr>
      <w:tr>
        <w:tc>
          <w:tcPr>
            <w:tcW w:type="dxa" w:w="2769"/>
          </w:tcPr>
          <w:p>
            <w:r>
              <w:t>Empirical boundary in this study</w:t>
            </w:r>
          </w:p>
        </w:tc>
        <w:tc>
          <w:tcPr>
            <w:tcW w:type="dxa" w:w="2769"/>
          </w:tcPr>
          <w:p>
            <w:r>
              <w:t>Includes verified transition-finance instruments and pre-2019 green-finance instruments only when the use of proceeds directly supports low-carbon upgrading of existing high-emission operations.</w:t>
            </w:r>
          </w:p>
        </w:tc>
        <w:tc>
          <w:tcPr>
            <w:tcW w:type="dxa" w:w="2769"/>
          </w:tcPr>
          <w:p>
            <w:r>
              <w:t>General green finance for pure green projects or unrelated green subsidiaries is not coded as transition-finance treatment.</w:t>
            </w:r>
          </w:p>
        </w:tc>
      </w:tr>
    </w:tbl>
    <w:p>
      <w:r>
        <w:t>Appendix B: Construction and Description of Core Variables</w:t>
      </w:r>
    </w:p>
    <w:p>
      <w:r>
        <w:t>B.1 Verified Transition Finance Support and Treatment Timing</w:t>
      </w:r>
    </w:p>
    <w:p>
      <w:r>
        <w:t>The core explanatory variable in this study is not constructed from textual disclosure or principal component analysis. Instead, treatment status is anchored in verified financing events. A firm is coded as receiving transition-finance support when it obtains an auditable financing instrument whose use of proceeds, sustainability performance targets, or disclosed financing purpose can be linked to the low-carbon upgrading of existing carbon-intensive operations. Eligible evidence includes transition-bond prospectuses, sustainability-linked bond or loan documents, transition-loan announcements, exchange filings, annual reports, CSR or ESG reports, and other publicly available financing documents.</w:t>
      </w:r>
    </w:p>
    <w:p>
      <w:r>
        <w:t>Let G_i denote the first fiscal year in which firm i receives verified transition-finance support. The treatment-status variable Tran_i,t equals one for firm-year observations with t &gt;= G_i and zero otherwise. Firms that never receive verified support during the sample period remain in the comparison group. The dynamic event-study specification uses relative-year indicators around G_i and omits the year immediately before the first verified support event, k = -1, as the reference period. The baseline effect reported in the main text is the aggregated post-treatment average treatment effect on the treated.</w:t>
      </w:r>
    </w:p>
    <w:p>
      <w:r>
        <w:t>In addition to treatment status, the study records the verified financing amount. The amount-based variable, TFAmount_i,t, is measured as the natural logarithm of one plus the verified transition-finance amount scaled by total assets. This measure is used for intensity-related supplementary analysis. Textual disclosure of transition-related terms is not used to define the main treatment variable, because disclosure language may reflect strategic communication rather than substantive capital support.</w:t>
      </w:r>
    </w:p>
    <w:p>
      <w:r>
        <w:t>Table B1. Identification Rules for Verified Transition-Finance Support</w:t>
      </w:r>
    </w:p>
    <w:tbl>
      <w:tblPr>
        <w:tblW w:type="auto" w:w="0"/>
        <w:tblLook w:firstColumn="1" w:firstRow="1" w:lastColumn="0" w:lastRow="0" w:noHBand="0" w:noVBand="1" w:val="04A0"/>
      </w:tblPr>
      <w:tblGrid>
        <w:gridCol w:w="1661"/>
        <w:gridCol w:w="1661"/>
        <w:gridCol w:w="1661"/>
        <w:gridCol w:w="1661"/>
        <w:gridCol w:w="1661"/>
      </w:tblGrid>
      <w:tr>
        <w:tc>
          <w:tcPr>
            <w:tcW w:type="dxa" w:w="1661"/>
          </w:tcPr>
          <w:p>
            <w:r>
              <w:t>Identification element</w:t>
            </w:r>
          </w:p>
        </w:tc>
        <w:tc>
          <w:tcPr>
            <w:tcW w:type="dxa" w:w="1661"/>
          </w:tcPr>
          <w:p>
            <w:r>
              <w:t>Inclusion rule</w:t>
            </w:r>
          </w:p>
        </w:tc>
        <w:tc>
          <w:tcPr>
            <w:tcW w:type="dxa" w:w="1661"/>
          </w:tcPr>
          <w:p>
            <w:r>
              <w:t>Accepted evidence</w:t>
            </w:r>
          </w:p>
        </w:tc>
        <w:tc>
          <w:tcPr>
            <w:tcW w:type="dxa" w:w="1661"/>
          </w:tcPr>
          <w:p>
            <w:r>
              <w:t>Coding rule</w:t>
            </w:r>
          </w:p>
        </w:tc>
        <w:tc>
          <w:tcPr>
            <w:tcW w:type="dxa" w:w="1661"/>
          </w:tcPr>
          <w:p>
            <w:r>
              <w:t>Exclusion rule</w:t>
            </w:r>
          </w:p>
        </w:tc>
      </w:tr>
      <w:tr>
        <w:tc>
          <w:tcPr>
            <w:tcW w:type="dxa" w:w="1661"/>
          </w:tcPr>
          <w:p>
            <w:r>
              <w:t>Post-2019 transition-finance instruments</w:t>
            </w:r>
          </w:p>
        </w:tc>
        <w:tc>
          <w:tcPr>
            <w:tcW w:type="dxa" w:w="1661"/>
          </w:tcPr>
          <w:p>
            <w:r>
              <w:t>Included when the instrument is explicitly labelled or structured as transition finance, transition bond, transition loan, or sustainability-linked finance.</w:t>
            </w:r>
          </w:p>
        </w:tc>
        <w:tc>
          <w:tcPr>
            <w:tcW w:type="dxa" w:w="1661"/>
          </w:tcPr>
          <w:p>
            <w:r>
              <w:t>Prospectuses, loan announcements, exchange filings, annual reports, CSR/ESG reports, and disclosed KPI documents.</w:t>
            </w:r>
          </w:p>
        </w:tc>
        <w:tc>
          <w:tcPr>
            <w:tcW w:type="dxa" w:w="1661"/>
          </w:tcPr>
          <w:p>
            <w:r>
              <w:t>The first verified receipt year is coded as G_i; Tran_i,t = 1 for t &gt;= G_i.</w:t>
            </w:r>
          </w:p>
        </w:tc>
        <w:tc>
          <w:tcPr>
            <w:tcW w:type="dxa" w:w="1661"/>
          </w:tcPr>
          <w:p>
            <w:r>
              <w:t>Excluded if no firm-level financing event or transition-related use of proceeds can be verified.</w:t>
            </w:r>
          </w:p>
        </w:tc>
      </w:tr>
      <w:tr>
        <w:tc>
          <w:tcPr>
            <w:tcW w:type="dxa" w:w="1661"/>
          </w:tcPr>
          <w:p>
            <w:r>
              <w:t>Pre-2019 green-finance instruments</w:t>
            </w:r>
          </w:p>
        </w:tc>
        <w:tc>
          <w:tcPr>
            <w:tcW w:type="dxa" w:w="1661"/>
          </w:tcPr>
          <w:p>
            <w:r>
              <w:t>Included only when the use of proceeds directly supports low-carbon upgrading of existing high-emission operations.</w:t>
            </w:r>
          </w:p>
        </w:tc>
        <w:tc>
          <w:tcPr>
            <w:tcW w:type="dxa" w:w="1661"/>
          </w:tcPr>
          <w:p>
            <w:r>
              <w:t>Green-bond or green-loan documents, project descriptions, annual reports, and disclosed fund-allocation information.</w:t>
            </w:r>
          </w:p>
        </w:tc>
        <w:tc>
          <w:tcPr>
            <w:tcW w:type="dxa" w:w="1661"/>
          </w:tcPr>
          <w:p>
            <w:r>
              <w:t>Accepted as transition-oriented support if the project upgrades existing carbon-intensive production rather than financing unrelated green activities.</w:t>
            </w:r>
          </w:p>
        </w:tc>
        <w:tc>
          <w:tcPr>
            <w:tcW w:type="dxa" w:w="1661"/>
          </w:tcPr>
          <w:p>
            <w:r>
              <w:t>Excluded if the funds support pure green projects, unrelated subsidiaries, or general environmental activities outside the firm's carbon-intensive operations.</w:t>
            </w:r>
          </w:p>
        </w:tc>
      </w:tr>
      <w:tr>
        <w:tc>
          <w:tcPr>
            <w:tcW w:type="dxa" w:w="1661"/>
          </w:tcPr>
          <w:p>
            <w:r>
              <w:t>Sustainability-linked instruments</w:t>
            </w:r>
          </w:p>
        </w:tc>
        <w:tc>
          <w:tcPr>
            <w:tcW w:type="dxa" w:w="1661"/>
          </w:tcPr>
          <w:p>
            <w:r>
              <w:t>Included when financing terms are linked to transition KPIs such as emissions intensity, energy efficiency, cleaner production, or green technology upgrading.</w:t>
            </w:r>
          </w:p>
        </w:tc>
        <w:tc>
          <w:tcPr>
            <w:tcW w:type="dxa" w:w="1661"/>
          </w:tcPr>
          <w:p>
            <w:r>
              <w:t>SLB/SLL documents, KPI target documents, annual progress reports, or third-party verification documents.</w:t>
            </w:r>
          </w:p>
        </w:tc>
        <w:tc>
          <w:tcPr>
            <w:tcW w:type="dxa" w:w="1661"/>
          </w:tcPr>
          <w:p>
            <w:r>
              <w:t>Treatment begins in the first year of verified issuance or receipt.</w:t>
            </w:r>
          </w:p>
        </w:tc>
        <w:tc>
          <w:tcPr>
            <w:tcW w:type="dxa" w:w="1661"/>
          </w:tcPr>
          <w:p>
            <w:r>
              <w:t>Excluded if KPIs are generic ESG indicators without a credible low-carbon transition link.</w:t>
            </w:r>
          </w:p>
        </w:tc>
      </w:tr>
      <w:tr>
        <w:tc>
          <w:tcPr>
            <w:tcW w:type="dxa" w:w="1661"/>
          </w:tcPr>
          <w:p>
            <w:r>
              <w:t>Transition-finance amount</w:t>
            </w:r>
          </w:p>
        </w:tc>
        <w:tc>
          <w:tcPr>
            <w:tcW w:type="dxa" w:w="1661"/>
          </w:tcPr>
          <w:p>
            <w:r>
              <w:t>Recorded when the financing amount is disclosed or can be inferred from issuance size.</w:t>
            </w:r>
          </w:p>
        </w:tc>
        <w:tc>
          <w:tcPr>
            <w:tcW w:type="dxa" w:w="1661"/>
          </w:tcPr>
          <w:p>
            <w:r>
              <w:t>Issuance amount, loan amount, prospectus information, or public financing announcements.</w:t>
            </w:r>
          </w:p>
        </w:tc>
        <w:tc>
          <w:tcPr>
            <w:tcW w:type="dxa" w:w="1661"/>
          </w:tcPr>
          <w:p>
            <w:r>
              <w:t>TFAmount_i,t = ln(1 + verified transition-finance amount / total assets).</w:t>
            </w:r>
          </w:p>
        </w:tc>
        <w:tc>
          <w:tcPr>
            <w:tcW w:type="dxa" w:w="1661"/>
          </w:tcPr>
          <w:p>
            <w:r>
              <w:t>No amount is imputed from textual claims alone.</w:t>
            </w:r>
          </w:p>
        </w:tc>
      </w:tr>
      <w:tr>
        <w:tc>
          <w:tcPr>
            <w:tcW w:type="dxa" w:w="1661"/>
          </w:tcPr>
          <w:p>
            <w:r>
              <w:t>Textual disclosure</w:t>
            </w:r>
          </w:p>
        </w:tc>
        <w:tc>
          <w:tcPr>
            <w:tcW w:type="dxa" w:w="1661"/>
          </w:tcPr>
          <w:p>
            <w:r>
              <w:t>Used only as auxiliary validation of transition-related narratives and not as the main treatment definition.</w:t>
            </w:r>
          </w:p>
        </w:tc>
        <w:tc>
          <w:tcPr>
            <w:tcW w:type="dxa" w:w="1661"/>
          </w:tcPr>
          <w:p>
            <w:r>
              <w:t>Annual reports, CSR reports, ESG reports, and management discussion sections.</w:t>
            </w:r>
          </w:p>
        </w:tc>
        <w:tc>
          <w:tcPr>
            <w:tcW w:type="dxa" w:w="1661"/>
          </w:tcPr>
          <w:p>
            <w:r>
              <w:t>Keyword frequencies can be standardized for supplementary descriptive checks.</w:t>
            </w:r>
          </w:p>
        </w:tc>
        <w:tc>
          <w:tcPr>
            <w:tcW w:type="dxa" w:w="1661"/>
          </w:tcPr>
          <w:p>
            <w:r>
              <w:t>Textual statements without verified financing events do not generate treatment status.</w:t>
            </w:r>
          </w:p>
        </w:tc>
      </w:tr>
    </w:tbl>
    <w:p>
      <w:r>
        <w:t>B.2 Textual Dictionary for Auxiliary Validation</w:t>
      </w:r>
    </w:p>
    <w:p>
      <w:r>
        <w:t>Although textual disclosure is not used to construct the main explanatory variable, the study retains a transition-finance keyword dictionary for auxiliary validation and measurement transparency. The dictionary is built from three sources: international transition-finance frameworks and policy documents, academic literature on transition finance and green finance, and frequently used terms in corporate annual reports, CSR reports, ESG reports, and financing prospectuses.</w:t>
      </w:r>
    </w:p>
    <w:p>
      <w:r>
        <w:t>Because the formal concept of transition finance emerged after 2019, the dictionary also includes selected green-finance terms such as green bonds, green credit, and green loans. These terms are not automatically treated as transition-finance support. They are used to help locate relevant documents, after which manual verification determines whether the disclosed funds support low-carbon upgrading of existing carbon-intensive operations.</w:t>
      </w:r>
    </w:p>
    <w:p>
      <w:r>
        <w:t>The final keyword set is classified into three categories:</w:t>
      </w:r>
    </w:p>
    <w:p>
      <w:r>
        <w:t>(1) Transition finance instruments and policy frameworks: transition finance, transition bonds, transition loans, transition funds, sustainability-linked bonds, sustainability-linked loans, carbon-emission reduction support instruments, transition policies, transition frameworks, transition taxonomy, climate transition finance, just transition, green bonds, green credit, green loans, and green finance.</w:t>
      </w:r>
    </w:p>
    <w:p>
      <w:r>
        <w:t>(2) Action pathways and technological solutions: transition activities, transition projects, low-carbon transition, carbon emission reduction, carbon capture, energy efficiency improvement, cleaner production, energy saving and carbon reduction, pollution and carbon reduction, climate mitigation, climate adaptation, and low-carbon technological upgrading.</w:t>
      </w:r>
    </w:p>
    <w:p>
      <w:r>
        <w:t>(3) Strategic management and targets: transition strategy, transition pathway, transition targets, transition plan, transition risk, carbon risk, carbon footprint, emissions-intensity target, sustainability performance target, environmental responsibility, and ESG governance.</w:t>
      </w:r>
    </w:p>
    <w:p>
      <w:r>
        <w:t>B.3 Measurement Details of Other Variables</w:t>
      </w:r>
    </w:p>
    <w:p>
      <w:r>
        <w:t>Corporate ESG Performance (ESG_i,t).</w:t>
      </w:r>
    </w:p>
    <w:p>
      <w:r>
        <w:t>Corporate ESG performance is measured using the Huazheng ESG rating. The rating system evaluates firms across environmental, social, and governance dimensions and is widely used in studies of Chinese listed companies.</w:t>
      </w:r>
    </w:p>
    <w:p>
      <w:r>
        <w:t>Green Capital Expenditure (GreenCapEx).</w:t>
      </w:r>
    </w:p>
    <w:p>
      <w:r>
        <w:t>Green capital expenditure is measured as verified green capital expenditure scaled by total assets. It includes investment in energy-saving equipment, environmental protection facilities, cleaner production projects, green technological upgrading, and low-carbon process transformation. The classification follows the Green Industry Guidance Catalogue and firm-level disclosures on project use of funds.</w:t>
      </w:r>
    </w:p>
    <w:p>
      <w:r>
        <w:t>Green Invention Patents (GreenPatent).</w:t>
      </w:r>
    </w:p>
    <w:p>
      <w:r>
        <w:t>Green technological innovation is measured by the natural logarithm of one plus the number of green invention patent applications filed by a firm in a given year. Green patents are identified using environmental-technology-related IPC codes, and the data are obtained from official patent databases and matched to listed firms.</w:t>
      </w:r>
    </w:p>
    <w:p>
      <w:r>
        <w:t>Carbon-Emission Intensity (CarbonIntensity).</w:t>
      </w:r>
    </w:p>
    <w:p>
      <w:r>
        <w:t>Carbon-emission intensity is measured as total carbon emissions divided by operating revenue. This revenue-based measure captures the amount of carbon emissions generated per unit of business output; a lower value indicates better environmental performance. This variable is used as the main environmental-outcome mechanism in the mechanism tests.</w:t>
      </w:r>
    </w:p>
    <w:p>
      <w:r>
        <w:t>Path Dependence and Technological Lock-in.</w:t>
      </w:r>
    </w:p>
    <w:p>
      <w:r>
        <w:t>Path dependence is proxied by the share of carbon-intensive assets, calculated as the net value of carbon-intensive fixed assets divided by total assets. Technological lock-in is measured by the share of traditional technology patents, defined as patents related to fossil-energy utilization and carbon-intensive production processes divided by the total number of patents.</w:t>
      </w:r>
    </w:p>
    <w:p>
      <w:r>
        <w:t>Appendix C: Supplementary Empirical Diagnostics</w:t>
      </w:r>
    </w:p>
    <w:p>
      <w:r>
        <w:t>C.1 Auxiliary Instrumental-Variable Diagnostics</w:t>
      </w:r>
    </w:p>
    <w:p>
      <w:r>
        <w:t>The instrumental-variable analysis is used as auxiliary evidence to address residual endogeneity concerns rather than as a replacement for the baseline staggered DID design. The instrument, BartikIV, interacts firms' initial external financing dependence with the national growth of transition-finance instruments. Several diagnostic tests are reported in Table C1. The excluded-instrument first-stage F-statistic is 35.127, exceeding the conventional threshold of 10. The Kleibergen-Paap rk LM statistic rejects the null of underidentification. The Kleibergen-Paap rk Wald F statistic also exceeds the Stock-Yogo critical value at the 10% level, suggesting that weak-instrument concerns are limited.</w:t>
      </w:r>
    </w:p>
    <w:p>
      <w:r>
        <w:t>Table C1. Auxiliary Instrumental-Variable Diagnostic Tests</w:t>
      </w:r>
    </w:p>
    <w:tbl>
      <w:tblPr>
        <w:tblW w:type="auto" w:w="0"/>
        <w:tblLook w:firstColumn="1" w:firstRow="1" w:lastColumn="0" w:lastRow="0" w:noHBand="0" w:noVBand="1" w:val="04A0"/>
      </w:tblPr>
      <w:tblGrid>
        <w:gridCol w:w="1384"/>
        <w:gridCol w:w="1384"/>
        <w:gridCol w:w="1384"/>
        <w:gridCol w:w="1384"/>
        <w:gridCol w:w="1384"/>
        <w:gridCol w:w="1384"/>
      </w:tblGrid>
      <w:tr>
        <w:tc>
          <w:tcPr>
            <w:tcW w:type="dxa" w:w="1384"/>
          </w:tcPr>
          <w:p>
            <w:r>
              <w:t>Test item</w:t>
            </w:r>
          </w:p>
        </w:tc>
        <w:tc>
          <w:tcPr>
            <w:tcW w:type="dxa" w:w="1384"/>
          </w:tcPr>
          <w:p>
            <w:r>
              <w:t>Statistic name</w:t>
            </w:r>
          </w:p>
        </w:tc>
        <w:tc>
          <w:tcPr>
            <w:tcW w:type="dxa" w:w="1384"/>
          </w:tcPr>
          <w:p>
            <w:r>
              <w:t>Statistic value</w:t>
            </w:r>
          </w:p>
        </w:tc>
        <w:tc>
          <w:tcPr>
            <w:tcW w:type="dxa" w:w="1384"/>
          </w:tcPr>
          <w:p>
            <w:r>
              <w:t>p-value</w:t>
            </w:r>
          </w:p>
        </w:tc>
        <w:tc>
          <w:tcPr>
            <w:tcW w:type="dxa" w:w="1384"/>
          </w:tcPr>
          <w:p>
            <w:r>
              <w:t>Decision threshold</w:t>
            </w:r>
          </w:p>
        </w:tc>
        <w:tc>
          <w:tcPr>
            <w:tcW w:type="dxa" w:w="1384"/>
          </w:tcPr>
          <w:p>
            <w:r>
              <w:t>Conclusion</w:t>
            </w:r>
          </w:p>
        </w:tc>
      </w:tr>
      <w:tr>
        <w:tc>
          <w:tcPr>
            <w:tcW w:type="dxa" w:w="1384"/>
          </w:tcPr>
          <w:p>
            <w:r>
              <w:t>Excluded instrument relevance</w:t>
            </w:r>
          </w:p>
        </w:tc>
        <w:tc>
          <w:tcPr>
            <w:tcW w:type="dxa" w:w="1384"/>
          </w:tcPr>
          <w:p>
            <w:r>
              <w:t>First-stage F-statistic</w:t>
            </w:r>
          </w:p>
        </w:tc>
        <w:tc>
          <w:tcPr>
            <w:tcW w:type="dxa" w:w="1384"/>
          </w:tcPr>
          <w:p>
            <w:r>
              <w:t>35.127</w:t>
            </w:r>
          </w:p>
        </w:tc>
        <w:tc>
          <w:tcPr>
            <w:tcW w:type="dxa" w:w="1384"/>
          </w:tcPr>
          <w:p>
            <w:r/>
          </w:p>
        </w:tc>
        <w:tc>
          <w:tcPr>
            <w:tcW w:type="dxa" w:w="1384"/>
          </w:tcPr>
          <w:p>
            <w:r>
              <w:t>&gt; 10</w:t>
            </w:r>
          </w:p>
        </w:tc>
        <w:tc>
          <w:tcPr>
            <w:tcW w:type="dxa" w:w="1384"/>
          </w:tcPr>
          <w:p>
            <w:r>
              <w:t>Reject the weak-instrument concern.</w:t>
            </w:r>
          </w:p>
        </w:tc>
      </w:tr>
      <w:tr>
        <w:tc>
          <w:tcPr>
            <w:tcW w:type="dxa" w:w="1384"/>
          </w:tcPr>
          <w:p>
            <w:r>
              <w:t>Underidentification</w:t>
            </w:r>
          </w:p>
        </w:tc>
        <w:tc>
          <w:tcPr>
            <w:tcW w:type="dxa" w:w="1384"/>
          </w:tcPr>
          <w:p>
            <w:r>
              <w:t>Kleibergen-Paap rk LM statistic</w:t>
            </w:r>
          </w:p>
        </w:tc>
        <w:tc>
          <w:tcPr>
            <w:tcW w:type="dxa" w:w="1384"/>
          </w:tcPr>
          <w:p>
            <w:r>
              <w:t>26.452</w:t>
            </w:r>
          </w:p>
        </w:tc>
        <w:tc>
          <w:tcPr>
            <w:tcW w:type="dxa" w:w="1384"/>
          </w:tcPr>
          <w:p>
            <w:r>
              <w:t>0.0001</w:t>
            </w:r>
          </w:p>
        </w:tc>
        <w:tc>
          <w:tcPr>
            <w:tcW w:type="dxa" w:w="1384"/>
          </w:tcPr>
          <w:p>
            <w:r>
              <w:t>p &lt; 0.1</w:t>
            </w:r>
          </w:p>
        </w:tc>
        <w:tc>
          <w:tcPr>
            <w:tcW w:type="dxa" w:w="1384"/>
          </w:tcPr>
          <w:p>
            <w:r>
              <w:t>Reject the null of underidentification.</w:t>
            </w:r>
          </w:p>
        </w:tc>
      </w:tr>
      <w:tr>
        <w:tc>
          <w:tcPr>
            <w:tcW w:type="dxa" w:w="1384"/>
          </w:tcPr>
          <w:p>
            <w:r>
              <w:t>Weak-instrument robustness</w:t>
            </w:r>
          </w:p>
        </w:tc>
        <w:tc>
          <w:tcPr>
            <w:tcW w:type="dxa" w:w="1384"/>
          </w:tcPr>
          <w:p>
            <w:r>
              <w:t>Kleibergen-Paap rk Wald F statistic</w:t>
            </w:r>
          </w:p>
        </w:tc>
        <w:tc>
          <w:tcPr>
            <w:tcW w:type="dxa" w:w="1384"/>
          </w:tcPr>
          <w:p>
            <w:r>
              <w:t>36.891</w:t>
            </w:r>
          </w:p>
        </w:tc>
        <w:tc>
          <w:tcPr>
            <w:tcW w:type="dxa" w:w="1384"/>
          </w:tcPr>
          <w:p>
            <w:r/>
          </w:p>
        </w:tc>
        <w:tc>
          <w:tcPr>
            <w:tcW w:type="dxa" w:w="1384"/>
          </w:tcPr>
          <w:p>
            <w:r>
              <w:t>Stock-Yogo 10% critical value = 16.38</w:t>
            </w:r>
          </w:p>
        </w:tc>
        <w:tc>
          <w:tcPr>
            <w:tcW w:type="dxa" w:w="1384"/>
          </w:tcPr>
          <w:p>
            <w:r>
              <w:t>The statistic exceeds the critical value.</w:t>
            </w:r>
          </w:p>
        </w:tc>
      </w:tr>
    </w:tbl>
    <w:p>
      <w:r>
        <w:t>C.2 Balance Test for Propensity Score Matching (PSM)</w:t>
      </w:r>
    </w:p>
    <w:p>
      <w:r>
        <w:t>To mitigate potential self-selection based on observable characteristics, the study uses a 1:2 nearest-neighbor propensity score matching procedure as a robustness check. Treated firms are firms that receive verified transition-finance support during the sample period, while comparison firms are not-yet-treated or never-treated firms. Matching is based on pre-treatment firm characteristics, including firm size, age, leverage, profitability, receivables, fixed assets, cash holdings, board size, independent-director ratio, ownership concentration, shareholding structure, management expenses, and tunneling-related variables. After matching, all standardized biases fall below the conventional 10% threshold, and the t-tests show no significant covariate differences between treated and comparison firms, indicating that the matched sample is balanced.</w:t>
      </w:r>
    </w:p>
    <w:p>
      <w:r>
        <w:t>Table C2. Balance Test Before and After PSM Matching</w:t>
      </w:r>
    </w:p>
    <w:tbl>
      <w:tblPr>
        <w:tblW w:type="auto" w:w="0"/>
        <w:tblLook w:firstColumn="1" w:firstRow="1" w:lastColumn="0" w:lastRow="0" w:noHBand="0" w:noVBand="1" w:val="04A0"/>
      </w:tblPr>
      <w:tblGrid>
        <w:gridCol w:w="1038"/>
        <w:gridCol w:w="1038"/>
        <w:gridCol w:w="1038"/>
        <w:gridCol w:w="1038"/>
        <w:gridCol w:w="1038"/>
        <w:gridCol w:w="1038"/>
        <w:gridCol w:w="1038"/>
        <w:gridCol w:w="1038"/>
      </w:tblGrid>
      <w:tr>
        <w:tc>
          <w:tcPr>
            <w:tcW w:type="dxa" w:w="1038"/>
          </w:tcPr>
          <w:p>
            <w:r>
              <w:t>Covariate</w:t>
            </w:r>
          </w:p>
        </w:tc>
        <w:tc>
          <w:tcPr>
            <w:tcW w:type="dxa" w:w="1038"/>
          </w:tcPr>
          <w:p>
            <w:r>
              <w:t>Matching status</w:t>
            </w:r>
          </w:p>
        </w:tc>
        <w:tc>
          <w:tcPr>
            <w:tcW w:type="dxa" w:w="1038"/>
          </w:tcPr>
          <w:p>
            <w:r>
              <w:t>Treated group mean</w:t>
            </w:r>
          </w:p>
        </w:tc>
        <w:tc>
          <w:tcPr>
            <w:tcW w:type="dxa" w:w="1038"/>
          </w:tcPr>
          <w:p>
            <w:r>
              <w:t>Comparison group mean</w:t>
            </w:r>
          </w:p>
        </w:tc>
        <w:tc>
          <w:tcPr>
            <w:tcW w:type="dxa" w:w="1038"/>
          </w:tcPr>
          <w:p>
            <w:r>
              <w:t>Standardized bias (%)</w:t>
            </w:r>
          </w:p>
        </w:tc>
        <w:tc>
          <w:tcPr>
            <w:tcW w:type="dxa" w:w="1038"/>
          </w:tcPr>
          <w:p>
            <w:r>
              <w:t>Bias reduction (%)</w:t>
            </w:r>
          </w:p>
        </w:tc>
        <w:tc>
          <w:tcPr>
            <w:tcW w:type="dxa" w:w="1038"/>
          </w:tcPr>
          <w:p>
            <w:r>
              <w:t>t-value</w:t>
            </w:r>
          </w:p>
        </w:tc>
        <w:tc>
          <w:tcPr>
            <w:tcW w:type="dxa" w:w="1038"/>
          </w:tcPr>
          <w:p>
            <w:r>
              <w:t>p-value</w:t>
            </w:r>
          </w:p>
        </w:tc>
      </w:tr>
      <w:tr>
        <w:tc>
          <w:tcPr>
            <w:tcW w:type="dxa" w:w="1038"/>
          </w:tcPr>
          <w:p>
            <w:r>
              <w:t>size</w:t>
            </w:r>
          </w:p>
        </w:tc>
        <w:tc>
          <w:tcPr>
            <w:tcW w:type="dxa" w:w="1038"/>
          </w:tcPr>
          <w:p>
            <w:r>
              <w:t>Unmatched</w:t>
            </w:r>
          </w:p>
        </w:tc>
        <w:tc>
          <w:tcPr>
            <w:tcW w:type="dxa" w:w="1038"/>
          </w:tcPr>
          <w:p>
            <w:r>
              <w:t>22.894</w:t>
            </w:r>
          </w:p>
        </w:tc>
        <w:tc>
          <w:tcPr>
            <w:tcW w:type="dxa" w:w="1038"/>
          </w:tcPr>
          <w:p>
            <w:r>
              <w:t>22.178</w:t>
            </w:r>
          </w:p>
        </w:tc>
        <w:tc>
          <w:tcPr>
            <w:tcW w:type="dxa" w:w="1038"/>
          </w:tcPr>
          <w:p>
            <w:r>
              <w:t>28.6</w:t>
            </w:r>
          </w:p>
        </w:tc>
        <w:tc>
          <w:tcPr>
            <w:tcW w:type="dxa" w:w="1038"/>
          </w:tcPr>
          <w:p>
            <w:r>
              <w:t>-</w:t>
            </w:r>
          </w:p>
        </w:tc>
        <w:tc>
          <w:tcPr>
            <w:tcW w:type="dxa" w:w="1038"/>
          </w:tcPr>
          <w:p>
            <w:r>
              <w:t>12.45</w:t>
            </w:r>
          </w:p>
        </w:tc>
        <w:tc>
          <w:tcPr>
            <w:tcW w:type="dxa" w:w="1038"/>
          </w:tcPr>
          <w:p>
            <w:r>
              <w:t>0.000</w:t>
            </w:r>
          </w:p>
        </w:tc>
      </w:tr>
      <w:tr>
        <w:tc>
          <w:tcPr>
            <w:tcW w:type="dxa" w:w="1038"/>
          </w:tcPr>
          <w:p>
            <w:r/>
          </w:p>
        </w:tc>
        <w:tc>
          <w:tcPr>
            <w:tcW w:type="dxa" w:w="1038"/>
          </w:tcPr>
          <w:p>
            <w:r>
              <w:t>Matched</w:t>
            </w:r>
          </w:p>
        </w:tc>
        <w:tc>
          <w:tcPr>
            <w:tcW w:type="dxa" w:w="1038"/>
          </w:tcPr>
          <w:p>
            <w:r>
              <w:t>22.891</w:t>
            </w:r>
          </w:p>
        </w:tc>
        <w:tc>
          <w:tcPr>
            <w:tcW w:type="dxa" w:w="1038"/>
          </w:tcPr>
          <w:p>
            <w:r>
              <w:t>22.845</w:t>
            </w:r>
          </w:p>
        </w:tc>
        <w:tc>
          <w:tcPr>
            <w:tcW w:type="dxa" w:w="1038"/>
          </w:tcPr>
          <w:p>
            <w:r>
              <w:t>1.8</w:t>
            </w:r>
          </w:p>
        </w:tc>
        <w:tc>
          <w:tcPr>
            <w:tcW w:type="dxa" w:w="1038"/>
          </w:tcPr>
          <w:p>
            <w:r>
              <w:t>93.7</w:t>
            </w:r>
          </w:p>
        </w:tc>
        <w:tc>
          <w:tcPr>
            <w:tcW w:type="dxa" w:w="1038"/>
          </w:tcPr>
          <w:p>
            <w:r>
              <w:t>0.73</w:t>
            </w:r>
          </w:p>
        </w:tc>
        <w:tc>
          <w:tcPr>
            <w:tcW w:type="dxa" w:w="1038"/>
          </w:tcPr>
          <w:p>
            <w:r>
              <w:t>0.465</w:t>
            </w:r>
          </w:p>
        </w:tc>
      </w:tr>
      <w:tr>
        <w:tc>
          <w:tcPr>
            <w:tcW w:type="dxa" w:w="1038"/>
          </w:tcPr>
          <w:p>
            <w:r>
              <w:t>age</w:t>
            </w:r>
          </w:p>
        </w:tc>
        <w:tc>
          <w:tcPr>
            <w:tcW w:type="dxa" w:w="1038"/>
          </w:tcPr>
          <w:p>
            <w:r>
              <w:t>Unmatched</w:t>
            </w:r>
          </w:p>
        </w:tc>
        <w:tc>
          <w:tcPr>
            <w:tcW w:type="dxa" w:w="1038"/>
          </w:tcPr>
          <w:p>
            <w:r>
              <w:t>2.512</w:t>
            </w:r>
          </w:p>
        </w:tc>
        <w:tc>
          <w:tcPr>
            <w:tcW w:type="dxa" w:w="1038"/>
          </w:tcPr>
          <w:p>
            <w:r>
              <w:t>2.246</w:t>
            </w:r>
          </w:p>
        </w:tc>
        <w:tc>
          <w:tcPr>
            <w:tcW w:type="dxa" w:w="1038"/>
          </w:tcPr>
          <w:p>
            <w:r>
              <w:t>23.4</w:t>
            </w:r>
          </w:p>
        </w:tc>
        <w:tc>
          <w:tcPr>
            <w:tcW w:type="dxa" w:w="1038"/>
          </w:tcPr>
          <w:p>
            <w:r>
              <w:t>-</w:t>
            </w:r>
          </w:p>
        </w:tc>
        <w:tc>
          <w:tcPr>
            <w:tcW w:type="dxa" w:w="1038"/>
          </w:tcPr>
          <w:p>
            <w:r>
              <w:t>10.18</w:t>
            </w:r>
          </w:p>
        </w:tc>
        <w:tc>
          <w:tcPr>
            <w:tcW w:type="dxa" w:w="1038"/>
          </w:tcPr>
          <w:p>
            <w:r>
              <w:t>0.000</w:t>
            </w:r>
          </w:p>
        </w:tc>
      </w:tr>
      <w:tr>
        <w:tc>
          <w:tcPr>
            <w:tcW w:type="dxa" w:w="1038"/>
          </w:tcPr>
          <w:p>
            <w:r/>
          </w:p>
        </w:tc>
        <w:tc>
          <w:tcPr>
            <w:tcW w:type="dxa" w:w="1038"/>
          </w:tcPr>
          <w:p>
            <w:r>
              <w:t>Matched</w:t>
            </w:r>
          </w:p>
        </w:tc>
        <w:tc>
          <w:tcPr>
            <w:tcW w:type="dxa" w:w="1038"/>
          </w:tcPr>
          <w:p>
            <w:r>
              <w:t>2.509</w:t>
            </w:r>
          </w:p>
        </w:tc>
        <w:tc>
          <w:tcPr>
            <w:tcW w:type="dxa" w:w="1038"/>
          </w:tcPr>
          <w:p>
            <w:r>
              <w:t>2.487</w:t>
            </w:r>
          </w:p>
        </w:tc>
        <w:tc>
          <w:tcPr>
            <w:tcW w:type="dxa" w:w="1038"/>
          </w:tcPr>
          <w:p>
            <w:r>
              <w:t>2.1</w:t>
            </w:r>
          </w:p>
        </w:tc>
        <w:tc>
          <w:tcPr>
            <w:tcW w:type="dxa" w:w="1038"/>
          </w:tcPr>
          <w:p>
            <w:r>
              <w:t>91.0</w:t>
            </w:r>
          </w:p>
        </w:tc>
        <w:tc>
          <w:tcPr>
            <w:tcW w:type="dxa" w:w="1038"/>
          </w:tcPr>
          <w:p>
            <w:r>
              <w:t>0.84</w:t>
            </w:r>
          </w:p>
        </w:tc>
        <w:tc>
          <w:tcPr>
            <w:tcW w:type="dxa" w:w="1038"/>
          </w:tcPr>
          <w:p>
            <w:r>
              <w:t>0.401</w:t>
            </w:r>
          </w:p>
        </w:tc>
      </w:tr>
      <w:tr>
        <w:tc>
          <w:tcPr>
            <w:tcW w:type="dxa" w:w="1038"/>
          </w:tcPr>
          <w:p>
            <w:r>
              <w:t>lev</w:t>
            </w:r>
          </w:p>
        </w:tc>
        <w:tc>
          <w:tcPr>
            <w:tcW w:type="dxa" w:w="1038"/>
          </w:tcPr>
          <w:p>
            <w:r>
              <w:t>Unmatched</w:t>
            </w:r>
          </w:p>
        </w:tc>
        <w:tc>
          <w:tcPr>
            <w:tcW w:type="dxa" w:w="1038"/>
          </w:tcPr>
          <w:p>
            <w:r>
              <w:t>0.452</w:t>
            </w:r>
          </w:p>
        </w:tc>
        <w:tc>
          <w:tcPr>
            <w:tcW w:type="dxa" w:w="1038"/>
          </w:tcPr>
          <w:p>
            <w:r>
              <w:t>0.392</w:t>
            </w:r>
          </w:p>
        </w:tc>
        <w:tc>
          <w:tcPr>
            <w:tcW w:type="dxa" w:w="1038"/>
          </w:tcPr>
          <w:p>
            <w:r>
              <w:t>31.2</w:t>
            </w:r>
          </w:p>
        </w:tc>
        <w:tc>
          <w:tcPr>
            <w:tcW w:type="dxa" w:w="1038"/>
          </w:tcPr>
          <w:p>
            <w:r>
              <w:t>-</w:t>
            </w:r>
          </w:p>
        </w:tc>
        <w:tc>
          <w:tcPr>
            <w:tcW w:type="dxa" w:w="1038"/>
          </w:tcPr>
          <w:p>
            <w:r>
              <w:t>13.56</w:t>
            </w:r>
          </w:p>
        </w:tc>
        <w:tc>
          <w:tcPr>
            <w:tcW w:type="dxa" w:w="1038"/>
          </w:tcPr>
          <w:p>
            <w:r>
              <w:t>0.000</w:t>
            </w:r>
          </w:p>
        </w:tc>
      </w:tr>
      <w:tr>
        <w:tc>
          <w:tcPr>
            <w:tcW w:type="dxa" w:w="1038"/>
          </w:tcPr>
          <w:p>
            <w:r/>
          </w:p>
        </w:tc>
        <w:tc>
          <w:tcPr>
            <w:tcW w:type="dxa" w:w="1038"/>
          </w:tcPr>
          <w:p>
            <w:r>
              <w:t>Matched</w:t>
            </w:r>
          </w:p>
        </w:tc>
        <w:tc>
          <w:tcPr>
            <w:tcW w:type="dxa" w:w="1038"/>
          </w:tcPr>
          <w:p>
            <w:r>
              <w:t>0.451</w:t>
            </w:r>
          </w:p>
        </w:tc>
        <w:tc>
          <w:tcPr>
            <w:tcW w:type="dxa" w:w="1038"/>
          </w:tcPr>
          <w:p>
            <w:r>
              <w:t>0.446</w:t>
            </w:r>
          </w:p>
        </w:tc>
        <w:tc>
          <w:tcPr>
            <w:tcW w:type="dxa" w:w="1038"/>
          </w:tcPr>
          <w:p>
            <w:r>
              <w:t>2.5</w:t>
            </w:r>
          </w:p>
        </w:tc>
        <w:tc>
          <w:tcPr>
            <w:tcW w:type="dxa" w:w="1038"/>
          </w:tcPr>
          <w:p>
            <w:r>
              <w:t>92.0</w:t>
            </w:r>
          </w:p>
        </w:tc>
        <w:tc>
          <w:tcPr>
            <w:tcW w:type="dxa" w:w="1038"/>
          </w:tcPr>
          <w:p>
            <w:r>
              <w:t>1.02</w:t>
            </w:r>
          </w:p>
        </w:tc>
        <w:tc>
          <w:tcPr>
            <w:tcW w:type="dxa" w:w="1038"/>
          </w:tcPr>
          <w:p>
            <w:r>
              <w:t>0.308</w:t>
            </w:r>
          </w:p>
        </w:tc>
      </w:tr>
      <w:tr>
        <w:tc>
          <w:tcPr>
            <w:tcW w:type="dxa" w:w="1038"/>
          </w:tcPr>
          <w:p>
            <w:r>
              <w:t>roa</w:t>
            </w:r>
          </w:p>
        </w:tc>
        <w:tc>
          <w:tcPr>
            <w:tcW w:type="dxa" w:w="1038"/>
          </w:tcPr>
          <w:p>
            <w:r>
              <w:t>Unmatched</w:t>
            </w:r>
          </w:p>
        </w:tc>
        <w:tc>
          <w:tcPr>
            <w:tcW w:type="dxa" w:w="1038"/>
          </w:tcPr>
          <w:p>
            <w:r>
              <w:t>0.052</w:t>
            </w:r>
          </w:p>
        </w:tc>
        <w:tc>
          <w:tcPr>
            <w:tcW w:type="dxa" w:w="1038"/>
          </w:tcPr>
          <w:p>
            <w:r>
              <w:t>0.040</w:t>
            </w:r>
          </w:p>
        </w:tc>
        <w:tc>
          <w:tcPr>
            <w:tcW w:type="dxa" w:w="1038"/>
          </w:tcPr>
          <w:p>
            <w:r>
              <w:t>20.8</w:t>
            </w:r>
          </w:p>
        </w:tc>
        <w:tc>
          <w:tcPr>
            <w:tcW w:type="dxa" w:w="1038"/>
          </w:tcPr>
          <w:p>
            <w:r>
              <w:t>-</w:t>
            </w:r>
          </w:p>
        </w:tc>
        <w:tc>
          <w:tcPr>
            <w:tcW w:type="dxa" w:w="1038"/>
          </w:tcPr>
          <w:p>
            <w:r>
              <w:t>9.04</w:t>
            </w:r>
          </w:p>
        </w:tc>
        <w:tc>
          <w:tcPr>
            <w:tcW w:type="dxa" w:w="1038"/>
          </w:tcPr>
          <w:p>
            <w:r>
              <w:t>0.000</w:t>
            </w:r>
          </w:p>
        </w:tc>
      </w:tr>
      <w:tr>
        <w:tc>
          <w:tcPr>
            <w:tcW w:type="dxa" w:w="1038"/>
          </w:tcPr>
          <w:p>
            <w:r/>
          </w:p>
        </w:tc>
        <w:tc>
          <w:tcPr>
            <w:tcW w:type="dxa" w:w="1038"/>
          </w:tcPr>
          <w:p>
            <w:r>
              <w:t>Matched</w:t>
            </w:r>
          </w:p>
        </w:tc>
        <w:tc>
          <w:tcPr>
            <w:tcW w:type="dxa" w:w="1038"/>
          </w:tcPr>
          <w:p>
            <w:r>
              <w:t>0.052</w:t>
            </w:r>
          </w:p>
        </w:tc>
        <w:tc>
          <w:tcPr>
            <w:tcW w:type="dxa" w:w="1038"/>
          </w:tcPr>
          <w:p>
            <w:r>
              <w:t>0.051</w:t>
            </w:r>
          </w:p>
        </w:tc>
        <w:tc>
          <w:tcPr>
            <w:tcW w:type="dxa" w:w="1038"/>
          </w:tcPr>
          <w:p>
            <w:r>
              <w:t>1.4</w:t>
            </w:r>
          </w:p>
        </w:tc>
        <w:tc>
          <w:tcPr>
            <w:tcW w:type="dxa" w:w="1038"/>
          </w:tcPr>
          <w:p>
            <w:r>
              <w:t>93.3</w:t>
            </w:r>
          </w:p>
        </w:tc>
        <w:tc>
          <w:tcPr>
            <w:tcW w:type="dxa" w:w="1038"/>
          </w:tcPr>
          <w:p>
            <w:r>
              <w:t>0.56</w:t>
            </w:r>
          </w:p>
        </w:tc>
        <w:tc>
          <w:tcPr>
            <w:tcW w:type="dxa" w:w="1038"/>
          </w:tcPr>
          <w:p>
            <w:r>
              <w:t>0.576</w:t>
            </w:r>
          </w:p>
        </w:tc>
      </w:tr>
      <w:tr>
        <w:tc>
          <w:tcPr>
            <w:tcW w:type="dxa" w:w="1038"/>
          </w:tcPr>
          <w:p>
            <w:r>
              <w:t>rec</w:t>
            </w:r>
          </w:p>
        </w:tc>
        <w:tc>
          <w:tcPr>
            <w:tcW w:type="dxa" w:w="1038"/>
          </w:tcPr>
          <w:p>
            <w:r>
              <w:t>Unmatched</w:t>
            </w:r>
          </w:p>
        </w:tc>
        <w:tc>
          <w:tcPr>
            <w:tcW w:type="dxa" w:w="1038"/>
          </w:tcPr>
          <w:p>
            <w:r>
              <w:t>0.078</w:t>
            </w:r>
          </w:p>
        </w:tc>
        <w:tc>
          <w:tcPr>
            <w:tcW w:type="dxa" w:w="1038"/>
          </w:tcPr>
          <w:p>
            <w:r>
              <w:t>0.086</w:t>
            </w:r>
          </w:p>
        </w:tc>
        <w:tc>
          <w:tcPr>
            <w:tcW w:type="dxa" w:w="1038"/>
          </w:tcPr>
          <w:p>
            <w:r>
              <w:t>-10.5</w:t>
            </w:r>
          </w:p>
        </w:tc>
        <w:tc>
          <w:tcPr>
            <w:tcW w:type="dxa" w:w="1038"/>
          </w:tcPr>
          <w:p>
            <w:r>
              <w:t>-</w:t>
            </w:r>
          </w:p>
        </w:tc>
        <w:tc>
          <w:tcPr>
            <w:tcW w:type="dxa" w:w="1038"/>
          </w:tcPr>
          <w:p>
            <w:r>
              <w:t>-4.57</w:t>
            </w:r>
          </w:p>
        </w:tc>
        <w:tc>
          <w:tcPr>
            <w:tcW w:type="dxa" w:w="1038"/>
          </w:tcPr>
          <w:p>
            <w:r>
              <w:t>0.000</w:t>
            </w:r>
          </w:p>
        </w:tc>
      </w:tr>
      <w:tr>
        <w:tc>
          <w:tcPr>
            <w:tcW w:type="dxa" w:w="1038"/>
          </w:tcPr>
          <w:p>
            <w:r/>
          </w:p>
        </w:tc>
        <w:tc>
          <w:tcPr>
            <w:tcW w:type="dxa" w:w="1038"/>
          </w:tcPr>
          <w:p>
            <w:r>
              <w:t>Matched</w:t>
            </w:r>
          </w:p>
        </w:tc>
        <w:tc>
          <w:tcPr>
            <w:tcW w:type="dxa" w:w="1038"/>
          </w:tcPr>
          <w:p>
            <w:r>
              <w:t>0.078</w:t>
            </w:r>
          </w:p>
        </w:tc>
        <w:tc>
          <w:tcPr>
            <w:tcW w:type="dxa" w:w="1038"/>
          </w:tcPr>
          <w:p>
            <w:r>
              <w:t>0.079</w:t>
            </w:r>
          </w:p>
        </w:tc>
        <w:tc>
          <w:tcPr>
            <w:tcW w:type="dxa" w:w="1038"/>
          </w:tcPr>
          <w:p>
            <w:r>
              <w:t>-1.2</w:t>
            </w:r>
          </w:p>
        </w:tc>
        <w:tc>
          <w:tcPr>
            <w:tcW w:type="dxa" w:w="1038"/>
          </w:tcPr>
          <w:p>
            <w:r>
              <w:t>88.6</w:t>
            </w:r>
          </w:p>
        </w:tc>
        <w:tc>
          <w:tcPr>
            <w:tcW w:type="dxa" w:w="1038"/>
          </w:tcPr>
          <w:p>
            <w:r>
              <w:t>-0.48</w:t>
            </w:r>
          </w:p>
        </w:tc>
        <w:tc>
          <w:tcPr>
            <w:tcW w:type="dxa" w:w="1038"/>
          </w:tcPr>
          <w:p>
            <w:r>
              <w:t>0.631</w:t>
            </w:r>
          </w:p>
        </w:tc>
      </w:tr>
      <w:tr>
        <w:tc>
          <w:tcPr>
            <w:tcW w:type="dxa" w:w="1038"/>
          </w:tcPr>
          <w:p>
            <w:r>
              <w:t>fixed</w:t>
            </w:r>
          </w:p>
        </w:tc>
        <w:tc>
          <w:tcPr>
            <w:tcW w:type="dxa" w:w="1038"/>
          </w:tcPr>
          <w:p>
            <w:r>
              <w:t>Unmatched</w:t>
            </w:r>
          </w:p>
        </w:tc>
        <w:tc>
          <w:tcPr>
            <w:tcW w:type="dxa" w:w="1038"/>
          </w:tcPr>
          <w:p>
            <w:r>
              <w:t>0.314</w:t>
            </w:r>
          </w:p>
        </w:tc>
        <w:tc>
          <w:tcPr>
            <w:tcW w:type="dxa" w:w="1038"/>
          </w:tcPr>
          <w:p>
            <w:r>
              <w:t>0.286</w:t>
            </w:r>
          </w:p>
        </w:tc>
        <w:tc>
          <w:tcPr>
            <w:tcW w:type="dxa" w:w="1038"/>
          </w:tcPr>
          <w:p>
            <w:r>
              <w:t>17.8</w:t>
            </w:r>
          </w:p>
        </w:tc>
        <w:tc>
          <w:tcPr>
            <w:tcW w:type="dxa" w:w="1038"/>
          </w:tcPr>
          <w:p>
            <w:r>
              <w:t>-</w:t>
            </w:r>
          </w:p>
        </w:tc>
        <w:tc>
          <w:tcPr>
            <w:tcW w:type="dxa" w:w="1038"/>
          </w:tcPr>
          <w:p>
            <w:r>
              <w:t>7.74</w:t>
            </w:r>
          </w:p>
        </w:tc>
        <w:tc>
          <w:tcPr>
            <w:tcW w:type="dxa" w:w="1038"/>
          </w:tcPr>
          <w:p>
            <w:r>
              <w:t>0.000</w:t>
            </w:r>
          </w:p>
        </w:tc>
      </w:tr>
      <w:tr>
        <w:tc>
          <w:tcPr>
            <w:tcW w:type="dxa" w:w="1038"/>
          </w:tcPr>
          <w:p>
            <w:r/>
          </w:p>
        </w:tc>
        <w:tc>
          <w:tcPr>
            <w:tcW w:type="dxa" w:w="1038"/>
          </w:tcPr>
          <w:p>
            <w:r>
              <w:t>Matched</w:t>
            </w:r>
          </w:p>
        </w:tc>
        <w:tc>
          <w:tcPr>
            <w:tcW w:type="dxa" w:w="1038"/>
          </w:tcPr>
          <w:p>
            <w:r>
              <w:t>0.313</w:t>
            </w:r>
          </w:p>
        </w:tc>
        <w:tc>
          <w:tcPr>
            <w:tcW w:type="dxa" w:w="1038"/>
          </w:tcPr>
          <w:p>
            <w:r>
              <w:t>0.309</w:t>
            </w:r>
          </w:p>
        </w:tc>
        <w:tc>
          <w:tcPr>
            <w:tcW w:type="dxa" w:w="1038"/>
          </w:tcPr>
          <w:p>
            <w:r>
              <w:t>2.3</w:t>
            </w:r>
          </w:p>
        </w:tc>
        <w:tc>
          <w:tcPr>
            <w:tcW w:type="dxa" w:w="1038"/>
          </w:tcPr>
          <w:p>
            <w:r>
              <w:t>87.1</w:t>
            </w:r>
          </w:p>
        </w:tc>
        <w:tc>
          <w:tcPr>
            <w:tcW w:type="dxa" w:w="1038"/>
          </w:tcPr>
          <w:p>
            <w:r>
              <w:t>0.92</w:t>
            </w:r>
          </w:p>
        </w:tc>
        <w:tc>
          <w:tcPr>
            <w:tcW w:type="dxa" w:w="1038"/>
          </w:tcPr>
          <w:p>
            <w:r>
              <w:t>0.358</w:t>
            </w:r>
          </w:p>
        </w:tc>
      </w:tr>
      <w:tr>
        <w:tc>
          <w:tcPr>
            <w:tcW w:type="dxa" w:w="1038"/>
          </w:tcPr>
          <w:p>
            <w:r>
              <w:t>cash</w:t>
            </w:r>
          </w:p>
        </w:tc>
        <w:tc>
          <w:tcPr>
            <w:tcW w:type="dxa" w:w="1038"/>
          </w:tcPr>
          <w:p>
            <w:r>
              <w:t>Unmatched</w:t>
            </w:r>
          </w:p>
        </w:tc>
        <w:tc>
          <w:tcPr>
            <w:tcW w:type="dxa" w:w="1038"/>
          </w:tcPr>
          <w:p>
            <w:r>
              <w:t>0.068</w:t>
            </w:r>
          </w:p>
        </w:tc>
        <w:tc>
          <w:tcPr>
            <w:tcW w:type="dxa" w:w="1038"/>
          </w:tcPr>
          <w:p>
            <w:r>
              <w:t>0.060</w:t>
            </w:r>
          </w:p>
        </w:tc>
        <w:tc>
          <w:tcPr>
            <w:tcW w:type="dxa" w:w="1038"/>
          </w:tcPr>
          <w:p>
            <w:r>
              <w:t>12.3</w:t>
            </w:r>
          </w:p>
        </w:tc>
        <w:tc>
          <w:tcPr>
            <w:tcW w:type="dxa" w:w="1038"/>
          </w:tcPr>
          <w:p>
            <w:r>
              <w:t>-</w:t>
            </w:r>
          </w:p>
        </w:tc>
        <w:tc>
          <w:tcPr>
            <w:tcW w:type="dxa" w:w="1038"/>
          </w:tcPr>
          <w:p>
            <w:r>
              <w:t>5.35</w:t>
            </w:r>
          </w:p>
        </w:tc>
        <w:tc>
          <w:tcPr>
            <w:tcW w:type="dxa" w:w="1038"/>
          </w:tcPr>
          <w:p>
            <w:r>
              <w:t>0.000</w:t>
            </w:r>
          </w:p>
        </w:tc>
      </w:tr>
      <w:tr>
        <w:tc>
          <w:tcPr>
            <w:tcW w:type="dxa" w:w="1038"/>
          </w:tcPr>
          <w:p>
            <w:r/>
          </w:p>
        </w:tc>
        <w:tc>
          <w:tcPr>
            <w:tcW w:type="dxa" w:w="1038"/>
          </w:tcPr>
          <w:p>
            <w:r>
              <w:t>Matched</w:t>
            </w:r>
          </w:p>
        </w:tc>
        <w:tc>
          <w:tcPr>
            <w:tcW w:type="dxa" w:w="1038"/>
          </w:tcPr>
          <w:p>
            <w:r>
              <w:t>0.068</w:t>
            </w:r>
          </w:p>
        </w:tc>
        <w:tc>
          <w:tcPr>
            <w:tcW w:type="dxa" w:w="1038"/>
          </w:tcPr>
          <w:p>
            <w:r>
              <w:t>0.067</w:t>
            </w:r>
          </w:p>
        </w:tc>
        <w:tc>
          <w:tcPr>
            <w:tcW w:type="dxa" w:w="1038"/>
          </w:tcPr>
          <w:p>
            <w:r>
              <w:t>1.5</w:t>
            </w:r>
          </w:p>
        </w:tc>
        <w:tc>
          <w:tcPr>
            <w:tcW w:type="dxa" w:w="1038"/>
          </w:tcPr>
          <w:p>
            <w:r>
              <w:t>87.8</w:t>
            </w:r>
          </w:p>
        </w:tc>
        <w:tc>
          <w:tcPr>
            <w:tcW w:type="dxa" w:w="1038"/>
          </w:tcPr>
          <w:p>
            <w:r>
              <w:t>0.61</w:t>
            </w:r>
          </w:p>
        </w:tc>
        <w:tc>
          <w:tcPr>
            <w:tcW w:type="dxa" w:w="1038"/>
          </w:tcPr>
          <w:p>
            <w:r>
              <w:t>0.542</w:t>
            </w:r>
          </w:p>
        </w:tc>
      </w:tr>
      <w:tr>
        <w:tc>
          <w:tcPr>
            <w:tcW w:type="dxa" w:w="1038"/>
          </w:tcPr>
          <w:p>
            <w:r>
              <w:t>board</w:t>
            </w:r>
          </w:p>
        </w:tc>
        <w:tc>
          <w:tcPr>
            <w:tcW w:type="dxa" w:w="1038"/>
          </w:tcPr>
          <w:p>
            <w:r>
              <w:t>Unmatched</w:t>
            </w:r>
          </w:p>
        </w:tc>
        <w:tc>
          <w:tcPr>
            <w:tcW w:type="dxa" w:w="1038"/>
          </w:tcPr>
          <w:p>
            <w:r>
              <w:t>2.174</w:t>
            </w:r>
          </w:p>
        </w:tc>
        <w:tc>
          <w:tcPr>
            <w:tcW w:type="dxa" w:w="1038"/>
          </w:tcPr>
          <w:p>
            <w:r>
              <w:t>2.144</w:t>
            </w:r>
          </w:p>
        </w:tc>
        <w:tc>
          <w:tcPr>
            <w:tcW w:type="dxa" w:w="1038"/>
          </w:tcPr>
          <w:p>
            <w:r>
              <w:t>15.0</w:t>
            </w:r>
          </w:p>
        </w:tc>
        <w:tc>
          <w:tcPr>
            <w:tcW w:type="dxa" w:w="1038"/>
          </w:tcPr>
          <w:p>
            <w:r>
              <w:t>-</w:t>
            </w:r>
          </w:p>
        </w:tc>
        <w:tc>
          <w:tcPr>
            <w:tcW w:type="dxa" w:w="1038"/>
          </w:tcPr>
          <w:p>
            <w:r>
              <w:t>6.52</w:t>
            </w:r>
          </w:p>
        </w:tc>
        <w:tc>
          <w:tcPr>
            <w:tcW w:type="dxa" w:w="1038"/>
          </w:tcPr>
          <w:p>
            <w:r>
              <w:t>0.000</w:t>
            </w:r>
          </w:p>
        </w:tc>
      </w:tr>
      <w:tr>
        <w:tc>
          <w:tcPr>
            <w:tcW w:type="dxa" w:w="1038"/>
          </w:tcPr>
          <w:p>
            <w:r/>
          </w:p>
        </w:tc>
        <w:tc>
          <w:tcPr>
            <w:tcW w:type="dxa" w:w="1038"/>
          </w:tcPr>
          <w:p>
            <w:r>
              <w:t>Matched</w:t>
            </w:r>
          </w:p>
        </w:tc>
        <w:tc>
          <w:tcPr>
            <w:tcW w:type="dxa" w:w="1038"/>
          </w:tcPr>
          <w:p>
            <w:r>
              <w:t>2.173</w:t>
            </w:r>
          </w:p>
        </w:tc>
        <w:tc>
          <w:tcPr>
            <w:tcW w:type="dxa" w:w="1038"/>
          </w:tcPr>
          <w:p>
            <w:r>
              <w:t>2.169</w:t>
            </w:r>
          </w:p>
        </w:tc>
        <w:tc>
          <w:tcPr>
            <w:tcW w:type="dxa" w:w="1038"/>
          </w:tcPr>
          <w:p>
            <w:r>
              <w:t>1.9</w:t>
            </w:r>
          </w:p>
        </w:tc>
        <w:tc>
          <w:tcPr>
            <w:tcW w:type="dxa" w:w="1038"/>
          </w:tcPr>
          <w:p>
            <w:r>
              <w:t>87.3</w:t>
            </w:r>
          </w:p>
        </w:tc>
        <w:tc>
          <w:tcPr>
            <w:tcW w:type="dxa" w:w="1038"/>
          </w:tcPr>
          <w:p>
            <w:r>
              <w:t>0.76</w:t>
            </w:r>
          </w:p>
        </w:tc>
        <w:tc>
          <w:tcPr>
            <w:tcW w:type="dxa" w:w="1038"/>
          </w:tcPr>
          <w:p>
            <w:r>
              <w:t>0.447</w:t>
            </w:r>
          </w:p>
        </w:tc>
      </w:tr>
      <w:tr>
        <w:tc>
          <w:tcPr>
            <w:tcW w:type="dxa" w:w="1038"/>
          </w:tcPr>
          <w:p>
            <w:r>
              <w:t>indep</w:t>
            </w:r>
          </w:p>
        </w:tc>
        <w:tc>
          <w:tcPr>
            <w:tcW w:type="dxa" w:w="1038"/>
          </w:tcPr>
          <w:p>
            <w:r>
              <w:t>Unmatched</w:t>
            </w:r>
          </w:p>
        </w:tc>
        <w:tc>
          <w:tcPr>
            <w:tcW w:type="dxa" w:w="1038"/>
          </w:tcPr>
          <w:p>
            <w:r>
              <w:t>0.374</w:t>
            </w:r>
          </w:p>
        </w:tc>
        <w:tc>
          <w:tcPr>
            <w:tcW w:type="dxa" w:w="1038"/>
          </w:tcPr>
          <w:p>
            <w:r>
              <w:t>0.370</w:t>
            </w:r>
          </w:p>
        </w:tc>
        <w:tc>
          <w:tcPr>
            <w:tcW w:type="dxa" w:w="1038"/>
          </w:tcPr>
          <w:p>
            <w:r>
              <w:t>7.7</w:t>
            </w:r>
          </w:p>
        </w:tc>
        <w:tc>
          <w:tcPr>
            <w:tcW w:type="dxa" w:w="1038"/>
          </w:tcPr>
          <w:p>
            <w:r>
              <w:t>-</w:t>
            </w:r>
          </w:p>
        </w:tc>
        <w:tc>
          <w:tcPr>
            <w:tcW w:type="dxa" w:w="1038"/>
          </w:tcPr>
          <w:p>
            <w:r>
              <w:t>3.35</w:t>
            </w:r>
          </w:p>
        </w:tc>
        <w:tc>
          <w:tcPr>
            <w:tcW w:type="dxa" w:w="1038"/>
          </w:tcPr>
          <w:p>
            <w:r>
              <w:t>0.001</w:t>
            </w:r>
          </w:p>
        </w:tc>
      </w:tr>
      <w:tr>
        <w:tc>
          <w:tcPr>
            <w:tcW w:type="dxa" w:w="1038"/>
          </w:tcPr>
          <w:p>
            <w:r/>
          </w:p>
        </w:tc>
        <w:tc>
          <w:tcPr>
            <w:tcW w:type="dxa" w:w="1038"/>
          </w:tcPr>
          <w:p>
            <w:r>
              <w:t>Matched</w:t>
            </w:r>
          </w:p>
        </w:tc>
        <w:tc>
          <w:tcPr>
            <w:tcW w:type="dxa" w:w="1038"/>
          </w:tcPr>
          <w:p>
            <w:r>
              <w:t>0.374</w:t>
            </w:r>
          </w:p>
        </w:tc>
        <w:tc>
          <w:tcPr>
            <w:tcW w:type="dxa" w:w="1038"/>
          </w:tcPr>
          <w:p>
            <w:r>
              <w:t>0.373</w:t>
            </w:r>
          </w:p>
        </w:tc>
        <w:tc>
          <w:tcPr>
            <w:tcW w:type="dxa" w:w="1038"/>
          </w:tcPr>
          <w:p>
            <w:r>
              <w:t>1.3</w:t>
            </w:r>
          </w:p>
        </w:tc>
        <w:tc>
          <w:tcPr>
            <w:tcW w:type="dxa" w:w="1038"/>
          </w:tcPr>
          <w:p>
            <w:r>
              <w:t>83.1</w:t>
            </w:r>
          </w:p>
        </w:tc>
        <w:tc>
          <w:tcPr>
            <w:tcW w:type="dxa" w:w="1038"/>
          </w:tcPr>
          <w:p>
            <w:r>
              <w:t>0.52</w:t>
            </w:r>
          </w:p>
        </w:tc>
        <w:tc>
          <w:tcPr>
            <w:tcW w:type="dxa" w:w="1038"/>
          </w:tcPr>
          <w:p>
            <w:r>
              <w:t>0.603</w:t>
            </w:r>
          </w:p>
        </w:tc>
      </w:tr>
      <w:tr>
        <w:tc>
          <w:tcPr>
            <w:tcW w:type="dxa" w:w="1038"/>
          </w:tcPr>
          <w:p>
            <w:r>
              <w:t>top1</w:t>
            </w:r>
          </w:p>
        </w:tc>
        <w:tc>
          <w:tcPr>
            <w:tcW w:type="dxa" w:w="1038"/>
          </w:tcPr>
          <w:p>
            <w:r>
              <w:t>Unmatched</w:t>
            </w:r>
          </w:p>
        </w:tc>
        <w:tc>
          <w:tcPr>
            <w:tcW w:type="dxa" w:w="1038"/>
          </w:tcPr>
          <w:p>
            <w:r>
              <w:t>35.426</w:t>
            </w:r>
          </w:p>
        </w:tc>
        <w:tc>
          <w:tcPr>
            <w:tcW w:type="dxa" w:w="1038"/>
          </w:tcPr>
          <w:p>
            <w:r>
              <w:t>34.308</w:t>
            </w:r>
          </w:p>
        </w:tc>
        <w:tc>
          <w:tcPr>
            <w:tcW w:type="dxa" w:w="1038"/>
          </w:tcPr>
          <w:p>
            <w:r>
              <w:t>7.5</w:t>
            </w:r>
          </w:p>
        </w:tc>
        <w:tc>
          <w:tcPr>
            <w:tcW w:type="dxa" w:w="1038"/>
          </w:tcPr>
          <w:p>
            <w:r>
              <w:t>-</w:t>
            </w:r>
          </w:p>
        </w:tc>
        <w:tc>
          <w:tcPr>
            <w:tcW w:type="dxa" w:w="1038"/>
          </w:tcPr>
          <w:p>
            <w:r>
              <w:t>3.26</w:t>
            </w:r>
          </w:p>
        </w:tc>
        <w:tc>
          <w:tcPr>
            <w:tcW w:type="dxa" w:w="1038"/>
          </w:tcPr>
          <w:p>
            <w:r>
              <w:t>0.001</w:t>
            </w:r>
          </w:p>
        </w:tc>
      </w:tr>
      <w:tr>
        <w:tc>
          <w:tcPr>
            <w:tcW w:type="dxa" w:w="1038"/>
          </w:tcPr>
          <w:p>
            <w:r/>
          </w:p>
        </w:tc>
        <w:tc>
          <w:tcPr>
            <w:tcW w:type="dxa" w:w="1038"/>
          </w:tcPr>
          <w:p>
            <w:r>
              <w:t>Matched</w:t>
            </w:r>
          </w:p>
        </w:tc>
        <w:tc>
          <w:tcPr>
            <w:tcW w:type="dxa" w:w="1038"/>
          </w:tcPr>
          <w:p>
            <w:r>
              <w:t>35.401</w:t>
            </w:r>
          </w:p>
        </w:tc>
        <w:tc>
          <w:tcPr>
            <w:tcW w:type="dxa" w:w="1038"/>
          </w:tcPr>
          <w:p>
            <w:r>
              <w:t>35.182</w:t>
            </w:r>
          </w:p>
        </w:tc>
        <w:tc>
          <w:tcPr>
            <w:tcW w:type="dxa" w:w="1038"/>
          </w:tcPr>
          <w:p>
            <w:r>
              <w:t>1.5</w:t>
            </w:r>
          </w:p>
        </w:tc>
        <w:tc>
          <w:tcPr>
            <w:tcW w:type="dxa" w:w="1038"/>
          </w:tcPr>
          <w:p>
            <w:r>
              <w:t>80.0</w:t>
            </w:r>
          </w:p>
        </w:tc>
        <w:tc>
          <w:tcPr>
            <w:tcW w:type="dxa" w:w="1038"/>
          </w:tcPr>
          <w:p>
            <w:r>
              <w:t>0.59</w:t>
            </w:r>
          </w:p>
        </w:tc>
        <w:tc>
          <w:tcPr>
            <w:tcW w:type="dxa" w:w="1038"/>
          </w:tcPr>
          <w:p>
            <w:r>
              <w:t>0.555</w:t>
            </w:r>
          </w:p>
        </w:tc>
      </w:tr>
      <w:tr>
        <w:tc>
          <w:tcPr>
            <w:tcW w:type="dxa" w:w="1038"/>
          </w:tcPr>
          <w:p>
            <w:r>
              <w:t>share</w:t>
            </w:r>
          </w:p>
        </w:tc>
        <w:tc>
          <w:tcPr>
            <w:tcW w:type="dxa" w:w="1038"/>
          </w:tcPr>
          <w:p>
            <w:r>
              <w:t>Unmatched</w:t>
            </w:r>
          </w:p>
        </w:tc>
        <w:tc>
          <w:tcPr>
            <w:tcW w:type="dxa" w:w="1038"/>
          </w:tcPr>
          <w:p>
            <w:r>
              <w:t>0.084</w:t>
            </w:r>
          </w:p>
        </w:tc>
        <w:tc>
          <w:tcPr>
            <w:tcW w:type="dxa" w:w="1038"/>
          </w:tcPr>
          <w:p>
            <w:r>
              <w:t>0.106</w:t>
            </w:r>
          </w:p>
        </w:tc>
        <w:tc>
          <w:tcPr>
            <w:tcW w:type="dxa" w:w="1038"/>
          </w:tcPr>
          <w:p>
            <w:r>
              <w:t>-13.3</w:t>
            </w:r>
          </w:p>
        </w:tc>
        <w:tc>
          <w:tcPr>
            <w:tcW w:type="dxa" w:w="1038"/>
          </w:tcPr>
          <w:p>
            <w:r>
              <w:t>-</w:t>
            </w:r>
          </w:p>
        </w:tc>
        <w:tc>
          <w:tcPr>
            <w:tcW w:type="dxa" w:w="1038"/>
          </w:tcPr>
          <w:p>
            <w:r>
              <w:t>-5.79</w:t>
            </w:r>
          </w:p>
        </w:tc>
        <w:tc>
          <w:tcPr>
            <w:tcW w:type="dxa" w:w="1038"/>
          </w:tcPr>
          <w:p>
            <w:r>
              <w:t>0.000</w:t>
            </w:r>
          </w:p>
        </w:tc>
      </w:tr>
      <w:tr>
        <w:tc>
          <w:tcPr>
            <w:tcW w:type="dxa" w:w="1038"/>
          </w:tcPr>
          <w:p>
            <w:r/>
          </w:p>
        </w:tc>
        <w:tc>
          <w:tcPr>
            <w:tcW w:type="dxa" w:w="1038"/>
          </w:tcPr>
          <w:p>
            <w:r>
              <w:t>Matched</w:t>
            </w:r>
          </w:p>
        </w:tc>
        <w:tc>
          <w:tcPr>
            <w:tcW w:type="dxa" w:w="1038"/>
          </w:tcPr>
          <w:p>
            <w:r>
              <w:t>0.084</w:t>
            </w:r>
          </w:p>
        </w:tc>
        <w:tc>
          <w:tcPr>
            <w:tcW w:type="dxa" w:w="1038"/>
          </w:tcPr>
          <w:p>
            <w:r>
              <w:t>0.086</w:t>
            </w:r>
          </w:p>
        </w:tc>
        <w:tc>
          <w:tcPr>
            <w:tcW w:type="dxa" w:w="1038"/>
          </w:tcPr>
          <w:p>
            <w:r>
              <w:t>-1.2</w:t>
            </w:r>
          </w:p>
        </w:tc>
        <w:tc>
          <w:tcPr>
            <w:tcW w:type="dxa" w:w="1038"/>
          </w:tcPr>
          <w:p>
            <w:r>
              <w:t>91.0</w:t>
            </w:r>
          </w:p>
        </w:tc>
        <w:tc>
          <w:tcPr>
            <w:tcW w:type="dxa" w:w="1038"/>
          </w:tcPr>
          <w:p>
            <w:r>
              <w:t>-0.48</w:t>
            </w:r>
          </w:p>
        </w:tc>
        <w:tc>
          <w:tcPr>
            <w:tcW w:type="dxa" w:w="1038"/>
          </w:tcPr>
          <w:p>
            <w:r>
              <w:t>0.631</w:t>
            </w:r>
          </w:p>
        </w:tc>
      </w:tr>
      <w:tr>
        <w:tc>
          <w:tcPr>
            <w:tcW w:type="dxa" w:w="1038"/>
          </w:tcPr>
          <w:p>
            <w:r>
              <w:t>manfee</w:t>
            </w:r>
          </w:p>
        </w:tc>
        <w:tc>
          <w:tcPr>
            <w:tcW w:type="dxa" w:w="1038"/>
          </w:tcPr>
          <w:p>
            <w:r>
              <w:t>Unmatched</w:t>
            </w:r>
          </w:p>
        </w:tc>
        <w:tc>
          <w:tcPr>
            <w:tcW w:type="dxa" w:w="1038"/>
          </w:tcPr>
          <w:p>
            <w:r>
              <w:t>0.071</w:t>
            </w:r>
          </w:p>
        </w:tc>
        <w:tc>
          <w:tcPr>
            <w:tcW w:type="dxa" w:w="1038"/>
          </w:tcPr>
          <w:p>
            <w:r>
              <w:t>0.077</w:t>
            </w:r>
          </w:p>
        </w:tc>
        <w:tc>
          <w:tcPr>
            <w:tcW w:type="dxa" w:w="1038"/>
          </w:tcPr>
          <w:p>
            <w:r>
              <w:t>-12.1</w:t>
            </w:r>
          </w:p>
        </w:tc>
        <w:tc>
          <w:tcPr>
            <w:tcW w:type="dxa" w:w="1038"/>
          </w:tcPr>
          <w:p>
            <w:r>
              <w:t>-</w:t>
            </w:r>
          </w:p>
        </w:tc>
        <w:tc>
          <w:tcPr>
            <w:tcW w:type="dxa" w:w="1038"/>
          </w:tcPr>
          <w:p>
            <w:r>
              <w:t>-5.26</w:t>
            </w:r>
          </w:p>
        </w:tc>
        <w:tc>
          <w:tcPr>
            <w:tcW w:type="dxa" w:w="1038"/>
          </w:tcPr>
          <w:p>
            <w:r>
              <w:t>0.000</w:t>
            </w:r>
          </w:p>
        </w:tc>
      </w:tr>
      <w:tr>
        <w:tc>
          <w:tcPr>
            <w:tcW w:type="dxa" w:w="1038"/>
          </w:tcPr>
          <w:p>
            <w:r/>
          </w:p>
        </w:tc>
        <w:tc>
          <w:tcPr>
            <w:tcW w:type="dxa" w:w="1038"/>
          </w:tcPr>
          <w:p>
            <w:r>
              <w:t>Matched</w:t>
            </w:r>
          </w:p>
        </w:tc>
        <w:tc>
          <w:tcPr>
            <w:tcW w:type="dxa" w:w="1038"/>
          </w:tcPr>
          <w:p>
            <w:r>
              <w:t>0.071</w:t>
            </w:r>
          </w:p>
        </w:tc>
        <w:tc>
          <w:tcPr>
            <w:tcW w:type="dxa" w:w="1038"/>
          </w:tcPr>
          <w:p>
            <w:r>
              <w:t>0.072</w:t>
            </w:r>
          </w:p>
        </w:tc>
        <w:tc>
          <w:tcPr>
            <w:tcW w:type="dxa" w:w="1038"/>
          </w:tcPr>
          <w:p>
            <w:r>
              <w:t>-1.6</w:t>
            </w:r>
          </w:p>
        </w:tc>
        <w:tc>
          <w:tcPr>
            <w:tcW w:type="dxa" w:w="1038"/>
          </w:tcPr>
          <w:p>
            <w:r>
              <w:t>86.8</w:t>
            </w:r>
          </w:p>
        </w:tc>
        <w:tc>
          <w:tcPr>
            <w:tcW w:type="dxa" w:w="1038"/>
          </w:tcPr>
          <w:p>
            <w:r>
              <w:t>-0.64</w:t>
            </w:r>
          </w:p>
        </w:tc>
        <w:tc>
          <w:tcPr>
            <w:tcW w:type="dxa" w:w="1038"/>
          </w:tcPr>
          <w:p>
            <w:r>
              <w:t>0.522</w:t>
            </w:r>
          </w:p>
        </w:tc>
      </w:tr>
      <w:tr>
        <w:tc>
          <w:tcPr>
            <w:tcW w:type="dxa" w:w="1038"/>
          </w:tcPr>
          <w:p>
            <w:r>
              <w:t>tunnel</w:t>
            </w:r>
          </w:p>
        </w:tc>
        <w:tc>
          <w:tcPr>
            <w:tcW w:type="dxa" w:w="1038"/>
          </w:tcPr>
          <w:p>
            <w:r>
              <w:t>Unmatched</w:t>
            </w:r>
          </w:p>
        </w:tc>
        <w:tc>
          <w:tcPr>
            <w:tcW w:type="dxa" w:w="1038"/>
          </w:tcPr>
          <w:p>
            <w:r>
              <w:t>0.342</w:t>
            </w:r>
          </w:p>
        </w:tc>
        <w:tc>
          <w:tcPr>
            <w:tcW w:type="dxa" w:w="1038"/>
          </w:tcPr>
          <w:p>
            <w:r>
              <w:t>0.368</w:t>
            </w:r>
          </w:p>
        </w:tc>
        <w:tc>
          <w:tcPr>
            <w:tcW w:type="dxa" w:w="1038"/>
          </w:tcPr>
          <w:p>
            <w:r>
              <w:t>-6.2</w:t>
            </w:r>
          </w:p>
        </w:tc>
        <w:tc>
          <w:tcPr>
            <w:tcW w:type="dxa" w:w="1038"/>
          </w:tcPr>
          <w:p>
            <w:r>
              <w:t>-</w:t>
            </w:r>
          </w:p>
        </w:tc>
        <w:tc>
          <w:tcPr>
            <w:tcW w:type="dxa" w:w="1038"/>
          </w:tcPr>
          <w:p>
            <w:r>
              <w:t>-2.70</w:t>
            </w:r>
          </w:p>
        </w:tc>
        <w:tc>
          <w:tcPr>
            <w:tcW w:type="dxa" w:w="1038"/>
          </w:tcPr>
          <w:p>
            <w:r>
              <w:t>0.007</w:t>
            </w:r>
          </w:p>
        </w:tc>
      </w:tr>
      <w:tr>
        <w:tc>
          <w:tcPr>
            <w:tcW w:type="dxa" w:w="1038"/>
          </w:tcPr>
          <w:p>
            <w:r/>
          </w:p>
        </w:tc>
        <w:tc>
          <w:tcPr>
            <w:tcW w:type="dxa" w:w="1038"/>
          </w:tcPr>
          <w:p>
            <w:r>
              <w:t>Matched</w:t>
            </w:r>
          </w:p>
        </w:tc>
        <w:tc>
          <w:tcPr>
            <w:tcW w:type="dxa" w:w="1038"/>
          </w:tcPr>
          <w:p>
            <w:r>
              <w:t>0.342</w:t>
            </w:r>
          </w:p>
        </w:tc>
        <w:tc>
          <w:tcPr>
            <w:tcW w:type="dxa" w:w="1038"/>
          </w:tcPr>
          <w:p>
            <w:r>
              <w:t>0.347</w:t>
            </w:r>
          </w:p>
        </w:tc>
        <w:tc>
          <w:tcPr>
            <w:tcW w:type="dxa" w:w="1038"/>
          </w:tcPr>
          <w:p>
            <w:r>
              <w:t>-1.1</w:t>
            </w:r>
          </w:p>
        </w:tc>
        <w:tc>
          <w:tcPr>
            <w:tcW w:type="dxa" w:w="1038"/>
          </w:tcPr>
          <w:p>
            <w:r>
              <w:t>82.3</w:t>
            </w:r>
          </w:p>
        </w:tc>
        <w:tc>
          <w:tcPr>
            <w:tcW w:type="dxa" w:w="1038"/>
          </w:tcPr>
          <w:p>
            <w:r>
              <w:t>-0.44</w:t>
            </w:r>
          </w:p>
        </w:tc>
        <w:tc>
          <w:tcPr>
            <w:tcW w:type="dxa" w:w="1038"/>
          </w:tcPr>
          <w:p>
            <w:r>
              <w:t>0.660</w:t>
            </w:r>
          </w:p>
        </w:tc>
      </w:tr>
    </w:tbl>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8B738C"/>
    <w:multiLevelType w:val="singleLevel"/>
    <w:tmpl w:val="8D8B738C"/>
    <w:lvl w:ilvl="0" w:tentative="0">
      <w:start w:val="2"/>
      <w:numFmt w:val="decimal"/>
      <w:suff w:val="space"/>
      <w:lvlText w:val="%1."/>
      <w:lvlJc w:val="left"/>
    </w:lvl>
  </w:abstractNum>
  <w:abstractNum w:abstractNumId="1">
    <w:nsid w:val="A0AFFD8C"/>
    <w:multiLevelType w:val="singleLevel"/>
    <w:tmpl w:val="A0AFFD8C"/>
    <w:lvl w:ilvl="0" w:tentative="0">
      <w:start w:val="1"/>
      <w:numFmt w:val="decimal"/>
      <w:suff w:val="space"/>
      <w:lvlText w:val="%1."/>
      <w:lvlJc w:val="left"/>
    </w:lvl>
  </w:abstractNum>
  <w:abstractNum w:abstractNumId="2">
    <w:nsid w:val="AB528596"/>
    <w:multiLevelType w:val="singleLevel"/>
    <w:tmpl w:val="AB528596"/>
    <w:lvl w:ilvl="0" w:tentative="0">
      <w:start w:val="2"/>
      <w:numFmt w:val="decimal"/>
      <w:suff w:val="space"/>
      <w:lvlText w:val="(%1)"/>
      <w:lvlJc w:val="left"/>
    </w:lvl>
  </w:abstractNum>
  <w:abstractNum w:abstractNumId="3">
    <w:nsid w:val="1B437819"/>
    <w:multiLevelType w:val="singleLevel"/>
    <w:tmpl w:val="1B437819"/>
    <w:lvl w:ilvl="0" w:tentative="0">
      <w:start w:val="1"/>
      <w:numFmt w:val="decimal"/>
      <w:suff w:val="space"/>
      <w:lvlText w:val="(%1)"/>
      <w:lvlJc w:val="left"/>
    </w:lvl>
  </w:abstractNum>
  <w:abstractNum w:abstractNumId="4">
    <w:nsid w:val="35A372BE"/>
    <w:multiLevelType w:val="singleLevel"/>
    <w:tmpl w:val="35A372BE"/>
    <w:lvl w:ilvl="0" w:tentative="0">
      <w:start w:val="3"/>
      <w:numFmt w:val="decimal"/>
      <w:suff w:val="space"/>
      <w:lvlText w:val="%1."/>
      <w:lvlJc w:val="left"/>
    </w:lvl>
  </w:abstractNum>
  <w:abstractNum w:abstractNumId="5">
    <w:nsid w:val="6677FB52"/>
    <w:multiLevelType w:val="singleLevel"/>
    <w:tmpl w:val="6677FB52"/>
    <w:lvl w:ilvl="0" w:tentative="0">
      <w:start w:val="4"/>
      <w:numFmt w:val="decimal"/>
      <w:suff w:val="space"/>
      <w:lvlText w:val="%1."/>
      <w:lvlJc w:val="left"/>
    </w:lvl>
  </w:abstractNum>
  <w:num w:numId="1">
    <w:abstractNumId w:val="3"/>
  </w:num>
  <w:num w:numId="2">
    <w:abstractNumId w:val="2"/>
  </w:num>
  <w:num w:numId="3">
    <w:abstractNumId w:val="1"/>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926B3"/>
    <w:rsid w:val="00C33049"/>
    <w:rsid w:val="0135012F"/>
    <w:rsid w:val="01A53D88"/>
    <w:rsid w:val="01E456D8"/>
    <w:rsid w:val="02060382"/>
    <w:rsid w:val="02106C96"/>
    <w:rsid w:val="02A05C36"/>
    <w:rsid w:val="030432A3"/>
    <w:rsid w:val="03382399"/>
    <w:rsid w:val="03A72E7E"/>
    <w:rsid w:val="04483A08"/>
    <w:rsid w:val="045279BA"/>
    <w:rsid w:val="04710297"/>
    <w:rsid w:val="04CE2589"/>
    <w:rsid w:val="05016C58"/>
    <w:rsid w:val="056E2651"/>
    <w:rsid w:val="056E2EF8"/>
    <w:rsid w:val="0589002D"/>
    <w:rsid w:val="05DD63EE"/>
    <w:rsid w:val="05F15F19"/>
    <w:rsid w:val="06066EA9"/>
    <w:rsid w:val="06217FB4"/>
    <w:rsid w:val="062E466E"/>
    <w:rsid w:val="064204D1"/>
    <w:rsid w:val="066A36DC"/>
    <w:rsid w:val="0707094D"/>
    <w:rsid w:val="076F3379"/>
    <w:rsid w:val="07962A87"/>
    <w:rsid w:val="07B363D9"/>
    <w:rsid w:val="081674D9"/>
    <w:rsid w:val="082B5ACB"/>
    <w:rsid w:val="0839061C"/>
    <w:rsid w:val="085F4F9A"/>
    <w:rsid w:val="086E1AA3"/>
    <w:rsid w:val="08781490"/>
    <w:rsid w:val="08825E0A"/>
    <w:rsid w:val="0886308F"/>
    <w:rsid w:val="09265389"/>
    <w:rsid w:val="09B6600C"/>
    <w:rsid w:val="0A1F7E4B"/>
    <w:rsid w:val="0A5B6D6D"/>
    <w:rsid w:val="0A6A32AE"/>
    <w:rsid w:val="0A9B12F7"/>
    <w:rsid w:val="0ABD14BC"/>
    <w:rsid w:val="0AE10566"/>
    <w:rsid w:val="0B213831"/>
    <w:rsid w:val="0B2326A3"/>
    <w:rsid w:val="0B576E4D"/>
    <w:rsid w:val="0B744121"/>
    <w:rsid w:val="0B964424"/>
    <w:rsid w:val="0BEB68D0"/>
    <w:rsid w:val="0BFF32A6"/>
    <w:rsid w:val="0BFF388D"/>
    <w:rsid w:val="0C641953"/>
    <w:rsid w:val="0CAC4597"/>
    <w:rsid w:val="0CCF50C8"/>
    <w:rsid w:val="0D0E2543"/>
    <w:rsid w:val="0D240F68"/>
    <w:rsid w:val="0D2E5E1F"/>
    <w:rsid w:val="0D98193E"/>
    <w:rsid w:val="0E605598"/>
    <w:rsid w:val="0F2C1041"/>
    <w:rsid w:val="0F301E88"/>
    <w:rsid w:val="10153D2E"/>
    <w:rsid w:val="108B130F"/>
    <w:rsid w:val="10965245"/>
    <w:rsid w:val="10A43E2C"/>
    <w:rsid w:val="1191235E"/>
    <w:rsid w:val="11AB359E"/>
    <w:rsid w:val="11D31382"/>
    <w:rsid w:val="12BA4484"/>
    <w:rsid w:val="12CE6978"/>
    <w:rsid w:val="132124D5"/>
    <w:rsid w:val="13D93528"/>
    <w:rsid w:val="14736694"/>
    <w:rsid w:val="15041EDB"/>
    <w:rsid w:val="152E34E9"/>
    <w:rsid w:val="15330A01"/>
    <w:rsid w:val="15350079"/>
    <w:rsid w:val="15583669"/>
    <w:rsid w:val="15ED3698"/>
    <w:rsid w:val="15F6750E"/>
    <w:rsid w:val="1612122B"/>
    <w:rsid w:val="16EB5ECA"/>
    <w:rsid w:val="16F44369"/>
    <w:rsid w:val="173A4E5F"/>
    <w:rsid w:val="17570BC5"/>
    <w:rsid w:val="177D74C9"/>
    <w:rsid w:val="17870402"/>
    <w:rsid w:val="17A75829"/>
    <w:rsid w:val="17E96677"/>
    <w:rsid w:val="18266806"/>
    <w:rsid w:val="185C0B66"/>
    <w:rsid w:val="18CC0717"/>
    <w:rsid w:val="18E30980"/>
    <w:rsid w:val="19415AB5"/>
    <w:rsid w:val="195B0584"/>
    <w:rsid w:val="19AF1A20"/>
    <w:rsid w:val="19E10C56"/>
    <w:rsid w:val="1A2A2EA1"/>
    <w:rsid w:val="1A71711A"/>
    <w:rsid w:val="1B13521C"/>
    <w:rsid w:val="1B41737D"/>
    <w:rsid w:val="1B6C00C4"/>
    <w:rsid w:val="1BF73A6D"/>
    <w:rsid w:val="1BFE295A"/>
    <w:rsid w:val="1C4007A4"/>
    <w:rsid w:val="1CAE1895"/>
    <w:rsid w:val="1D1B615D"/>
    <w:rsid w:val="1D456E8C"/>
    <w:rsid w:val="1D4820A4"/>
    <w:rsid w:val="1D5C5F16"/>
    <w:rsid w:val="1DDD286D"/>
    <w:rsid w:val="1E0C4687"/>
    <w:rsid w:val="1EAC1729"/>
    <w:rsid w:val="1EE37CCA"/>
    <w:rsid w:val="1F377A38"/>
    <w:rsid w:val="1FA64289"/>
    <w:rsid w:val="1FC53D2B"/>
    <w:rsid w:val="1FCD1210"/>
    <w:rsid w:val="200449F5"/>
    <w:rsid w:val="20493DDC"/>
    <w:rsid w:val="208003D7"/>
    <w:rsid w:val="20F133E9"/>
    <w:rsid w:val="210E474B"/>
    <w:rsid w:val="22150291"/>
    <w:rsid w:val="222772DC"/>
    <w:rsid w:val="222F5A95"/>
    <w:rsid w:val="22B274A7"/>
    <w:rsid w:val="23114F41"/>
    <w:rsid w:val="231A0405"/>
    <w:rsid w:val="23A81172"/>
    <w:rsid w:val="242C7B00"/>
    <w:rsid w:val="245021EF"/>
    <w:rsid w:val="24662BE0"/>
    <w:rsid w:val="24B956CB"/>
    <w:rsid w:val="250A44E4"/>
    <w:rsid w:val="25585322"/>
    <w:rsid w:val="257D05BF"/>
    <w:rsid w:val="25930F7B"/>
    <w:rsid w:val="25B54B3A"/>
    <w:rsid w:val="2603552A"/>
    <w:rsid w:val="26084A59"/>
    <w:rsid w:val="26166708"/>
    <w:rsid w:val="267431C7"/>
    <w:rsid w:val="26AB5818"/>
    <w:rsid w:val="26F81D35"/>
    <w:rsid w:val="27291456"/>
    <w:rsid w:val="277B6D2A"/>
    <w:rsid w:val="27A441F2"/>
    <w:rsid w:val="28835931"/>
    <w:rsid w:val="28A77B67"/>
    <w:rsid w:val="28C60AA4"/>
    <w:rsid w:val="292C5FA4"/>
    <w:rsid w:val="29557648"/>
    <w:rsid w:val="29AE57C4"/>
    <w:rsid w:val="2B306AE8"/>
    <w:rsid w:val="2B396DAA"/>
    <w:rsid w:val="2B5F7BBE"/>
    <w:rsid w:val="2BC03938"/>
    <w:rsid w:val="2C466250"/>
    <w:rsid w:val="2CAE6316"/>
    <w:rsid w:val="2D410C84"/>
    <w:rsid w:val="2D4C19B4"/>
    <w:rsid w:val="2D7074BC"/>
    <w:rsid w:val="2DE159A0"/>
    <w:rsid w:val="2E6E3160"/>
    <w:rsid w:val="2E922D4F"/>
    <w:rsid w:val="2EBB16B2"/>
    <w:rsid w:val="2F112128"/>
    <w:rsid w:val="30490B2E"/>
    <w:rsid w:val="30A4652D"/>
    <w:rsid w:val="30B67FB0"/>
    <w:rsid w:val="310C3DA1"/>
    <w:rsid w:val="31196504"/>
    <w:rsid w:val="31252CE1"/>
    <w:rsid w:val="314F77A4"/>
    <w:rsid w:val="317D21C8"/>
    <w:rsid w:val="32486AF5"/>
    <w:rsid w:val="33023D76"/>
    <w:rsid w:val="339E7041"/>
    <w:rsid w:val="33BF0B66"/>
    <w:rsid w:val="33E858D3"/>
    <w:rsid w:val="33F7531F"/>
    <w:rsid w:val="34640E8A"/>
    <w:rsid w:val="34653638"/>
    <w:rsid w:val="35105497"/>
    <w:rsid w:val="36033CB1"/>
    <w:rsid w:val="362B2804"/>
    <w:rsid w:val="364C113E"/>
    <w:rsid w:val="366A08ED"/>
    <w:rsid w:val="367C1E3F"/>
    <w:rsid w:val="36A53712"/>
    <w:rsid w:val="3747766D"/>
    <w:rsid w:val="37975F9A"/>
    <w:rsid w:val="379B3836"/>
    <w:rsid w:val="38004FE1"/>
    <w:rsid w:val="383511B1"/>
    <w:rsid w:val="390A0FA8"/>
    <w:rsid w:val="3914761E"/>
    <w:rsid w:val="39A65910"/>
    <w:rsid w:val="39DE2F51"/>
    <w:rsid w:val="3A1708DB"/>
    <w:rsid w:val="3A265061"/>
    <w:rsid w:val="3A8C7B9A"/>
    <w:rsid w:val="3AD62F26"/>
    <w:rsid w:val="3B474991"/>
    <w:rsid w:val="3B7711C5"/>
    <w:rsid w:val="3BC2474E"/>
    <w:rsid w:val="3C935671"/>
    <w:rsid w:val="3C9B3A73"/>
    <w:rsid w:val="3CAF1767"/>
    <w:rsid w:val="3CD52E58"/>
    <w:rsid w:val="3CEF2645"/>
    <w:rsid w:val="3D1475DD"/>
    <w:rsid w:val="3D205DAE"/>
    <w:rsid w:val="3D311BD5"/>
    <w:rsid w:val="3D3505A6"/>
    <w:rsid w:val="3D487C5F"/>
    <w:rsid w:val="3D5A43CA"/>
    <w:rsid w:val="3E0E6FAE"/>
    <w:rsid w:val="3E495466"/>
    <w:rsid w:val="3E506453"/>
    <w:rsid w:val="3E86089B"/>
    <w:rsid w:val="3EBC0A71"/>
    <w:rsid w:val="3EE43027"/>
    <w:rsid w:val="3F611491"/>
    <w:rsid w:val="3FBC6572"/>
    <w:rsid w:val="3FF27E13"/>
    <w:rsid w:val="40007AD0"/>
    <w:rsid w:val="40084F81"/>
    <w:rsid w:val="40765888"/>
    <w:rsid w:val="4080743A"/>
    <w:rsid w:val="40C064FB"/>
    <w:rsid w:val="41A606D1"/>
    <w:rsid w:val="41E87453"/>
    <w:rsid w:val="421D1F4B"/>
    <w:rsid w:val="429C7EDB"/>
    <w:rsid w:val="42C853F6"/>
    <w:rsid w:val="43306B31"/>
    <w:rsid w:val="43AE2A57"/>
    <w:rsid w:val="442575E3"/>
    <w:rsid w:val="44976E39"/>
    <w:rsid w:val="44C32B2A"/>
    <w:rsid w:val="44C93B6E"/>
    <w:rsid w:val="44E91851"/>
    <w:rsid w:val="4575560E"/>
    <w:rsid w:val="45E60602"/>
    <w:rsid w:val="462A47F7"/>
    <w:rsid w:val="46595090"/>
    <w:rsid w:val="46612FF0"/>
    <w:rsid w:val="466817E9"/>
    <w:rsid w:val="467B3B04"/>
    <w:rsid w:val="46E37FAC"/>
    <w:rsid w:val="473411A0"/>
    <w:rsid w:val="47354BED"/>
    <w:rsid w:val="47527B23"/>
    <w:rsid w:val="47563196"/>
    <w:rsid w:val="47807352"/>
    <w:rsid w:val="47B83E75"/>
    <w:rsid w:val="47D5719A"/>
    <w:rsid w:val="47F630CB"/>
    <w:rsid w:val="486F4510"/>
    <w:rsid w:val="487534AE"/>
    <w:rsid w:val="48CC1936"/>
    <w:rsid w:val="491F1B18"/>
    <w:rsid w:val="49246241"/>
    <w:rsid w:val="49437F26"/>
    <w:rsid w:val="495F75AB"/>
    <w:rsid w:val="49FD0A86"/>
    <w:rsid w:val="4A011904"/>
    <w:rsid w:val="4A1E5600"/>
    <w:rsid w:val="4A2B11CB"/>
    <w:rsid w:val="4AD848CB"/>
    <w:rsid w:val="4AE26F00"/>
    <w:rsid w:val="4B116432"/>
    <w:rsid w:val="4B376AF2"/>
    <w:rsid w:val="4B487FE8"/>
    <w:rsid w:val="4B634D6F"/>
    <w:rsid w:val="4BA0001F"/>
    <w:rsid w:val="4BDE7517"/>
    <w:rsid w:val="4C044655"/>
    <w:rsid w:val="4C394396"/>
    <w:rsid w:val="4C602C4C"/>
    <w:rsid w:val="4C8107C8"/>
    <w:rsid w:val="4CF468FF"/>
    <w:rsid w:val="4CFA24D1"/>
    <w:rsid w:val="4D464ACC"/>
    <w:rsid w:val="4F9A262D"/>
    <w:rsid w:val="505C4527"/>
    <w:rsid w:val="5096641F"/>
    <w:rsid w:val="50C61D12"/>
    <w:rsid w:val="511849C5"/>
    <w:rsid w:val="51C70299"/>
    <w:rsid w:val="522F4CA1"/>
    <w:rsid w:val="523D56D9"/>
    <w:rsid w:val="5256487A"/>
    <w:rsid w:val="525F20F9"/>
    <w:rsid w:val="52B400D0"/>
    <w:rsid w:val="52D72A12"/>
    <w:rsid w:val="52D909B2"/>
    <w:rsid w:val="52E31441"/>
    <w:rsid w:val="53590D7D"/>
    <w:rsid w:val="536F3A61"/>
    <w:rsid w:val="537120B6"/>
    <w:rsid w:val="541A674C"/>
    <w:rsid w:val="54A95920"/>
    <w:rsid w:val="54CE1BE5"/>
    <w:rsid w:val="54D6501D"/>
    <w:rsid w:val="55F00746"/>
    <w:rsid w:val="566B3230"/>
    <w:rsid w:val="56762AE0"/>
    <w:rsid w:val="56791494"/>
    <w:rsid w:val="57192604"/>
    <w:rsid w:val="574166D3"/>
    <w:rsid w:val="57841D2D"/>
    <w:rsid w:val="57ED1F34"/>
    <w:rsid w:val="58AB7DF4"/>
    <w:rsid w:val="58D62ECF"/>
    <w:rsid w:val="598D3521"/>
    <w:rsid w:val="59967A13"/>
    <w:rsid w:val="59F42F3E"/>
    <w:rsid w:val="5A17392E"/>
    <w:rsid w:val="5A367100"/>
    <w:rsid w:val="5A52041E"/>
    <w:rsid w:val="5AEA2551"/>
    <w:rsid w:val="5AEC1D4A"/>
    <w:rsid w:val="5AFC6A92"/>
    <w:rsid w:val="5B031116"/>
    <w:rsid w:val="5B577AC6"/>
    <w:rsid w:val="5B626AAA"/>
    <w:rsid w:val="5C5B4922"/>
    <w:rsid w:val="5C7D3392"/>
    <w:rsid w:val="5CBC0302"/>
    <w:rsid w:val="5CEC44F7"/>
    <w:rsid w:val="5D051D94"/>
    <w:rsid w:val="5D1B16EF"/>
    <w:rsid w:val="5D2904AE"/>
    <w:rsid w:val="5D2B1513"/>
    <w:rsid w:val="5DFA006A"/>
    <w:rsid w:val="5E1C3BB0"/>
    <w:rsid w:val="5F434735"/>
    <w:rsid w:val="60662BED"/>
    <w:rsid w:val="60813FFC"/>
    <w:rsid w:val="60FE7522"/>
    <w:rsid w:val="610722A6"/>
    <w:rsid w:val="61530388"/>
    <w:rsid w:val="61887534"/>
    <w:rsid w:val="6190186D"/>
    <w:rsid w:val="6268011E"/>
    <w:rsid w:val="63215E32"/>
    <w:rsid w:val="63651290"/>
    <w:rsid w:val="64F66FE5"/>
    <w:rsid w:val="650161F8"/>
    <w:rsid w:val="65697AEE"/>
    <w:rsid w:val="658E37D4"/>
    <w:rsid w:val="65E9411E"/>
    <w:rsid w:val="65F75F42"/>
    <w:rsid w:val="65FA3E1E"/>
    <w:rsid w:val="6679090F"/>
    <w:rsid w:val="66A72641"/>
    <w:rsid w:val="67183621"/>
    <w:rsid w:val="67224B44"/>
    <w:rsid w:val="6766334F"/>
    <w:rsid w:val="679E08AB"/>
    <w:rsid w:val="67CF4E7A"/>
    <w:rsid w:val="67DE0979"/>
    <w:rsid w:val="67E1168A"/>
    <w:rsid w:val="67FE7A61"/>
    <w:rsid w:val="68037DA7"/>
    <w:rsid w:val="68687872"/>
    <w:rsid w:val="688C7037"/>
    <w:rsid w:val="68923216"/>
    <w:rsid w:val="689E78FD"/>
    <w:rsid w:val="68A210E5"/>
    <w:rsid w:val="68F65D02"/>
    <w:rsid w:val="6AAC5D86"/>
    <w:rsid w:val="6AF44E7C"/>
    <w:rsid w:val="6B2F0C6F"/>
    <w:rsid w:val="6B681157"/>
    <w:rsid w:val="6BAB078B"/>
    <w:rsid w:val="6BC03808"/>
    <w:rsid w:val="6BD10D08"/>
    <w:rsid w:val="6C91761E"/>
    <w:rsid w:val="6CCF2BDB"/>
    <w:rsid w:val="6CD52FA5"/>
    <w:rsid w:val="6CDA548B"/>
    <w:rsid w:val="6CDB601E"/>
    <w:rsid w:val="6CF0123C"/>
    <w:rsid w:val="6CF225C7"/>
    <w:rsid w:val="6D4C69DA"/>
    <w:rsid w:val="6D630453"/>
    <w:rsid w:val="6DA27FF8"/>
    <w:rsid w:val="6DE62BD5"/>
    <w:rsid w:val="6DEE7CBA"/>
    <w:rsid w:val="6E4E56FF"/>
    <w:rsid w:val="6E517B7D"/>
    <w:rsid w:val="6EC3353C"/>
    <w:rsid w:val="6F4F68B2"/>
    <w:rsid w:val="6FB64CA2"/>
    <w:rsid w:val="6FD43007"/>
    <w:rsid w:val="6FE92729"/>
    <w:rsid w:val="702155FD"/>
    <w:rsid w:val="709C0603"/>
    <w:rsid w:val="70BA3990"/>
    <w:rsid w:val="712F4FF7"/>
    <w:rsid w:val="716326AB"/>
    <w:rsid w:val="716F100E"/>
    <w:rsid w:val="71CC50D8"/>
    <w:rsid w:val="723974E0"/>
    <w:rsid w:val="72481A4B"/>
    <w:rsid w:val="72555E1B"/>
    <w:rsid w:val="72AC35F3"/>
    <w:rsid w:val="72D40C6C"/>
    <w:rsid w:val="73142134"/>
    <w:rsid w:val="73791299"/>
    <w:rsid w:val="74717623"/>
    <w:rsid w:val="74803413"/>
    <w:rsid w:val="74972DEC"/>
    <w:rsid w:val="74C9412F"/>
    <w:rsid w:val="74E92893"/>
    <w:rsid w:val="74F32AC9"/>
    <w:rsid w:val="74F354DF"/>
    <w:rsid w:val="755B3A6E"/>
    <w:rsid w:val="756659FD"/>
    <w:rsid w:val="75C75002"/>
    <w:rsid w:val="75F905B0"/>
    <w:rsid w:val="76001735"/>
    <w:rsid w:val="761248D7"/>
    <w:rsid w:val="76635958"/>
    <w:rsid w:val="76643992"/>
    <w:rsid w:val="76A73A6F"/>
    <w:rsid w:val="76AA4771"/>
    <w:rsid w:val="770519A8"/>
    <w:rsid w:val="77C50134"/>
    <w:rsid w:val="79004A7B"/>
    <w:rsid w:val="79093723"/>
    <w:rsid w:val="79173FFD"/>
    <w:rsid w:val="791F143E"/>
    <w:rsid w:val="793C676A"/>
    <w:rsid w:val="79C9269B"/>
    <w:rsid w:val="79D03E2D"/>
    <w:rsid w:val="7A1E1EDB"/>
    <w:rsid w:val="7B804C51"/>
    <w:rsid w:val="7C025E76"/>
    <w:rsid w:val="7C6901AF"/>
    <w:rsid w:val="7C7845DB"/>
    <w:rsid w:val="7CC11AB4"/>
    <w:rsid w:val="7D1F50CC"/>
    <w:rsid w:val="7D8611FF"/>
    <w:rsid w:val="7E247F2E"/>
    <w:rsid w:val="7EAC3A66"/>
    <w:rsid w:val="7EC7417A"/>
    <w:rsid w:val="7F0045BF"/>
    <w:rsid w:val="7F356B6F"/>
    <w:rsid w:val="7FCB13E7"/>
    <w:rsid w:val="7FDC0D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2139</Words>
  <Characters>13853</Characters>
  <Lines>0</Lines>
  <Paragraphs>0</Paragraphs>
  <TotalTime>3</TotalTime>
  <ScaleCrop>false</ScaleCrop>
  <LinksUpToDate>false</LinksUpToDate>
  <CharactersWithSpaces>15696</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2025-06-12T09:38:00Z</dcterms:created>
  <dc:creator>Lenovo</dc:creator>
  <cp:lastModifiedBy>申</cp:lastModifiedBy>
  <dcterms:modified xsi:type="dcterms:W3CDTF">2026-03-23T13:39:33Z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C94E7A1B3A8345BCA6F5D979E57EA37C_12</vt:lpwstr>
  </property>
  <property fmtid="{D5CDD505-2E9C-101B-9397-08002B2CF9AE}" pid="4" name="KSOTemplateDocerSaveRecord">
    <vt:lpwstr>eyJoZGlkIjoiNDUwMTFkMDI3ZjBmZjczM2Q3M2EwOGI5M2VjYzUzMDkiLCJ1c2VySWQiOiIxNjY3MDg4NDkzIn0=</vt:lpwstr>
  </property>
</Properties>
</file>