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9623D" w14:textId="2BCB624B" w:rsidR="00243DB0" w:rsidRDefault="00345993" w:rsidP="00C23BF1">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Highlights</w:t>
      </w:r>
    </w:p>
    <w:p w14:paraId="35544214" w14:textId="77777777" w:rsidR="00B83E05" w:rsidRDefault="00B83E05" w:rsidP="003254FD">
      <w:pPr>
        <w:spacing w:after="0" w:line="240" w:lineRule="auto"/>
        <w:contextualSpacing/>
        <w:jc w:val="center"/>
        <w:rPr>
          <w:rFonts w:ascii="Times New Roman" w:hAnsi="Times New Roman"/>
          <w:b/>
          <w:bCs/>
        </w:rPr>
      </w:pPr>
    </w:p>
    <w:p w14:paraId="18752C51" w14:textId="77777777" w:rsidR="00B83E05" w:rsidRDefault="00B83E05" w:rsidP="003254FD">
      <w:pPr>
        <w:spacing w:after="0" w:line="240" w:lineRule="auto"/>
        <w:contextualSpacing/>
        <w:jc w:val="center"/>
        <w:rPr>
          <w:rFonts w:ascii="Times New Roman" w:hAnsi="Times New Roman"/>
          <w:b/>
          <w:bCs/>
        </w:rPr>
      </w:pPr>
    </w:p>
    <w:p w14:paraId="6E334DC4" w14:textId="6231D5E6" w:rsidR="003254FD" w:rsidRPr="00106BC6" w:rsidRDefault="003254FD" w:rsidP="003254FD">
      <w:pPr>
        <w:spacing w:after="0" w:line="240" w:lineRule="auto"/>
        <w:contextualSpacing/>
        <w:jc w:val="center"/>
        <w:rPr>
          <w:rFonts w:ascii="Times New Roman" w:hAnsi="Times New Roman"/>
          <w:b/>
          <w:bCs/>
          <w:sz w:val="24"/>
          <w:szCs w:val="24"/>
        </w:rPr>
      </w:pPr>
      <w:r w:rsidRPr="00106BC6">
        <w:rPr>
          <w:rFonts w:ascii="Times New Roman" w:hAnsi="Times New Roman"/>
          <w:b/>
          <w:bCs/>
          <w:sz w:val="24"/>
          <w:szCs w:val="24"/>
        </w:rPr>
        <w:t>Cyclical Dynamics of Tourism-Linked Exchange-Traded Funds:</w:t>
      </w:r>
    </w:p>
    <w:p w14:paraId="413B3843" w14:textId="77777777" w:rsidR="003254FD" w:rsidRPr="00106BC6" w:rsidRDefault="003254FD" w:rsidP="003254FD">
      <w:pPr>
        <w:spacing w:after="0" w:line="240" w:lineRule="auto"/>
        <w:contextualSpacing/>
        <w:jc w:val="center"/>
        <w:rPr>
          <w:rFonts w:ascii="Times New Roman" w:hAnsi="Times New Roman"/>
          <w:b/>
          <w:bCs/>
          <w:sz w:val="24"/>
          <w:szCs w:val="24"/>
        </w:rPr>
      </w:pPr>
      <w:r w:rsidRPr="00106BC6">
        <w:rPr>
          <w:rFonts w:ascii="Times New Roman" w:hAnsi="Times New Roman"/>
          <w:b/>
          <w:bCs/>
          <w:sz w:val="24"/>
          <w:szCs w:val="24"/>
        </w:rPr>
        <w:t>A Time-Varying Intra-Market Perspective</w:t>
      </w:r>
    </w:p>
    <w:p w14:paraId="1C456DD9" w14:textId="77777777" w:rsidR="00C65716" w:rsidRDefault="00C65716" w:rsidP="00C23BF1">
      <w:pPr>
        <w:spacing w:after="0" w:line="240" w:lineRule="auto"/>
        <w:contextualSpacing/>
        <w:rPr>
          <w:rFonts w:ascii="Times New Roman" w:hAnsi="Times New Roman" w:cs="Times New Roman"/>
          <w:b/>
          <w:bCs/>
          <w:sz w:val="24"/>
          <w:szCs w:val="24"/>
        </w:rPr>
      </w:pPr>
    </w:p>
    <w:p w14:paraId="5A3C5A39" w14:textId="77777777" w:rsidR="00B83E05" w:rsidRDefault="00B83E05" w:rsidP="003254FD">
      <w:pPr>
        <w:spacing w:after="0" w:line="240" w:lineRule="auto"/>
        <w:contextualSpacing/>
        <w:jc w:val="center"/>
        <w:rPr>
          <w:rFonts w:ascii="Times New Roman" w:hAnsi="Times New Roman" w:cs="Times New Roman"/>
          <w:b/>
          <w:bCs/>
          <w:sz w:val="24"/>
          <w:szCs w:val="24"/>
        </w:rPr>
      </w:pPr>
    </w:p>
    <w:p w14:paraId="32C0CBBE" w14:textId="50013ADF" w:rsidR="003254FD" w:rsidRPr="00837D77" w:rsidRDefault="003254FD" w:rsidP="003254FD">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Onur ÖZDEMİR</w:t>
      </w:r>
      <w:r>
        <w:rPr>
          <w:rStyle w:val="DipnotBavurusu"/>
          <w:rFonts w:ascii="Times New Roman" w:hAnsi="Times New Roman" w:cs="Times New Roman"/>
          <w:b/>
          <w:bCs/>
          <w:sz w:val="24"/>
          <w:szCs w:val="24"/>
        </w:rPr>
        <w:footnoteReference w:customMarkFollows="1" w:id="1"/>
        <w:t>*</w:t>
      </w:r>
    </w:p>
    <w:p w14:paraId="6C664968" w14:textId="77777777" w:rsidR="00637C35" w:rsidRDefault="00637C35" w:rsidP="00C23BF1">
      <w:pPr>
        <w:spacing w:after="0" w:line="240" w:lineRule="auto"/>
        <w:contextualSpacing/>
        <w:rPr>
          <w:rFonts w:ascii="Times New Roman" w:hAnsi="Times New Roman" w:cs="Times New Roman"/>
          <w:b/>
          <w:bCs/>
          <w:sz w:val="24"/>
          <w:szCs w:val="24"/>
        </w:rPr>
      </w:pPr>
    </w:p>
    <w:p w14:paraId="247FF846" w14:textId="1466CC32" w:rsidR="003254FD" w:rsidRPr="002E7A77" w:rsidRDefault="003254FD" w:rsidP="003254FD">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Serdar EGELİ</w:t>
      </w:r>
      <w:r>
        <w:rPr>
          <w:rStyle w:val="DipnotBavurusu"/>
          <w:rFonts w:ascii="Times New Roman" w:hAnsi="Times New Roman" w:cs="Times New Roman"/>
          <w:b/>
          <w:bCs/>
          <w:sz w:val="24"/>
          <w:szCs w:val="24"/>
        </w:rPr>
        <w:footnoteReference w:customMarkFollows="1" w:id="2"/>
        <w:t>**</w:t>
      </w:r>
    </w:p>
    <w:p w14:paraId="44CB2210" w14:textId="77777777" w:rsidR="00637C35" w:rsidRPr="00C65716" w:rsidRDefault="00637C35" w:rsidP="00C23BF1">
      <w:pPr>
        <w:spacing w:after="0" w:line="240" w:lineRule="auto"/>
        <w:ind w:left="360" w:hanging="360"/>
        <w:contextualSpacing/>
        <w:jc w:val="both"/>
        <w:rPr>
          <w:rFonts w:ascii="Times New Roman" w:hAnsi="Times New Roman" w:cs="Times New Roman"/>
          <w:b/>
          <w:bCs/>
          <w:sz w:val="20"/>
          <w:szCs w:val="20"/>
        </w:rPr>
      </w:pPr>
    </w:p>
    <w:p w14:paraId="3CF12707" w14:textId="66523239" w:rsidR="00345993" w:rsidRDefault="00345993" w:rsidP="00C23BF1">
      <w:pPr>
        <w:spacing w:after="0" w:line="240" w:lineRule="auto"/>
        <w:contextualSpacing/>
        <w:jc w:val="both"/>
        <w:rPr>
          <w:rFonts w:ascii="Times New Roman" w:hAnsi="Times New Roman"/>
        </w:rPr>
      </w:pPr>
      <w:r>
        <w:rPr>
          <w:rFonts w:ascii="Times New Roman" w:hAnsi="Times New Roman"/>
          <w:iCs/>
        </w:rPr>
        <w:t xml:space="preserve">This study contributes to the modern portfolio theory by investigating the multi-dimensional spillover dynamics of tourism-linked ETFs for the period between </w:t>
      </w:r>
      <w:r>
        <w:rPr>
          <w:rFonts w:ascii="Times New Roman" w:hAnsi="Times New Roman"/>
        </w:rPr>
        <w:t>March 11, 2020 and November 14, 2025, covering COVID-19 pandemic, Russia-Ukraine war, Fed’s monetary tightening, crypto market crashes, U.S. banking problems, corporate debt and bankruptcy surges, and heightened volatility in financial markets, which leads tourism sector to come to a halt.</w:t>
      </w:r>
    </w:p>
    <w:p w14:paraId="3A762C5A" w14:textId="77777777" w:rsidR="00345993" w:rsidRDefault="00345993" w:rsidP="00C23BF1">
      <w:pPr>
        <w:spacing w:after="0" w:line="240" w:lineRule="auto"/>
        <w:contextualSpacing/>
        <w:jc w:val="both"/>
        <w:rPr>
          <w:rFonts w:ascii="Times New Roman" w:hAnsi="Times New Roman"/>
        </w:rPr>
      </w:pPr>
    </w:p>
    <w:p w14:paraId="7677AF45" w14:textId="0583B87D" w:rsidR="00C35D72" w:rsidRDefault="00345993" w:rsidP="00C23BF1">
      <w:pPr>
        <w:spacing w:after="0" w:line="240" w:lineRule="auto"/>
        <w:contextualSpacing/>
        <w:jc w:val="both"/>
        <w:rPr>
          <w:rFonts w:ascii="Times New Roman" w:hAnsi="Times New Roman"/>
        </w:rPr>
      </w:pPr>
      <w:r>
        <w:rPr>
          <w:rFonts w:ascii="Times New Roman" w:hAnsi="Times New Roman"/>
        </w:rPr>
        <w:t xml:space="preserve">Using an integrated methodological framework including Value-at-Risk (VaR), Conditional VaR (CVaR), risk-adjusted return analyses, wavelet approach and dynamic connectedness method based on QVAR approach, this study emphasizes that tourism-linked ETFs are exposed to </w:t>
      </w:r>
      <w:r w:rsidRPr="00185C45">
        <w:rPr>
          <w:rFonts w:ascii="Times New Roman" w:hAnsi="Times New Roman"/>
        </w:rPr>
        <w:t>significant downside risks</w:t>
      </w:r>
      <w:r>
        <w:rPr>
          <w:rFonts w:ascii="Times New Roman" w:hAnsi="Times New Roman"/>
        </w:rPr>
        <w:t xml:space="preserve"> and volatility spillovers - notably during periods marked by heightened financial stress.</w:t>
      </w:r>
    </w:p>
    <w:p w14:paraId="1E3109EA" w14:textId="77777777" w:rsidR="00B83E05" w:rsidRDefault="00B83E05" w:rsidP="00C23BF1">
      <w:pPr>
        <w:tabs>
          <w:tab w:val="left" w:pos="4019"/>
        </w:tabs>
        <w:spacing w:after="0" w:line="240" w:lineRule="auto"/>
        <w:contextualSpacing/>
        <w:jc w:val="both"/>
        <w:rPr>
          <w:rFonts w:ascii="Times New Roman" w:eastAsiaTheme="minorEastAsia" w:hAnsi="Times New Roman" w:cs="Times New Roman"/>
          <w:b/>
          <w:bCs/>
          <w:color w:val="000000" w:themeColor="text1"/>
          <w:sz w:val="19"/>
          <w:szCs w:val="19"/>
        </w:rPr>
      </w:pPr>
    </w:p>
    <w:p w14:paraId="3AB96451" w14:textId="142D2163" w:rsidR="00345993" w:rsidRDefault="00345993" w:rsidP="00C23BF1">
      <w:pPr>
        <w:tabs>
          <w:tab w:val="left" w:pos="4019"/>
        </w:tabs>
        <w:spacing w:after="0" w:line="240" w:lineRule="auto"/>
        <w:contextualSpacing/>
        <w:jc w:val="both"/>
        <w:rPr>
          <w:rFonts w:ascii="Times New Roman" w:hAnsi="Times New Roman"/>
        </w:rPr>
      </w:pPr>
      <w:r>
        <w:rPr>
          <w:rFonts w:ascii="Times New Roman" w:hAnsi="Times New Roman"/>
        </w:rPr>
        <w:t>The empirical evidence yields several implications for effective hedging performance and portfolio diversification.</w:t>
      </w:r>
    </w:p>
    <w:p w14:paraId="399C9EE6" w14:textId="77777777" w:rsidR="00345993" w:rsidRDefault="00345993" w:rsidP="00C23BF1">
      <w:pPr>
        <w:tabs>
          <w:tab w:val="left" w:pos="4019"/>
        </w:tabs>
        <w:spacing w:after="0" w:line="240" w:lineRule="auto"/>
        <w:contextualSpacing/>
        <w:jc w:val="both"/>
        <w:rPr>
          <w:rFonts w:ascii="Times New Roman" w:hAnsi="Times New Roman"/>
        </w:rPr>
      </w:pPr>
    </w:p>
    <w:p w14:paraId="31A9545C" w14:textId="3FF317EF" w:rsidR="00345993" w:rsidRPr="00345993" w:rsidRDefault="00345993" w:rsidP="00345993">
      <w:pPr>
        <w:pStyle w:val="ListeParagraf"/>
        <w:numPr>
          <w:ilvl w:val="0"/>
          <w:numId w:val="1"/>
        </w:numPr>
        <w:spacing w:after="0" w:line="240" w:lineRule="auto"/>
        <w:jc w:val="both"/>
        <w:rPr>
          <w:rFonts w:ascii="Times New Roman" w:hAnsi="Times New Roman"/>
          <w:iCs/>
        </w:rPr>
      </w:pPr>
      <w:r w:rsidRPr="00345993">
        <w:rPr>
          <w:rFonts w:ascii="Times New Roman" w:hAnsi="Times New Roman"/>
        </w:rPr>
        <w:t xml:space="preserve">First, the coronavirus effect is impact-generating on returns of selected ETFs where the risk-adjusted measures </w:t>
      </w:r>
      <w:r w:rsidRPr="00345993">
        <w:rPr>
          <w:rFonts w:ascii="Times New Roman" w:eastAsiaTheme="minorEastAsia" w:hAnsi="Times New Roman"/>
        </w:rPr>
        <w:t xml:space="preserve">face with negative trends along with poor risk-adjusted performance, indicating systemic problems. </w:t>
      </w:r>
      <w:r w:rsidRPr="00345993">
        <w:rPr>
          <w:rFonts w:ascii="Times New Roman" w:hAnsi="Times New Roman"/>
          <w:iCs/>
        </w:rPr>
        <w:t>Tourism-linked ETFs show lower risk-adjusted returns, with negative Sharpe, Sortino, and Treynor ratios, reinforcing their fragility and sensitivity to the pandemic-induced disturbances but the positive sign of Jensen Alpha is not enough to compensate for market risk. In that vein, tourism-linked ETFs have performed worse based on sectoral vulnerability to COVID-19 outbreak, delivering negative risk-adjusted returns in its aftermath, along with total volatility, downside risk, and systematic (market) risk.</w:t>
      </w:r>
    </w:p>
    <w:p w14:paraId="4027185F" w14:textId="6E619BF7" w:rsidR="00345993" w:rsidRDefault="00345993" w:rsidP="00345993">
      <w:pPr>
        <w:tabs>
          <w:tab w:val="left" w:pos="4019"/>
        </w:tabs>
        <w:spacing w:after="0" w:line="240" w:lineRule="auto"/>
        <w:contextualSpacing/>
        <w:jc w:val="both"/>
        <w:rPr>
          <w:rFonts w:ascii="Times New Roman" w:eastAsiaTheme="minorEastAsia" w:hAnsi="Times New Roman" w:cs="Times New Roman"/>
          <w:b/>
          <w:bCs/>
          <w:color w:val="000000" w:themeColor="text1"/>
          <w:sz w:val="19"/>
          <w:szCs w:val="19"/>
        </w:rPr>
      </w:pPr>
    </w:p>
    <w:p w14:paraId="4CEDC13B" w14:textId="4C78DBD1" w:rsidR="00345993" w:rsidRPr="00345993" w:rsidRDefault="00345993" w:rsidP="00345993">
      <w:pPr>
        <w:pStyle w:val="ListeParagraf"/>
        <w:numPr>
          <w:ilvl w:val="0"/>
          <w:numId w:val="1"/>
        </w:numPr>
        <w:tabs>
          <w:tab w:val="left" w:pos="4019"/>
        </w:tabs>
        <w:spacing w:after="0" w:line="240" w:lineRule="auto"/>
        <w:jc w:val="both"/>
        <w:rPr>
          <w:rFonts w:ascii="Times New Roman" w:eastAsiaTheme="minorEastAsia" w:hAnsi="Times New Roman" w:cs="Times New Roman"/>
          <w:b/>
          <w:bCs/>
          <w:color w:val="000000" w:themeColor="text1"/>
          <w:sz w:val="19"/>
          <w:szCs w:val="19"/>
        </w:rPr>
      </w:pPr>
      <w:r w:rsidRPr="00345993">
        <w:rPr>
          <w:rFonts w:ascii="Times New Roman" w:hAnsi="Times New Roman"/>
          <w:iCs/>
        </w:rPr>
        <w:t>Second, the historical ups and downs in ETF prices led to a higher downside risk in financial flows and eroded risk-alleviating role of such asset classes. Particularly, rising market stress and heightened volatility dramatically increased tail risk potential and thereby weakened risk alleviation methods. This is also manifested by a surge in volatility dynamics, especially during short- and medium-run frequencies, which limited diversification potential and amplified assets’ sensitivity to market risk.</w:t>
      </w:r>
    </w:p>
    <w:p w14:paraId="07E9F4EE" w14:textId="77777777" w:rsidR="00345993" w:rsidRDefault="00345993" w:rsidP="00345993">
      <w:pPr>
        <w:rPr>
          <w:rFonts w:ascii="Times New Roman" w:eastAsiaTheme="minorEastAsia" w:hAnsi="Times New Roman" w:cs="Times New Roman"/>
          <w:b/>
          <w:bCs/>
          <w:color w:val="000000" w:themeColor="text1"/>
          <w:sz w:val="19"/>
          <w:szCs w:val="19"/>
        </w:rPr>
      </w:pPr>
    </w:p>
    <w:p w14:paraId="6677B6E7" w14:textId="05E8B371" w:rsidR="00345993" w:rsidRPr="00345993" w:rsidRDefault="00345993" w:rsidP="00345993">
      <w:pPr>
        <w:pStyle w:val="ListeParagraf"/>
        <w:numPr>
          <w:ilvl w:val="0"/>
          <w:numId w:val="1"/>
        </w:numPr>
        <w:spacing w:after="0" w:line="240" w:lineRule="auto"/>
        <w:jc w:val="both"/>
        <w:rPr>
          <w:rFonts w:ascii="Times New Roman" w:hAnsi="Times New Roman"/>
          <w:iCs/>
        </w:rPr>
      </w:pPr>
      <w:r w:rsidRPr="00345993">
        <w:rPr>
          <w:rFonts w:ascii="Times New Roman" w:hAnsi="Times New Roman"/>
          <w:iCs/>
        </w:rPr>
        <w:t xml:space="preserve">Third, the high-frequency isolated volatilities are pronounced in tourism sector, especially during the coronavirus outbreak, indicating to heightened short-term market shocks due to speculative motives and volatility spikes. On the other hand, tourism-linked ETFs have regime-contingent </w:t>
      </w:r>
      <w:r w:rsidRPr="00345993">
        <w:rPr>
          <w:rFonts w:ascii="Times New Roman" w:hAnsi="Times New Roman"/>
          <w:iCs/>
        </w:rPr>
        <w:lastRenderedPageBreak/>
        <w:t>dependence on sectoral vulnerabilities and track the same dynamics at low frequencies, indicating strong coherence and long-term co-movement across all-indices.</w:t>
      </w:r>
    </w:p>
    <w:p w14:paraId="2031C137" w14:textId="77777777" w:rsidR="00345993" w:rsidRPr="00345993" w:rsidRDefault="00345993" w:rsidP="00345993">
      <w:pPr>
        <w:pStyle w:val="ListeParagraf"/>
        <w:rPr>
          <w:rFonts w:ascii="Times New Roman" w:eastAsiaTheme="minorEastAsia" w:hAnsi="Times New Roman" w:cs="Times New Roman"/>
          <w:b/>
          <w:bCs/>
          <w:color w:val="000000" w:themeColor="text1"/>
          <w:sz w:val="19"/>
          <w:szCs w:val="19"/>
        </w:rPr>
      </w:pPr>
    </w:p>
    <w:p w14:paraId="5FFDEAA3" w14:textId="7A61EFC6" w:rsidR="00345993" w:rsidRPr="00345993" w:rsidRDefault="00345993" w:rsidP="00345993">
      <w:pPr>
        <w:pStyle w:val="ListeParagraf"/>
        <w:numPr>
          <w:ilvl w:val="0"/>
          <w:numId w:val="1"/>
        </w:numPr>
        <w:jc w:val="both"/>
        <w:rPr>
          <w:rFonts w:ascii="Times New Roman" w:eastAsiaTheme="minorEastAsia" w:hAnsi="Times New Roman" w:cs="Times New Roman"/>
          <w:b/>
          <w:bCs/>
          <w:color w:val="000000" w:themeColor="text1"/>
          <w:sz w:val="19"/>
          <w:szCs w:val="19"/>
        </w:rPr>
      </w:pPr>
      <w:r>
        <w:rPr>
          <w:rFonts w:ascii="Times New Roman" w:hAnsi="Times New Roman"/>
          <w:iCs/>
        </w:rPr>
        <w:t xml:space="preserve">Fourth, </w:t>
      </w:r>
      <w:r w:rsidRPr="00345993">
        <w:rPr>
          <w:rFonts w:ascii="Times New Roman" w:hAnsi="Times New Roman"/>
          <w:iCs/>
        </w:rPr>
        <w:t>Considering the connectedness approach, the findings yield striking outcomes for investors. On the one hand, a surge in total connectedness indices of tourism-linked ETFs across different market conditions indicates high responsiveness of volatility dynamics based on economic uncertainty, geopolitical risks, micro- and macro-level expectations, liquidity level, and speculative activities. Volatility transmission is found to be non-linear and regime-dependent towards a marked increase during both bear and bull markets.</w:t>
      </w:r>
    </w:p>
    <w:p w14:paraId="6DD0254D" w14:textId="77777777" w:rsidR="00345993" w:rsidRPr="00345993" w:rsidRDefault="00345993" w:rsidP="00345993">
      <w:pPr>
        <w:pStyle w:val="ListeParagraf"/>
        <w:rPr>
          <w:rFonts w:ascii="Times New Roman" w:eastAsiaTheme="minorEastAsia" w:hAnsi="Times New Roman" w:cs="Times New Roman"/>
          <w:b/>
          <w:bCs/>
          <w:color w:val="000000" w:themeColor="text1"/>
          <w:sz w:val="19"/>
          <w:szCs w:val="19"/>
        </w:rPr>
      </w:pPr>
    </w:p>
    <w:p w14:paraId="017B2F3F" w14:textId="540A1DAB" w:rsidR="00345993" w:rsidRPr="00345993" w:rsidRDefault="00345993" w:rsidP="00345993">
      <w:pPr>
        <w:pStyle w:val="ListeParagraf"/>
        <w:numPr>
          <w:ilvl w:val="0"/>
          <w:numId w:val="1"/>
        </w:numPr>
        <w:jc w:val="both"/>
        <w:rPr>
          <w:rFonts w:ascii="Times New Roman" w:eastAsiaTheme="minorEastAsia" w:hAnsi="Times New Roman" w:cs="Times New Roman"/>
          <w:b/>
          <w:bCs/>
          <w:color w:val="000000" w:themeColor="text1"/>
        </w:rPr>
      </w:pPr>
      <w:r>
        <w:rPr>
          <w:rFonts w:ascii="Times New Roman" w:hAnsi="Times New Roman"/>
          <w:iCs/>
        </w:rPr>
        <w:t xml:space="preserve">Finally, the </w:t>
      </w:r>
      <w:r w:rsidRPr="00401140">
        <w:rPr>
          <w:rFonts w:ascii="Times New Roman" w:hAnsi="Times New Roman"/>
          <w:iCs/>
        </w:rPr>
        <w:t>volatility is highly persistent and has long-lasting effects along with a long-memory behavior in return volatility</w:t>
      </w:r>
      <w:r>
        <w:rPr>
          <w:rFonts w:ascii="Times New Roman" w:hAnsi="Times New Roman"/>
          <w:iCs/>
        </w:rPr>
        <w:t xml:space="preserve">. The sensitivity of volatility is also positive to recent shocks where market shocks immediately increase volatility. Notably, extreme losses are much more likely than under a normal distribution and co-movements of extreme returns during crisis periods for tourism </w:t>
      </w:r>
      <w:r w:rsidRPr="00345993">
        <w:rPr>
          <w:rFonts w:ascii="Times New Roman" w:hAnsi="Times New Roman"/>
          <w:iCs/>
        </w:rPr>
        <w:t>sector.</w:t>
      </w:r>
    </w:p>
    <w:p w14:paraId="6B3D8FA4" w14:textId="2F567F0F" w:rsidR="00345993" w:rsidRDefault="00345993" w:rsidP="00345993">
      <w:pPr>
        <w:spacing w:after="0" w:line="240" w:lineRule="auto"/>
        <w:contextualSpacing/>
        <w:jc w:val="both"/>
        <w:rPr>
          <w:rFonts w:ascii="Times New Roman" w:hAnsi="Times New Roman"/>
          <w:iCs/>
        </w:rPr>
      </w:pPr>
      <w:r w:rsidRPr="00345993">
        <w:rPr>
          <w:rFonts w:ascii="Times New Roman" w:eastAsiaTheme="minorEastAsia" w:hAnsi="Times New Roman" w:cs="Times New Roman"/>
          <w:color w:val="000000" w:themeColor="text1"/>
        </w:rPr>
        <w:t xml:space="preserve">Overall, </w:t>
      </w:r>
      <w:r w:rsidRPr="00345993">
        <w:rPr>
          <w:rFonts w:ascii="Times New Roman" w:hAnsi="Times New Roman"/>
          <w:iCs/>
        </w:rPr>
        <w:t xml:space="preserve">the study offers valuable insights and strategic recommendations for financial investors as well as financial strategists, policymakers, and regulators oriented toward developing resilient portfolio choices and investment models against the negative impacts of global shocks and uncertainties. </w:t>
      </w:r>
      <w:r>
        <w:rPr>
          <w:rFonts w:ascii="Times New Roman" w:hAnsi="Times New Roman"/>
          <w:iCs/>
        </w:rPr>
        <w:t>Moreover, b</w:t>
      </w:r>
      <w:r w:rsidRPr="00310BC5">
        <w:rPr>
          <w:rFonts w:ascii="Times New Roman" w:hAnsi="Times New Roman"/>
          <w:iCs/>
        </w:rPr>
        <w:t>y detecting trends in those distinctive results, this study may provide resilient portfolio choices and investment models against the negative impacts of global shocks and uncertainties.</w:t>
      </w:r>
      <w:r>
        <w:rPr>
          <w:rFonts w:ascii="Times New Roman" w:hAnsi="Times New Roman"/>
          <w:iCs/>
        </w:rPr>
        <w:t xml:space="preserve"> </w:t>
      </w:r>
    </w:p>
    <w:p w14:paraId="4CB891EA" w14:textId="33BC8489" w:rsidR="00345993" w:rsidRPr="00345993" w:rsidRDefault="00345993" w:rsidP="00345993">
      <w:pPr>
        <w:spacing w:after="0" w:line="240" w:lineRule="auto"/>
        <w:contextualSpacing/>
        <w:jc w:val="both"/>
        <w:rPr>
          <w:rFonts w:ascii="Times New Roman" w:hAnsi="Times New Roman"/>
          <w:iCs/>
        </w:rPr>
      </w:pPr>
    </w:p>
    <w:p w14:paraId="43929384" w14:textId="5FC2A9D4" w:rsidR="00345993" w:rsidRPr="00345993" w:rsidRDefault="00345993" w:rsidP="00345993">
      <w:pPr>
        <w:jc w:val="both"/>
        <w:rPr>
          <w:rFonts w:ascii="Times New Roman" w:eastAsiaTheme="minorEastAsia" w:hAnsi="Times New Roman" w:cs="Times New Roman"/>
          <w:color w:val="000000" w:themeColor="text1"/>
          <w:sz w:val="19"/>
          <w:szCs w:val="19"/>
        </w:rPr>
      </w:pPr>
    </w:p>
    <w:p w14:paraId="6579ACE0" w14:textId="77777777" w:rsidR="00345993" w:rsidRPr="00345993" w:rsidRDefault="00345993" w:rsidP="00345993">
      <w:pPr>
        <w:tabs>
          <w:tab w:val="left" w:pos="4019"/>
        </w:tabs>
        <w:spacing w:after="0" w:line="240" w:lineRule="auto"/>
        <w:jc w:val="both"/>
        <w:rPr>
          <w:rFonts w:ascii="Times New Roman" w:eastAsiaTheme="minorEastAsia" w:hAnsi="Times New Roman" w:cs="Times New Roman"/>
          <w:b/>
          <w:bCs/>
          <w:color w:val="000000" w:themeColor="text1"/>
          <w:sz w:val="19"/>
          <w:szCs w:val="19"/>
        </w:rPr>
      </w:pPr>
    </w:p>
    <w:sectPr w:rsidR="00345993" w:rsidRPr="0034599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439CC" w14:textId="77777777" w:rsidR="005444AA" w:rsidRDefault="005444AA" w:rsidP="00EF70FB">
      <w:pPr>
        <w:spacing w:after="0" w:line="240" w:lineRule="auto"/>
      </w:pPr>
      <w:r>
        <w:separator/>
      </w:r>
    </w:p>
  </w:endnote>
  <w:endnote w:type="continuationSeparator" w:id="0">
    <w:p w14:paraId="28EDC83D" w14:textId="77777777" w:rsidR="005444AA" w:rsidRDefault="005444AA" w:rsidP="00EF7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77E0E" w14:textId="77777777" w:rsidR="005444AA" w:rsidRDefault="005444AA" w:rsidP="00EF70FB">
      <w:pPr>
        <w:spacing w:after="0" w:line="240" w:lineRule="auto"/>
      </w:pPr>
      <w:r>
        <w:separator/>
      </w:r>
    </w:p>
  </w:footnote>
  <w:footnote w:type="continuationSeparator" w:id="0">
    <w:p w14:paraId="08FF7343" w14:textId="77777777" w:rsidR="005444AA" w:rsidRDefault="005444AA" w:rsidP="00EF70FB">
      <w:pPr>
        <w:spacing w:after="0" w:line="240" w:lineRule="auto"/>
      </w:pPr>
      <w:r>
        <w:continuationSeparator/>
      </w:r>
    </w:p>
  </w:footnote>
  <w:footnote w:id="1">
    <w:p w14:paraId="1ED2E093" w14:textId="38471B15" w:rsidR="003254FD" w:rsidRPr="00C22E52" w:rsidRDefault="003254FD" w:rsidP="00C22E52">
      <w:pPr>
        <w:pStyle w:val="DipnotMetni"/>
        <w:jc w:val="both"/>
        <w:rPr>
          <w:rFonts w:ascii="Times New Roman" w:hAnsi="Times New Roman" w:cs="Times New Roman"/>
          <w:sz w:val="18"/>
          <w:szCs w:val="18"/>
        </w:rPr>
      </w:pPr>
      <w:r w:rsidRPr="00C22E52">
        <w:rPr>
          <w:rStyle w:val="DipnotBavurusu"/>
          <w:rFonts w:ascii="Times New Roman" w:hAnsi="Times New Roman" w:cs="Times New Roman"/>
          <w:sz w:val="18"/>
          <w:szCs w:val="18"/>
        </w:rPr>
        <w:t>*</w:t>
      </w:r>
      <w:r w:rsidRPr="00C22E52">
        <w:rPr>
          <w:rFonts w:ascii="Times New Roman" w:hAnsi="Times New Roman" w:cs="Times New Roman"/>
          <w:sz w:val="18"/>
          <w:szCs w:val="18"/>
        </w:rPr>
        <w:t xml:space="preserve"> </w:t>
      </w:r>
      <w:r w:rsidRPr="00C22E52">
        <w:rPr>
          <w:rFonts w:ascii="Times New Roman" w:hAnsi="Times New Roman" w:cs="Times New Roman"/>
          <w:color w:val="000000" w:themeColor="text1"/>
          <w:sz w:val="18"/>
          <w:szCs w:val="18"/>
        </w:rPr>
        <w:t>Corresponding Author: Assoc. Prof. Dr., Istanbul Gelisim University, Department of International Trade and Finance (English), Istanbul, Türkiye, E-mail: onozdemir@gelisim.edu.tr, ORCID ID 0000-0002-3804-0062.</w:t>
      </w:r>
    </w:p>
  </w:footnote>
  <w:footnote w:id="2">
    <w:p w14:paraId="46B45BCD" w14:textId="14FB1115" w:rsidR="003254FD" w:rsidRPr="003254FD" w:rsidRDefault="003254FD" w:rsidP="00C22E52">
      <w:pPr>
        <w:pStyle w:val="DipnotMetni"/>
        <w:jc w:val="both"/>
        <w:rPr>
          <w:lang w:val="tr-TR"/>
        </w:rPr>
      </w:pPr>
      <w:r w:rsidRPr="00C22E52">
        <w:rPr>
          <w:rStyle w:val="DipnotBavurusu"/>
          <w:rFonts w:ascii="Times New Roman" w:hAnsi="Times New Roman" w:cs="Times New Roman"/>
          <w:sz w:val="18"/>
          <w:szCs w:val="18"/>
        </w:rPr>
        <w:t>**</w:t>
      </w:r>
      <w:r w:rsidRPr="00C22E52">
        <w:rPr>
          <w:rFonts w:ascii="Times New Roman" w:hAnsi="Times New Roman" w:cs="Times New Roman"/>
          <w:sz w:val="18"/>
          <w:szCs w:val="18"/>
        </w:rPr>
        <w:t xml:space="preserve"> Prof. Dr., Istanbul Gelisim. University, Department of Tourism Guidance,</w:t>
      </w:r>
      <w:r w:rsidRPr="00C22E52">
        <w:rPr>
          <w:rFonts w:ascii="Times New Roman" w:hAnsi="Times New Roman" w:cs="Times New Roman"/>
          <w:sz w:val="18"/>
          <w:szCs w:val="18"/>
          <w:lang w:val="tr-TR"/>
        </w:rPr>
        <w:t xml:space="preserve"> Istanbul, Türkiye, E-mail: </w:t>
      </w:r>
      <w:r w:rsidR="00C22E52" w:rsidRPr="00C22E52">
        <w:rPr>
          <w:rFonts w:ascii="Times New Roman" w:hAnsi="Times New Roman" w:cs="Times New Roman"/>
          <w:sz w:val="18"/>
          <w:szCs w:val="18"/>
          <w:lang w:val="tr-TR"/>
        </w:rPr>
        <w:t>scop@gelisim.edu.tr, ORCID ID 0000-0002-1101-5676.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44254A"/>
    <w:multiLevelType w:val="hybridMultilevel"/>
    <w:tmpl w:val="AE626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0435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1NTI1Mje3MDYyNzNQ0lEKTi0uzszPAykwMqwFAJ6GllwtAAAA"/>
  </w:docVars>
  <w:rsids>
    <w:rsidRoot w:val="00EF70FB"/>
    <w:rsid w:val="00017071"/>
    <w:rsid w:val="00017471"/>
    <w:rsid w:val="000505AC"/>
    <w:rsid w:val="00063AC0"/>
    <w:rsid w:val="00106BC6"/>
    <w:rsid w:val="00133CCD"/>
    <w:rsid w:val="00162836"/>
    <w:rsid w:val="00167BAF"/>
    <w:rsid w:val="001A4FC5"/>
    <w:rsid w:val="001B742C"/>
    <w:rsid w:val="002105E2"/>
    <w:rsid w:val="0021794D"/>
    <w:rsid w:val="002408A6"/>
    <w:rsid w:val="00243DB0"/>
    <w:rsid w:val="00253F1D"/>
    <w:rsid w:val="002729BF"/>
    <w:rsid w:val="00285112"/>
    <w:rsid w:val="002B2B1A"/>
    <w:rsid w:val="002D1CF3"/>
    <w:rsid w:val="002D5AD6"/>
    <w:rsid w:val="002E0D4F"/>
    <w:rsid w:val="002F6B3D"/>
    <w:rsid w:val="00315491"/>
    <w:rsid w:val="00322443"/>
    <w:rsid w:val="003254FD"/>
    <w:rsid w:val="003258CE"/>
    <w:rsid w:val="00327398"/>
    <w:rsid w:val="00345993"/>
    <w:rsid w:val="00356EF8"/>
    <w:rsid w:val="00381491"/>
    <w:rsid w:val="00462626"/>
    <w:rsid w:val="004725BA"/>
    <w:rsid w:val="004A7CF5"/>
    <w:rsid w:val="00536475"/>
    <w:rsid w:val="005444AA"/>
    <w:rsid w:val="00550901"/>
    <w:rsid w:val="00557B1B"/>
    <w:rsid w:val="00571821"/>
    <w:rsid w:val="00571AB0"/>
    <w:rsid w:val="005D0F7D"/>
    <w:rsid w:val="00606E05"/>
    <w:rsid w:val="00634B99"/>
    <w:rsid w:val="00637C35"/>
    <w:rsid w:val="00654EED"/>
    <w:rsid w:val="006960E9"/>
    <w:rsid w:val="006C3895"/>
    <w:rsid w:val="006C4C02"/>
    <w:rsid w:val="0074138E"/>
    <w:rsid w:val="0074314C"/>
    <w:rsid w:val="007465A9"/>
    <w:rsid w:val="007C3E33"/>
    <w:rsid w:val="007D5930"/>
    <w:rsid w:val="007D7ABA"/>
    <w:rsid w:val="007D7D71"/>
    <w:rsid w:val="007F6C17"/>
    <w:rsid w:val="00833C3D"/>
    <w:rsid w:val="008A12FF"/>
    <w:rsid w:val="008C2237"/>
    <w:rsid w:val="00912ED8"/>
    <w:rsid w:val="00916545"/>
    <w:rsid w:val="00954B04"/>
    <w:rsid w:val="00954C65"/>
    <w:rsid w:val="009672A9"/>
    <w:rsid w:val="00992BA1"/>
    <w:rsid w:val="00997BB9"/>
    <w:rsid w:val="009D2006"/>
    <w:rsid w:val="009E49E0"/>
    <w:rsid w:val="009E58B5"/>
    <w:rsid w:val="00A01BDD"/>
    <w:rsid w:val="00A03FC7"/>
    <w:rsid w:val="00A57ECC"/>
    <w:rsid w:val="00AC18D0"/>
    <w:rsid w:val="00B15EC4"/>
    <w:rsid w:val="00B46590"/>
    <w:rsid w:val="00B83E05"/>
    <w:rsid w:val="00BA60E0"/>
    <w:rsid w:val="00BC6144"/>
    <w:rsid w:val="00BC7EC7"/>
    <w:rsid w:val="00BD0092"/>
    <w:rsid w:val="00C10C7E"/>
    <w:rsid w:val="00C17BCE"/>
    <w:rsid w:val="00C22E52"/>
    <w:rsid w:val="00C23BF1"/>
    <w:rsid w:val="00C35D72"/>
    <w:rsid w:val="00C540E7"/>
    <w:rsid w:val="00C65716"/>
    <w:rsid w:val="00C66A89"/>
    <w:rsid w:val="00C67B4B"/>
    <w:rsid w:val="00C91009"/>
    <w:rsid w:val="00C945E6"/>
    <w:rsid w:val="00CB73EE"/>
    <w:rsid w:val="00CF26FB"/>
    <w:rsid w:val="00CF6E66"/>
    <w:rsid w:val="00DC71BF"/>
    <w:rsid w:val="00DD2FB1"/>
    <w:rsid w:val="00E02FF6"/>
    <w:rsid w:val="00E63380"/>
    <w:rsid w:val="00E63B32"/>
    <w:rsid w:val="00EB6423"/>
    <w:rsid w:val="00ED0E45"/>
    <w:rsid w:val="00EE54AC"/>
    <w:rsid w:val="00EF70FB"/>
    <w:rsid w:val="00F47A9F"/>
    <w:rsid w:val="00F62E69"/>
    <w:rsid w:val="00F84AF8"/>
    <w:rsid w:val="00FE5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3C6C04"/>
  <w15:chartTrackingRefBased/>
  <w15:docId w15:val="{662906B0-20EB-494D-97B4-8E79B403F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0F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EF70FB"/>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F70FB"/>
    <w:rPr>
      <w:sz w:val="20"/>
      <w:szCs w:val="20"/>
    </w:rPr>
  </w:style>
  <w:style w:type="character" w:styleId="DipnotBavurusu">
    <w:name w:val="footnote reference"/>
    <w:basedOn w:val="VarsaylanParagrafYazTipi"/>
    <w:uiPriority w:val="99"/>
    <w:semiHidden/>
    <w:unhideWhenUsed/>
    <w:rsid w:val="00EF70FB"/>
    <w:rPr>
      <w:vertAlign w:val="superscript"/>
    </w:rPr>
  </w:style>
  <w:style w:type="paragraph" w:styleId="SonNotMetni">
    <w:name w:val="endnote text"/>
    <w:basedOn w:val="Normal"/>
    <w:link w:val="SonNotMetniChar"/>
    <w:uiPriority w:val="99"/>
    <w:semiHidden/>
    <w:unhideWhenUsed/>
    <w:rsid w:val="006960E9"/>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6960E9"/>
    <w:rPr>
      <w:sz w:val="20"/>
      <w:szCs w:val="20"/>
    </w:rPr>
  </w:style>
  <w:style w:type="character" w:styleId="SonNotBavurusu">
    <w:name w:val="endnote reference"/>
    <w:basedOn w:val="VarsaylanParagrafYazTipi"/>
    <w:uiPriority w:val="99"/>
    <w:semiHidden/>
    <w:unhideWhenUsed/>
    <w:rsid w:val="006960E9"/>
    <w:rPr>
      <w:vertAlign w:val="superscript"/>
    </w:rPr>
  </w:style>
  <w:style w:type="character" w:styleId="Kpr">
    <w:name w:val="Hyperlink"/>
    <w:basedOn w:val="VarsaylanParagrafYazTipi"/>
    <w:uiPriority w:val="99"/>
    <w:unhideWhenUsed/>
    <w:rsid w:val="00F84AF8"/>
    <w:rPr>
      <w:color w:val="0563C1" w:themeColor="hyperlink"/>
      <w:u w:val="single"/>
    </w:rPr>
  </w:style>
  <w:style w:type="character" w:styleId="zmlenmeyenBahsetme">
    <w:name w:val="Unresolved Mention"/>
    <w:basedOn w:val="VarsaylanParagrafYazTipi"/>
    <w:uiPriority w:val="99"/>
    <w:semiHidden/>
    <w:unhideWhenUsed/>
    <w:rsid w:val="00F84AF8"/>
    <w:rPr>
      <w:color w:val="605E5C"/>
      <w:shd w:val="clear" w:color="auto" w:fill="E1DFDD"/>
    </w:rPr>
  </w:style>
  <w:style w:type="paragraph" w:styleId="NormalWeb">
    <w:name w:val="Normal (Web)"/>
    <w:basedOn w:val="Normal"/>
    <w:uiPriority w:val="99"/>
    <w:unhideWhenUsed/>
    <w:rsid w:val="00243DB0"/>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styleId="ListeParagraf">
    <w:name w:val="List Paragraph"/>
    <w:basedOn w:val="Normal"/>
    <w:uiPriority w:val="34"/>
    <w:qFormat/>
    <w:rsid w:val="003459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60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DB7CA-1588-4B33-A34E-49A927DDF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Pages>
  <Words>630</Words>
  <Characters>3592</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Özdemir</dc:creator>
  <cp:keywords/>
  <dc:description/>
  <cp:lastModifiedBy>Onur Özdemir</cp:lastModifiedBy>
  <cp:revision>50</cp:revision>
  <dcterms:created xsi:type="dcterms:W3CDTF">2021-02-18T13:10:00Z</dcterms:created>
  <dcterms:modified xsi:type="dcterms:W3CDTF">2026-07-13T09:51:00Z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ea2a30c07ae25da3f99b5b645725a46982df2f8a61492f57c7bba8dcb0601eeb</vt:lpwstr>
  </property>
</Properties>
</file>