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CEA61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MyriadPro-Ligh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MyriadPro-Ligh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S</w:t>
      </w:r>
      <w:r>
        <w:rPr>
          <w:rFonts w:hint="default" w:ascii="Times New Roman" w:hAnsi="Times New Roman" w:eastAsia="MyriadPro-Ligh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upplementary material</w:t>
      </w:r>
    </w:p>
    <w:p w14:paraId="0B6FB61A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MyriadPro-Light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1B337312">
      <w:pPr>
        <w:jc w:val="center"/>
        <w:rPr>
          <w:rFonts w:ascii="Times New Roman" w:hAnsi="Times New Roman" w:eastAsia="宋体" w:cs="Times New Roman"/>
          <w:b/>
          <w:bCs/>
          <w:iCs/>
          <w:sz w:val="28"/>
          <w:szCs w:val="28"/>
        </w:rPr>
      </w:pP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 xml:space="preserve">Intrinsic 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c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 xml:space="preserve">apacity, 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d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>omain-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s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 xml:space="preserve">pecific 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c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 xml:space="preserve">ontributions, and 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l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 xml:space="preserve">ongitudinal 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c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 xml:space="preserve">hanges in 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r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 xml:space="preserve">elation to 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i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 xml:space="preserve">ncident 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e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</w:rPr>
        <w:t>dentulism</w:t>
      </w:r>
      <w:r>
        <w:rPr>
          <w:rFonts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 xml:space="preserve"> </w:t>
      </w:r>
      <w:r>
        <w:rPr>
          <w:rFonts w:hint="eastAsia" w:ascii="Times New Roman" w:hAnsi="Times New Roman" w:eastAsia="微软雅黑" w:cs="Times New Roman"/>
          <w:b/>
          <w:bCs/>
          <w:iCs/>
          <w:sz w:val="28"/>
          <w:szCs w:val="28"/>
          <w:lang w:eastAsia="zh-CN"/>
        </w:rPr>
        <w:t>a</w:t>
      </w:r>
      <w:r>
        <w:rPr>
          <w:rFonts w:ascii="Times New Roman" w:hAnsi="Times New Roman" w:eastAsia="宋体" w:cs="Times New Roman"/>
          <w:b/>
          <w:bCs/>
          <w:iCs/>
          <w:sz w:val="28"/>
          <w:szCs w:val="28"/>
        </w:rPr>
        <w:t xml:space="preserve">mong </w:t>
      </w:r>
      <w:r>
        <w:rPr>
          <w:rFonts w:hint="eastAsia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m</w:t>
      </w:r>
      <w:r>
        <w:rPr>
          <w:rFonts w:ascii="Times New Roman" w:hAnsi="Times New Roman" w:eastAsia="宋体" w:cs="Times New Roman"/>
          <w:b/>
          <w:bCs/>
          <w:iCs/>
          <w:sz w:val="28"/>
          <w:szCs w:val="28"/>
        </w:rPr>
        <w:t>iddle-</w:t>
      </w:r>
      <w:r>
        <w:rPr>
          <w:rFonts w:hint="eastAsia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a</w:t>
      </w:r>
      <w:r>
        <w:rPr>
          <w:rFonts w:ascii="Times New Roman" w:hAnsi="Times New Roman" w:eastAsia="宋体" w:cs="Times New Roman"/>
          <w:b/>
          <w:bCs/>
          <w:iCs/>
          <w:sz w:val="28"/>
          <w:szCs w:val="28"/>
        </w:rPr>
        <w:t xml:space="preserve">ged and </w:t>
      </w:r>
      <w:r>
        <w:rPr>
          <w:rFonts w:hint="eastAsia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o</w:t>
      </w:r>
      <w:r>
        <w:rPr>
          <w:rFonts w:ascii="Times New Roman" w:hAnsi="Times New Roman" w:eastAsia="宋体" w:cs="Times New Roman"/>
          <w:b/>
          <w:bCs/>
          <w:iCs/>
          <w:sz w:val="28"/>
          <w:szCs w:val="28"/>
        </w:rPr>
        <w:t xml:space="preserve">lder </w:t>
      </w:r>
      <w:r>
        <w:rPr>
          <w:rFonts w:hint="eastAsia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a</w:t>
      </w:r>
      <w:r>
        <w:rPr>
          <w:rFonts w:ascii="Times New Roman" w:hAnsi="Times New Roman" w:eastAsia="宋体" w:cs="Times New Roman"/>
          <w:b/>
          <w:bCs/>
          <w:iCs/>
          <w:sz w:val="28"/>
          <w:szCs w:val="28"/>
        </w:rPr>
        <w:t xml:space="preserve">dults: </w:t>
      </w:r>
      <w:r>
        <w:rPr>
          <w:rFonts w:hint="eastAsia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a</w:t>
      </w:r>
      <w:r>
        <w:rPr>
          <w:rFonts w:ascii="Times New Roman" w:hAnsi="Times New Roman" w:eastAsia="宋体" w:cs="Times New Roman"/>
          <w:b/>
          <w:bCs/>
          <w:iCs/>
          <w:sz w:val="28"/>
          <w:szCs w:val="28"/>
        </w:rPr>
        <w:t xml:space="preserve"> CHARLS </w:t>
      </w:r>
      <w:r>
        <w:rPr>
          <w:rFonts w:hint="eastAsia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l</w:t>
      </w:r>
      <w:r>
        <w:rPr>
          <w:rFonts w:ascii="Times New Roman" w:hAnsi="Times New Roman" w:eastAsia="宋体" w:cs="Times New Roman"/>
          <w:b/>
          <w:bCs/>
          <w:iCs/>
          <w:sz w:val="28"/>
          <w:szCs w:val="28"/>
        </w:rPr>
        <w:t xml:space="preserve">ongitudinal </w:t>
      </w:r>
      <w:r>
        <w:rPr>
          <w:rFonts w:hint="eastAsia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c</w:t>
      </w:r>
      <w:r>
        <w:rPr>
          <w:rFonts w:ascii="Times New Roman" w:hAnsi="Times New Roman" w:eastAsia="宋体" w:cs="Times New Roman"/>
          <w:b/>
          <w:bCs/>
          <w:iCs/>
          <w:sz w:val="28"/>
          <w:szCs w:val="28"/>
        </w:rPr>
        <w:t xml:space="preserve">ohort </w:t>
      </w:r>
      <w:r>
        <w:rPr>
          <w:rFonts w:hint="eastAsia" w:ascii="Times New Roman" w:hAnsi="Times New Roman" w:eastAsia="宋体" w:cs="Times New Roman"/>
          <w:b/>
          <w:bCs/>
          <w:iCs/>
          <w:sz w:val="28"/>
          <w:szCs w:val="28"/>
          <w:lang w:eastAsia="zh-CN"/>
        </w:rPr>
        <w:t>s</w:t>
      </w:r>
      <w:r>
        <w:rPr>
          <w:rFonts w:ascii="Times New Roman" w:hAnsi="Times New Roman" w:eastAsia="宋体" w:cs="Times New Roman"/>
          <w:b/>
          <w:bCs/>
          <w:iCs/>
          <w:sz w:val="28"/>
          <w:szCs w:val="28"/>
        </w:rPr>
        <w:t>tudy</w:t>
      </w:r>
      <w:bookmarkStart w:id="0" w:name="_GoBack"/>
      <w:bookmarkEnd w:id="0"/>
    </w:p>
    <w:p w14:paraId="20A56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Style w:val="6"/>
          <w:rFonts w:ascii="Times New Roman" w:hAnsi="Times New Roman"/>
          <w:b w:val="0"/>
          <w:bCs/>
          <w:sz w:val="24"/>
          <w:vertAlign w:val="superscript"/>
        </w:rPr>
      </w:pPr>
      <w:r>
        <w:rPr>
          <w:rStyle w:val="6"/>
          <w:rFonts w:ascii="Times New Roman" w:hAnsi="Times New Roman"/>
          <w:b w:val="0"/>
          <w:bCs/>
          <w:sz w:val="24"/>
        </w:rPr>
        <w:t>Chengxi Li</w:t>
      </w:r>
      <w:r>
        <w:rPr>
          <w:rStyle w:val="6"/>
          <w:rFonts w:ascii="Times New Roman" w:hAnsi="Times New Roman"/>
          <w:b w:val="0"/>
          <w:bCs/>
          <w:sz w:val="24"/>
          <w:vertAlign w:val="superscript"/>
        </w:rPr>
        <w:t>1</w:t>
      </w:r>
      <w:r>
        <w:rPr>
          <w:rFonts w:ascii="Times New Roman" w:hAnsi="Times New Roman" w:eastAsia="MyriadPro-Light"/>
          <w:color w:val="000000"/>
          <w:sz w:val="24"/>
          <w:vertAlign w:val="superscript"/>
          <w:lang w:bidi="ar"/>
        </w:rPr>
        <w:t>†</w:t>
      </w:r>
      <w:r>
        <w:rPr>
          <w:rStyle w:val="6"/>
          <w:rFonts w:ascii="Times New Roman" w:hAnsi="Times New Roman"/>
          <w:b w:val="0"/>
          <w:bCs/>
          <w:sz w:val="24"/>
        </w:rPr>
        <w:t>, Xue Wang</w:t>
      </w:r>
      <w:r>
        <w:rPr>
          <w:rStyle w:val="6"/>
          <w:rFonts w:ascii="Times New Roman" w:hAnsi="Times New Roman"/>
          <w:b w:val="0"/>
          <w:bCs/>
          <w:sz w:val="24"/>
          <w:vertAlign w:val="superscript"/>
        </w:rPr>
        <w:t>2</w:t>
      </w:r>
      <w:r>
        <w:rPr>
          <w:rFonts w:ascii="Times New Roman" w:hAnsi="Times New Roman" w:eastAsia="MyriadPro-Light"/>
          <w:color w:val="000000"/>
          <w:sz w:val="24"/>
          <w:vertAlign w:val="superscript"/>
          <w:lang w:bidi="ar"/>
        </w:rPr>
        <w:t>†</w:t>
      </w:r>
      <w:r>
        <w:rPr>
          <w:rStyle w:val="6"/>
          <w:rFonts w:ascii="Times New Roman" w:hAnsi="Times New Roman"/>
          <w:b w:val="0"/>
          <w:bCs/>
          <w:sz w:val="24"/>
        </w:rPr>
        <w:t xml:space="preserve">, </w:t>
      </w:r>
      <w:r>
        <w:rPr>
          <w:rStyle w:val="6"/>
          <w:rFonts w:hint="eastAsia" w:ascii="Times New Roman" w:hAnsi="Times New Roman" w:eastAsia="宋体"/>
          <w:b w:val="0"/>
          <w:bCs/>
          <w:sz w:val="24"/>
          <w:lang w:val="en-US" w:eastAsia="zh-CN"/>
        </w:rPr>
        <w:t>Jiasu Li</w:t>
      </w:r>
      <w:r>
        <w:rPr>
          <w:rStyle w:val="6"/>
          <w:rFonts w:hint="eastAsia" w:ascii="Times New Roman" w:hAnsi="Times New Roman" w:eastAsia="宋体"/>
          <w:b w:val="0"/>
          <w:bCs/>
          <w:sz w:val="24"/>
          <w:vertAlign w:val="superscript"/>
          <w:lang w:val="en-US" w:eastAsia="zh-CN"/>
        </w:rPr>
        <w:t>1</w:t>
      </w:r>
      <w:r>
        <w:rPr>
          <w:rStyle w:val="6"/>
          <w:rFonts w:hint="eastAsia" w:ascii="Times New Roman" w:hAnsi="Times New Roman" w:eastAsia="宋体"/>
          <w:b w:val="0"/>
          <w:bCs/>
          <w:sz w:val="24"/>
          <w:lang w:val="en-US" w:eastAsia="zh-CN"/>
        </w:rPr>
        <w:t>,Yan Wang</w:t>
      </w:r>
      <w:r>
        <w:rPr>
          <w:rStyle w:val="6"/>
          <w:rFonts w:hint="eastAsia" w:ascii="Times New Roman" w:hAnsi="Times New Roman" w:eastAsia="宋体"/>
          <w:b w:val="0"/>
          <w:bCs/>
          <w:sz w:val="24"/>
          <w:vertAlign w:val="superscript"/>
          <w:lang w:val="en-US" w:eastAsia="zh-CN"/>
        </w:rPr>
        <w:t>1</w:t>
      </w:r>
      <w:r>
        <w:rPr>
          <w:rStyle w:val="6"/>
          <w:rFonts w:hint="eastAsia" w:ascii="Times New Roman" w:hAnsi="Times New Roman" w:eastAsia="宋体"/>
          <w:b w:val="0"/>
          <w:bCs/>
          <w:sz w:val="24"/>
          <w:lang w:val="en-US" w:eastAsia="zh-CN"/>
        </w:rPr>
        <w:t xml:space="preserve"> , </w:t>
      </w:r>
      <w:r>
        <w:rPr>
          <w:rStyle w:val="6"/>
          <w:rFonts w:ascii="Times New Roman" w:hAnsi="Times New Roman"/>
          <w:b w:val="0"/>
          <w:bCs/>
          <w:sz w:val="24"/>
        </w:rPr>
        <w:t>Weijian Song</w:t>
      </w:r>
      <w:r>
        <w:rPr>
          <w:rStyle w:val="6"/>
          <w:rFonts w:ascii="Times New Roman" w:hAnsi="Times New Roman"/>
          <w:b w:val="0"/>
          <w:bCs/>
          <w:sz w:val="24"/>
          <w:vertAlign w:val="superscript"/>
        </w:rPr>
        <w:t>1*</w:t>
      </w:r>
    </w:p>
    <w:p w14:paraId="7185B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 w:eastAsia="MyriadPro-Light"/>
          <w:color w:val="000000"/>
          <w:sz w:val="24"/>
          <w:lang w:bidi="ar"/>
        </w:rPr>
      </w:pPr>
      <w:r>
        <w:rPr>
          <w:rFonts w:ascii="Times New Roman" w:hAnsi="Times New Roman" w:eastAsia="MyriadPro-Light"/>
          <w:color w:val="000000"/>
          <w:sz w:val="24"/>
          <w:vertAlign w:val="superscript"/>
          <w:lang w:bidi="ar"/>
        </w:rPr>
        <w:t>†</w:t>
      </w:r>
      <w:r>
        <w:rPr>
          <w:rFonts w:hint="eastAsia" w:ascii="Times New Roman" w:hAnsi="Times New Roman" w:eastAsia="MyriadPro-Light"/>
          <w:color w:val="000000"/>
          <w:sz w:val="24"/>
          <w:vertAlign w:val="superscript"/>
          <w:lang w:bidi="ar"/>
        </w:rPr>
        <w:t xml:space="preserve"> </w:t>
      </w:r>
      <w:r>
        <w:rPr>
          <w:rStyle w:val="6"/>
          <w:rFonts w:ascii="Times New Roman" w:hAnsi="Times New Roman"/>
          <w:b w:val="0"/>
          <w:bCs/>
          <w:sz w:val="24"/>
        </w:rPr>
        <w:t>Chengxi Li and Xue Wang</w:t>
      </w:r>
      <w:r>
        <w:rPr>
          <w:rStyle w:val="6"/>
          <w:rFonts w:hint="eastAsia" w:ascii="Times New Roman" w:hAnsi="Times New Roman"/>
          <w:b w:val="0"/>
          <w:bCs/>
          <w:sz w:val="24"/>
        </w:rPr>
        <w:t xml:space="preserve"> </w:t>
      </w:r>
      <w:r>
        <w:rPr>
          <w:rFonts w:ascii="Times New Roman" w:hAnsi="Times New Roman" w:eastAsia="MyriadPro-Light"/>
          <w:color w:val="000000"/>
          <w:sz w:val="24"/>
          <w:lang w:bidi="ar"/>
        </w:rPr>
        <w:t>contributed equally to this work</w:t>
      </w:r>
    </w:p>
    <w:p w14:paraId="461CE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Style w:val="6"/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 w:eastAsia="MyriadPro-Light"/>
          <w:color w:val="000000"/>
          <w:sz w:val="24"/>
          <w:lang w:bidi="ar"/>
        </w:rPr>
        <w:t xml:space="preserve">*Correspondence: </w:t>
      </w:r>
      <w:r>
        <w:rPr>
          <w:rStyle w:val="6"/>
          <w:rFonts w:ascii="Times New Roman" w:hAnsi="Times New Roman"/>
          <w:b w:val="0"/>
          <w:bCs/>
          <w:color w:val="000000"/>
          <w:sz w:val="24"/>
        </w:rPr>
        <w:t>Weijian Song</w:t>
      </w:r>
      <w:r>
        <w:rPr>
          <w:rStyle w:val="6"/>
          <w:rFonts w:hint="eastAsia" w:ascii="Times New Roman" w:hAnsi="Times New Roman"/>
          <w:b w:val="0"/>
          <w:bCs/>
          <w:color w:val="000000"/>
          <w:sz w:val="24"/>
        </w:rPr>
        <w:t xml:space="preserve">, </w:t>
      </w:r>
      <w:r>
        <w:rPr>
          <w:rStyle w:val="6"/>
          <w:rFonts w:ascii="Times New Roman" w:hAnsi="Times New Roman"/>
          <w:b w:val="0"/>
          <w:bCs/>
          <w:color w:val="000000"/>
          <w:sz w:val="24"/>
        </w:rPr>
        <w:t>songwj@njmu.deu.cn</w:t>
      </w:r>
    </w:p>
    <w:p w14:paraId="1661605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/>
          <w:color w:val="000000"/>
          <w:lang w:bidi="ar"/>
        </w:rPr>
      </w:pPr>
      <w:r>
        <w:rPr>
          <w:rFonts w:ascii="Times New Roman" w:hAnsi="Times New Roman"/>
          <w:color w:val="000000"/>
          <w:vertAlign w:val="superscript"/>
          <w:lang w:bidi="ar"/>
        </w:rPr>
        <w:t>1</w:t>
      </w:r>
      <w:r>
        <w:rPr>
          <w:rFonts w:ascii="Times New Roman" w:hAnsi="Times New Roman"/>
          <w:color w:val="000000"/>
          <w:lang w:bidi="ar"/>
        </w:rPr>
        <w:t xml:space="preserve"> </w:t>
      </w:r>
      <w:r>
        <w:rPr>
          <w:rFonts w:ascii="Times New Roman" w:hAnsi="Times New Roman" w:eastAsia="E-BX"/>
          <w:color w:val="000000"/>
          <w:lang w:bidi="ar"/>
        </w:rPr>
        <w:t>Department of Stomatology, the Affiliated Suzhou Hospital of Nanjing Medical University, Suzhou Municipal Hospital, Suzhou 215000,China</w:t>
      </w:r>
    </w:p>
    <w:p w14:paraId="6CC20E7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 w:eastAsia="E-BZ"/>
          <w:color w:val="000000"/>
          <w:lang w:bidi="ar"/>
        </w:rPr>
      </w:pPr>
      <w:r>
        <w:rPr>
          <w:rFonts w:ascii="Times New Roman" w:hAnsi="Times New Roman"/>
          <w:color w:val="000000"/>
          <w:vertAlign w:val="superscript"/>
          <w:lang w:bidi="ar"/>
        </w:rPr>
        <w:t>2</w:t>
      </w:r>
      <w:r>
        <w:rPr>
          <w:rFonts w:ascii="Times New Roman" w:hAnsi="Times New Roman"/>
          <w:color w:val="000000"/>
          <w:lang w:bidi="ar"/>
        </w:rPr>
        <w:t xml:space="preserve"> </w:t>
      </w:r>
      <w:r>
        <w:rPr>
          <w:rFonts w:ascii="Times New Roman" w:hAnsi="Times New Roman" w:eastAsia="E-BX"/>
          <w:color w:val="000000"/>
          <w:lang w:bidi="ar"/>
        </w:rPr>
        <w:t>Department of Endodontics, Suzhou Stomatological Hospital</w:t>
      </w:r>
      <w:r>
        <w:rPr>
          <w:rFonts w:ascii="Times New Roman" w:hAnsi="Times New Roman" w:eastAsia="E-BZ"/>
          <w:color w:val="000000"/>
          <w:lang w:bidi="ar"/>
        </w:rPr>
        <w:t>, Suzhou 215000,China</w:t>
      </w:r>
    </w:p>
    <w:p w14:paraId="781F13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 w:eastAsia="E-BZ"/>
          <w:color w:val="000000"/>
          <w:lang w:bidi="ar"/>
        </w:rPr>
      </w:pPr>
    </w:p>
    <w:p w14:paraId="669D418A">
      <w:pPr>
        <w:spacing w:line="360" w:lineRule="auto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 xml:space="preserve">Supplementary </w:t>
      </w:r>
      <w:r>
        <w:rPr>
          <w:rFonts w:hint="default" w:ascii="Times New Roman" w:hAnsi="Times New Roman" w:eastAsia="MyriadPro-Ligh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material</w:t>
      </w:r>
      <w:r>
        <w:rPr>
          <w:rFonts w:ascii="Times" w:hAnsi="Times"/>
          <w:b/>
          <w:bCs/>
          <w:sz w:val="24"/>
          <w:szCs w:val="24"/>
        </w:rPr>
        <w:t xml:space="preserve"> Includes the Following:</w:t>
      </w:r>
    </w:p>
    <w:p w14:paraId="16B02532"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Supplementary Figures (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1-3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)</w:t>
      </w:r>
    </w:p>
    <w:p w14:paraId="64438ED0"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Supplementary Tables (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1-3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)</w:t>
      </w:r>
    </w:p>
    <w:p w14:paraId="1F9290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ascii="Times New Roman" w:hAnsi="Times New Roman" w:eastAsia="E-BZ"/>
          <w:color w:val="000000"/>
          <w:lang w:bidi="ar"/>
        </w:rPr>
      </w:pPr>
    </w:p>
    <w:p w14:paraId="7D43F5AB">
      <w:pPr>
        <w:jc w:val="center"/>
        <w:rPr>
          <w:rFonts w:hint="eastAsia" w:ascii="微软雅黑" w:hAnsi="微软雅黑" w:eastAsia="微软雅黑" w:cs="微软雅黑"/>
          <w:b/>
        </w:rPr>
      </w:pPr>
    </w:p>
    <w:p w14:paraId="31DFE269">
      <w:pPr>
        <w:pStyle w:val="2"/>
        <w:jc w:val="center"/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Table 1</w:t>
      </w:r>
      <w:r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Proportional hazards assumption test</w:t>
      </w:r>
    </w:p>
    <w:p w14:paraId="587AED12">
      <w:pPr>
        <w:rPr>
          <w:rFonts w:hint="default"/>
        </w:rPr>
      </w:pPr>
    </w:p>
    <w:tbl>
      <w:tblPr>
        <w:tblStyle w:val="4"/>
        <w:tblW w:w="0" w:type="auto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2243"/>
        <w:gridCol w:w="1921"/>
        <w:gridCol w:w="2083"/>
      </w:tblGrid>
      <w:tr w14:paraId="5D0F9C8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151C1D40">
            <w:pPr>
              <w:jc w:val="left"/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1"/>
                <w:szCs w:val="21"/>
              </w:rPr>
              <w:t>Variable</w:t>
            </w:r>
          </w:p>
        </w:tc>
        <w:tc>
          <w:tcPr>
            <w:tcW w:w="2243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5D5E998C">
            <w:pPr>
              <w:jc w:val="left"/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1"/>
                <w:szCs w:val="21"/>
              </w:rPr>
              <w:t>chisq</w:t>
            </w:r>
          </w:p>
        </w:tc>
        <w:tc>
          <w:tcPr>
            <w:tcW w:w="1921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6A522560">
            <w:pPr>
              <w:jc w:val="left"/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1"/>
                <w:szCs w:val="21"/>
              </w:rPr>
              <w:t>df</w:t>
            </w:r>
          </w:p>
        </w:tc>
        <w:tc>
          <w:tcPr>
            <w:tcW w:w="2083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79AB78A5">
            <w:pPr>
              <w:jc w:val="left"/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sz w:val="21"/>
                <w:szCs w:val="21"/>
              </w:rPr>
              <w:t>P_value</w:t>
            </w:r>
          </w:p>
        </w:tc>
      </w:tr>
      <w:tr w14:paraId="0694F0D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08C8289E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ic_w1</w:t>
            </w:r>
          </w:p>
        </w:tc>
        <w:tc>
          <w:tcPr>
            <w:tcW w:w="2243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772F1B13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0.002855339</w:t>
            </w:r>
          </w:p>
        </w:tc>
        <w:tc>
          <w:tcPr>
            <w:tcW w:w="1921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4748779B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2083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67429DDC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0.957</w:t>
            </w:r>
          </w:p>
        </w:tc>
      </w:tr>
      <w:tr w14:paraId="3DF13B1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2C3B8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gender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FEF30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2.515305795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B22F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DF08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0.113</w:t>
            </w:r>
          </w:p>
        </w:tc>
      </w:tr>
      <w:tr w14:paraId="51D1D67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124C2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education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78E8D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0.354401607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21F80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F2CE8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0.838</w:t>
            </w:r>
          </w:p>
        </w:tc>
      </w:tr>
      <w:tr w14:paraId="7786F33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A9DA0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marital_status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4A65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0.035370717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E23B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925F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0.851</w:t>
            </w:r>
          </w:p>
        </w:tc>
      </w:tr>
      <w:tr w14:paraId="0CE5A36E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9C71A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wealth_quartile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22DF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2.864179239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D359F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7A056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0.581</w:t>
            </w:r>
          </w:p>
        </w:tc>
      </w:tr>
      <w:tr w14:paraId="464F5A0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4FB8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rural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9AD7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1.306312799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54EE8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6DC1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0.253</w:t>
            </w:r>
          </w:p>
        </w:tc>
      </w:tr>
      <w:tr w14:paraId="2724ADC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FE4D1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smoke_ever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8257B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0.241660342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AEA65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265C6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0.623</w:t>
            </w:r>
          </w:p>
        </w:tc>
      </w:tr>
      <w:tr w14:paraId="7FFA65E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E8E97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drink_ever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929A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4.029994684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6FC4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8B6BD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0.045</w:t>
            </w:r>
          </w:p>
        </w:tc>
      </w:tr>
      <w:tr w14:paraId="78CBF92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02386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hypertension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55F67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0.269085885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10A2A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9E38B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0.604</w:t>
            </w:r>
          </w:p>
        </w:tc>
      </w:tr>
      <w:tr w14:paraId="3B5932C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A1E25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diabetes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C6EBD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2.051512462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ACC1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6B281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0.152</w:t>
            </w:r>
          </w:p>
        </w:tc>
      </w:tr>
      <w:tr w14:paraId="4C481DE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5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1D690D74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GLOBAL</w:t>
            </w:r>
          </w:p>
        </w:tc>
        <w:tc>
          <w:tcPr>
            <w:tcW w:w="2243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5825F11E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12.367409873</w:t>
            </w:r>
          </w:p>
        </w:tc>
        <w:tc>
          <w:tcPr>
            <w:tcW w:w="1921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05371F23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14</w:t>
            </w:r>
          </w:p>
        </w:tc>
        <w:tc>
          <w:tcPr>
            <w:tcW w:w="2083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186D25EF">
            <w:pPr>
              <w:jc w:val="left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sz w:val="21"/>
                <w:szCs w:val="21"/>
              </w:rPr>
              <w:t>0.577</w:t>
            </w:r>
          </w:p>
        </w:tc>
      </w:tr>
    </w:tbl>
    <w:p w14:paraId="2BC2EDAF">
      <w:pPr>
        <w:pStyle w:val="7"/>
        <w:rPr>
          <w:rFonts w:hint="default" w:ascii="Times New Roman" w:hAnsi="Times New Roman" w:eastAsia="微软雅黑" w:cs="Times New Roman"/>
          <w:i w:val="0"/>
          <w:iCs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/>
          <w:sz w:val="21"/>
          <w:szCs w:val="21"/>
        </w:rPr>
        <w:t>Schoenfeld residual tests were performed for the fully adjusted Cox model.</w:t>
      </w:r>
    </w:p>
    <w:p w14:paraId="7A3BECCC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754880" cy="3432810"/>
            <wp:effectExtent l="0" t="0" r="762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43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9BEA">
      <w:pPr>
        <w:pStyle w:val="2"/>
        <w:jc w:val="center"/>
        <w:rPr>
          <w:rFonts w:hint="eastAsia" w:ascii="微软雅黑" w:hAnsi="微软雅黑" w:eastAsia="微软雅黑" w:cs="微软雅黑"/>
          <w:b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Fig</w:t>
      </w:r>
      <w:r>
        <w:rPr>
          <w:rFonts w:hint="eastAsia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 Schoenfeld residuals for baseline IC score</w:t>
      </w:r>
    </w:p>
    <w:p w14:paraId="29AAE4D6">
      <w:pPr>
        <w:pStyle w:val="2"/>
        <w:jc w:val="center"/>
        <w:rPr>
          <w:rFonts w:hint="eastAsia" w:ascii="微软雅黑" w:hAnsi="微软雅黑" w:eastAsia="微软雅黑" w:cs="微软雅黑"/>
          <w:b/>
        </w:rPr>
      </w:pPr>
    </w:p>
    <w:p w14:paraId="6305BAD3">
      <w:pPr>
        <w:pStyle w:val="2"/>
        <w:jc w:val="both"/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Table 2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Sensitivity analyses for the association between baseline IC and incident edentulism</w:t>
      </w:r>
    </w:p>
    <w:p w14:paraId="6046A368">
      <w:pPr>
        <w:rPr>
          <w:rFonts w:hint="default"/>
        </w:rPr>
      </w:pPr>
    </w:p>
    <w:tbl>
      <w:tblPr>
        <w:tblStyle w:val="4"/>
        <w:tblW w:w="0" w:type="auto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569"/>
        <w:gridCol w:w="1620"/>
        <w:gridCol w:w="1828"/>
        <w:gridCol w:w="1615"/>
      </w:tblGrid>
      <w:tr w14:paraId="4913746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582C7A23">
            <w:pPr>
              <w:jc w:val="left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Analysis</w:t>
            </w:r>
          </w:p>
        </w:tc>
        <w:tc>
          <w:tcPr>
            <w:tcW w:w="1569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5CD798AF">
            <w:pPr>
              <w:jc w:val="left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620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1C51E091">
            <w:pPr>
              <w:jc w:val="left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Events</w:t>
            </w:r>
          </w:p>
        </w:tc>
        <w:tc>
          <w:tcPr>
            <w:tcW w:w="1828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62BF6FDC">
            <w:pPr>
              <w:jc w:val="left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HR (95% CI)</w:t>
            </w:r>
          </w:p>
        </w:tc>
        <w:tc>
          <w:tcPr>
            <w:tcW w:w="1615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5C598007">
            <w:pPr>
              <w:jc w:val="left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5D02F0F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54E9A9A0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Main model</w:t>
            </w:r>
          </w:p>
        </w:tc>
        <w:tc>
          <w:tcPr>
            <w:tcW w:w="1569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142B59D8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8,282</w:t>
            </w:r>
          </w:p>
        </w:tc>
        <w:tc>
          <w:tcPr>
            <w:tcW w:w="162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5F648FDB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1,064</w:t>
            </w:r>
          </w:p>
        </w:tc>
        <w:tc>
          <w:tcPr>
            <w:tcW w:w="1828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7C945451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0.913 (0.867-0.961)</w:t>
            </w:r>
          </w:p>
        </w:tc>
        <w:tc>
          <w:tcPr>
            <w:tcW w:w="161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37F0536F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11C333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47289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Age adjusted as continuous variable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9A085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8,282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38FC6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1,064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236CC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0.921 (0.874-0.971)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027C3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 w14:paraId="63D5D5B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4FB35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Age modeled using natural cubic splines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00CD3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8,282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5AA6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1,064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312B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0.920 (0.873-0.969)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55FF6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 w14:paraId="18E2167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593A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Alternative age strata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E85FE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8,282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2E4B7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1,064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06729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0.900 (0.854-0.947)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06FBC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6DA1C1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D5B84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Excluding Wave 2 events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915B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7,350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3C147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FFF1E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0.918 (0.858-0.983)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6BB16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</w:tr>
      <w:tr w14:paraId="1A1D7F1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2998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Using reconstructed domain-sum IC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D0E27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8,271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E495A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1,063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6FB60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0.912 (0.865-0.962)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468C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302230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7F42E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Multiple imputation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69A27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8,381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B5CDD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1,074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38C40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0.917 (0.871-0.967)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992F7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513CBA9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6B27753E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Competing-risk model treating death as competing event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022A5C76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8,282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0F5B68F8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1,064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638D86CD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0.918 (0.872-0.966)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54976656">
            <w:pPr>
              <w:jc w:val="left"/>
              <w:rPr>
                <w:rFonts w:hint="default" w:ascii="Times New Roman" w:hAnsi="Times New Roman" w:eastAsia="微软雅黑" w:cs="Times New Roman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</w:tbl>
    <w:p w14:paraId="48862C03">
      <w:pPr>
        <w:pStyle w:val="7"/>
        <w:rPr>
          <w:rFonts w:hint="default" w:ascii="Times New Roman" w:hAnsi="Times New Roman" w:eastAsia="微软雅黑" w:cs="Times New Roman"/>
          <w:i w:val="0"/>
          <w:i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i w:val="0"/>
          <w:i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The main model used age-stratified Cox regression. The competing-risk model treated death as a competing event using approximate death time based on CHARLS interview status when exact death date was unavailable.</w:t>
      </w:r>
    </w:p>
    <w:p w14:paraId="750AFD70">
      <w:pPr>
        <w:pStyle w:val="2"/>
        <w:jc w:val="both"/>
        <w:rPr>
          <w:rFonts w:hint="default" w:ascii="Times New Roman" w:hAnsi="Times New Roman" w:eastAsia="微软雅黑" w:cs="Times New Roman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0845F2">
      <w:pPr>
        <w:pStyle w:val="2"/>
        <w:jc w:val="both"/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Table 3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Subgroup analyses for baseline intrinsic capacity and incident edentulism</w:t>
      </w:r>
    </w:p>
    <w:p w14:paraId="522A652C">
      <w:pPr>
        <w:rPr>
          <w:rFonts w:hint="default"/>
        </w:rPr>
      </w:pPr>
    </w:p>
    <w:tbl>
      <w:tblPr>
        <w:tblStyle w:val="4"/>
        <w:tblW w:w="0" w:type="auto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536"/>
        <w:gridCol w:w="1003"/>
        <w:gridCol w:w="1051"/>
        <w:gridCol w:w="1336"/>
        <w:gridCol w:w="1061"/>
        <w:gridCol w:w="1211"/>
      </w:tblGrid>
      <w:tr w14:paraId="0C60D13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3137748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Subgroup</w:t>
            </w:r>
          </w:p>
        </w:tc>
        <w:tc>
          <w:tcPr>
            <w:tcW w:w="153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1DD95DE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Level</w:t>
            </w:r>
          </w:p>
        </w:tc>
        <w:tc>
          <w:tcPr>
            <w:tcW w:w="1003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66A4407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051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77AC3B0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Events</w:t>
            </w:r>
          </w:p>
        </w:tc>
        <w:tc>
          <w:tcPr>
            <w:tcW w:w="1336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66CAC27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HR (95% CI)</w:t>
            </w:r>
          </w:p>
        </w:tc>
        <w:tc>
          <w:tcPr>
            <w:tcW w:w="1061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601E3A5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1211" w:type="dxa"/>
            <w:tcBorders>
              <w:top w:val="single" w:color="000000" w:themeColor="text1" w:sz="6" w:space="0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58218E7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 interaction</w:t>
            </w:r>
          </w:p>
        </w:tc>
      </w:tr>
      <w:tr w14:paraId="4ED9B1C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69596D3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1536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17482BB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1003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2F9DF54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4,346</w:t>
            </w:r>
          </w:p>
        </w:tc>
        <w:tc>
          <w:tcPr>
            <w:tcW w:w="1051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7BDB294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545</w:t>
            </w:r>
          </w:p>
        </w:tc>
        <w:tc>
          <w:tcPr>
            <w:tcW w:w="1336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46136BCA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0.918 (0.852-0.990)</w:t>
            </w:r>
          </w:p>
        </w:tc>
        <w:tc>
          <w:tcPr>
            <w:tcW w:w="1061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0C61C45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0.026</w:t>
            </w:r>
          </w:p>
        </w:tc>
        <w:tc>
          <w:tcPr>
            <w:tcW w:w="1211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vAlign w:val="center"/>
          </w:tcPr>
          <w:p w14:paraId="0968302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0.867</w:t>
            </w:r>
          </w:p>
        </w:tc>
      </w:tr>
      <w:tr w14:paraId="6E69E27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011A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581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146E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4,035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B196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69F0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0.909 (0.846-0.977)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C4B6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7986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0.867</w:t>
            </w:r>
          </w:p>
        </w:tc>
      </w:tr>
      <w:tr w14:paraId="1178E5D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8F3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Age group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15D0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45-54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B982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3,434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BC9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5CB9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1.065 (0.920-1.233)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A969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0.399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4581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0.033</w:t>
            </w:r>
          </w:p>
        </w:tc>
      </w:tr>
      <w:tr w14:paraId="706892D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E030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Age group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C3EF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55-64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FDB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3,322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56F5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0634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0.851 (0.789-0.918)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A387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57E5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0.033</w:t>
            </w:r>
          </w:p>
        </w:tc>
      </w:tr>
      <w:tr w14:paraId="42E6D5C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1692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Age group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B8ED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65-74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14637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1,345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F7FF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2095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0.973 (0.885-1.069)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8B9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0.570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976B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0.033</w:t>
            </w:r>
          </w:p>
        </w:tc>
      </w:tr>
      <w:tr w14:paraId="7E63EFB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7ED1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Age group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7E7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&gt;=75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8AD9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97C7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46E4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0.880 (0.733-1.057)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8AC0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0.171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17095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0.033</w:t>
            </w:r>
          </w:p>
        </w:tc>
      </w:tr>
      <w:tr w14:paraId="0A66BFB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D2FF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2EC3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86C2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7,295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212E7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1,012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4C37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0.914 (0.867-0.963)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0630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6AEA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0.829</w:t>
            </w:r>
          </w:p>
        </w:tc>
      </w:tr>
      <w:tr w14:paraId="23D84B5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291A7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E90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Middle/High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638D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1,086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CDF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A62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0.929 (0.700-1.235)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81C0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C81A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0.829</w:t>
            </w:r>
          </w:p>
        </w:tc>
      </w:tr>
      <w:tr w14:paraId="52825E3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44B39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AAC1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Married/Partnered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5CE7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7,585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EB0D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0EEC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0.907 (0.856-0.960)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0865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6FA5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0.486</w:t>
            </w:r>
          </w:p>
        </w:tc>
      </w:tr>
      <w:tr w14:paraId="099EEBA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CD3CA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Marital status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B6CF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Unmarried/Other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706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667B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0A06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0.950 (0.836-1.081)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38B49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0.439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5000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0.486</w:t>
            </w:r>
          </w:p>
        </w:tc>
      </w:tr>
      <w:tr w14:paraId="7699E8F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89FB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Household wealth quartile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A3C8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 (Lowest)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D82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1,422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6FC05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90A55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0.893 (0.805-0.991)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73E6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0D64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0.995</w:t>
            </w:r>
          </w:p>
        </w:tc>
      </w:tr>
      <w:tr w14:paraId="476C96E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244C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Household wealth quartile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7EE2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68E3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1,569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5EF9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AB9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0.925 (0.828-1.033)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A3C1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0.166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C025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0.995</w:t>
            </w:r>
          </w:p>
        </w:tc>
      </w:tr>
      <w:tr w14:paraId="43FD4F9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885F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Household wealth quartile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B5C7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A261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1,723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6A06B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DC0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0.956 (0.845-1.081)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4289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0.468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BA54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0.995</w:t>
            </w:r>
          </w:p>
        </w:tc>
      </w:tr>
      <w:tr w14:paraId="6C80605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31DC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Household wealth quartile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EE68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Q4 (Highest)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1A2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1,599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7EF5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16E8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0.943 (0.809-1.098)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76A2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0.449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DF66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0.995</w:t>
            </w:r>
          </w:p>
        </w:tc>
      </w:tr>
      <w:tr w14:paraId="32EC8A8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839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Household wealth quartile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AE25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Missing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4EC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2,068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CA6C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B94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0.879 (0.786-0.982)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2CF79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0DBC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0.995</w:t>
            </w:r>
          </w:p>
        </w:tc>
      </w:tr>
      <w:tr w14:paraId="4A0C8A0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27D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E4DC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Urban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6055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3,304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B2B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1A9FA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0.919 (0.836-1.010)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7E5F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0.080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B88B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0.949</w:t>
            </w:r>
          </w:p>
        </w:tc>
      </w:tr>
      <w:tr w14:paraId="0754F15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1A49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5CB4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980D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5,077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98F1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BCA8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0.910 (0.855-0.969)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45C9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8645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0.949</w:t>
            </w:r>
          </w:p>
        </w:tc>
      </w:tr>
      <w:tr w14:paraId="5FECD0B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F3E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Ever smoking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3865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C4AE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4,863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7D9E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2D7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0.885 (0.827-0.946)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8D6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317A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0.059</w:t>
            </w:r>
          </w:p>
        </w:tc>
      </w:tr>
      <w:tr w14:paraId="09B9576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8819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Ever smoking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AE117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0E19B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3,518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B12F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473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3305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0.955 (0.881-1.036)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74B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0.270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F711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0.059</w:t>
            </w:r>
          </w:p>
        </w:tc>
      </w:tr>
      <w:tr w14:paraId="7C053E3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7CD5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Ever drinking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A56A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D0E1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4,863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C192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BB8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0.897 (0.840-0.957)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489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E361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0.326</w:t>
            </w:r>
          </w:p>
        </w:tc>
      </w:tr>
      <w:tr w14:paraId="6B47CDB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BD3F9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Ever drinking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144B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B6859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3,515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DB92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B557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0.946 (0.868-1.032)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8CBF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E092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0.326</w:t>
            </w:r>
          </w:p>
        </w:tc>
      </w:tr>
      <w:tr w14:paraId="77A38EA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F1097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8F49B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CA31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6,259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DA03D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8320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0.946 (0.890-1.006)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9475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0.079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8F4A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0.182</w:t>
            </w:r>
          </w:p>
        </w:tc>
      </w:tr>
      <w:tr w14:paraId="5264EA7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2605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7273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CDE9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2,083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AA6A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AB57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0.829 (0.752-0.914)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3CE6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68DC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0.182</w:t>
            </w:r>
          </w:p>
        </w:tc>
      </w:tr>
      <w:tr w14:paraId="32C72C4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79FFB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4AD4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B8446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7,806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1259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1,005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3E33C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0.916 (0.868-0.966)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B34BB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861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0.940</w:t>
            </w:r>
          </w:p>
        </w:tc>
      </w:tr>
      <w:tr w14:paraId="3549FED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4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5DC10151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37781D2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779B7FE3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505</w:t>
            </w:r>
          </w:p>
        </w:tc>
        <w:tc>
          <w:tcPr>
            <w:tcW w:w="1051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6E43A8FE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7E99EAA8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0.890 (0.720-1.099)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27138A80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0.279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vAlign w:val="center"/>
          </w:tcPr>
          <w:p w14:paraId="3CEF676F">
            <w:pPr>
              <w:jc w:val="left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0.940</w:t>
            </w:r>
          </w:p>
        </w:tc>
      </w:tr>
    </w:tbl>
    <w:p w14:paraId="2CB7845A">
      <w:pPr>
        <w:pStyle w:val="7"/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All subgroup analyses evaluated baseline IC score as a continuous variable. Interaction P values were obtained using likelihood ratio tests comparing models with and without the IC-by-subgroup interaction term.</w:t>
      </w:r>
    </w:p>
    <w:p w14:paraId="580380BC">
      <w:pPr>
        <w:jc w:val="center"/>
        <w:rPr>
          <w:rFonts w:hint="eastAsia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B60FD09">
      <w:pPr>
        <w:pStyle w:val="2"/>
        <w:jc w:val="center"/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Fig</w:t>
      </w:r>
      <w:r>
        <w:rPr>
          <w:rFonts w:hint="default" w:ascii="Times New Roman" w:hAnsi="Times New Roman" w:eastAsia="微软雅黑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 2</w:t>
      </w:r>
      <w:r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Subgroup analyses of baseline IC and incident edentulism</w:t>
      </w:r>
    </w:p>
    <w:p w14:paraId="2CF2B2E2">
      <w:pPr>
        <w:jc w:val="center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5273675" cy="3515995"/>
            <wp:effectExtent l="0" t="0" r="3175" b="8255"/>
            <wp:docPr id="2" name="图片 2" descr="FigureS_IC_change_group_event_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_IC_change_group_event_rat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3755390"/>
            <wp:effectExtent l="0" t="0" r="635" b="6985"/>
            <wp:docPr id="1" name="图片 1" descr="Figure4_subgroup_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4_subgroup_fores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B5755">
      <w:pPr>
        <w:jc w:val="center"/>
        <w:rPr>
          <w:rFonts w:hint="eastAsia" w:ascii="微软雅黑" w:hAnsi="微软雅黑" w:eastAsia="微软雅黑" w:cs="微软雅黑"/>
          <w:lang w:val="en-US" w:eastAsia="zh-CN"/>
        </w:rPr>
      </w:pPr>
    </w:p>
    <w:p w14:paraId="0B5CBF7A">
      <w:pPr>
        <w:pStyle w:val="2"/>
        <w:jc w:val="center"/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Fig</w:t>
      </w:r>
      <w:r>
        <w:rPr>
          <w:rFonts w:hint="default" w:ascii="Times New Roman" w:hAnsi="Times New Roman" w:eastAsia="微软雅黑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 3</w:t>
      </w:r>
      <w:r>
        <w:rPr>
          <w:rFonts w:hint="eastAsia" w:ascii="Times New Roman" w:hAnsi="Times New Roman" w:eastAsia="微软雅黑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微软雅黑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Wave 4 edentulism rate according to IC change group</w:t>
      </w:r>
    </w:p>
    <w:p w14:paraId="657F86F7">
      <w:pPr>
        <w:jc w:val="center"/>
        <w:rPr>
          <w:rFonts w:hint="eastAsia" w:ascii="微软雅黑" w:hAnsi="微软雅黑" w:eastAsia="微软雅黑" w:cs="微软雅黑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95121"/>
    <w:rsid w:val="033F7867"/>
    <w:rsid w:val="121C431D"/>
    <w:rsid w:val="317C5CA4"/>
    <w:rsid w:val="3D6106DD"/>
    <w:rsid w:val="3E343E99"/>
    <w:rsid w:val="48A22186"/>
    <w:rsid w:val="5C82259C"/>
    <w:rsid w:val="5F3439F6"/>
    <w:rsid w:val="7AC9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pPr>
      <w:spacing w:line="240" w:lineRule="auto"/>
    </w:pPr>
    <w:rPr>
      <w:rFonts w:ascii="Arial" w:hAnsi="Arial" w:eastAsia="Noto Sans CJK SC"/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3">
    <w:name w:val="Normal (Web)"/>
    <w:basedOn w:val="1"/>
    <w:uiPriority w:val="0"/>
    <w:pPr>
      <w:spacing w:beforeAutospacing="1" w:after="0" w:afterAutospacing="1"/>
    </w:pPr>
    <w:rPr>
      <w:rFonts w:cs="Times New Roman"/>
      <w:sz w:val="24"/>
      <w:lang w:eastAsia="zh-CN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Note"/>
    <w:qFormat/>
    <w:uiPriority w:val="0"/>
    <w:pPr>
      <w:spacing w:after="200" w:line="276" w:lineRule="auto"/>
    </w:pPr>
    <w:rPr>
      <w:rFonts w:ascii="Noto Sans CJK SC" w:hAnsi="Noto Sans CJK SC" w:eastAsia="Noto Sans CJK SC" w:cstheme="minorBidi"/>
      <w:i/>
      <w:sz w:val="16"/>
      <w:szCs w:val="22"/>
      <w:lang w:val="en-US" w:eastAsia="en-US" w:bidi="ar-SA"/>
    </w:rPr>
  </w:style>
  <w:style w:type="paragraph" w:customStyle="1" w:styleId="8">
    <w:name w:val="BA_Title"/>
    <w:basedOn w:val="1"/>
    <w:next w:val="9"/>
    <w:uiPriority w:val="0"/>
    <w:pPr>
      <w:widowControl/>
      <w:spacing w:before="720" w:after="360" w:line="480" w:lineRule="auto"/>
      <w:jc w:val="center"/>
    </w:pPr>
    <w:rPr>
      <w:rFonts w:ascii="Times New Roman" w:hAnsi="Times New Roman" w:eastAsia="宋体" w:cs="Times New Roman"/>
      <w:kern w:val="0"/>
      <w:sz w:val="44"/>
      <w:szCs w:val="20"/>
      <w:lang w:eastAsia="en-US"/>
    </w:rPr>
  </w:style>
  <w:style w:type="paragraph" w:customStyle="1" w:styleId="9">
    <w:name w:val="BB_Author_Name"/>
    <w:basedOn w:val="1"/>
    <w:next w:val="10"/>
    <w:uiPriority w:val="0"/>
    <w:pPr>
      <w:widowControl/>
      <w:spacing w:after="240" w:line="480" w:lineRule="auto"/>
      <w:jc w:val="center"/>
    </w:pPr>
    <w:rPr>
      <w:rFonts w:ascii="Times" w:hAnsi="Times" w:eastAsia="宋体" w:cs="Times New Roman"/>
      <w:i/>
      <w:kern w:val="0"/>
      <w:sz w:val="24"/>
      <w:szCs w:val="20"/>
      <w:lang w:eastAsia="en-US"/>
    </w:rPr>
  </w:style>
  <w:style w:type="paragraph" w:customStyle="1" w:styleId="10">
    <w:name w:val="BC_Author_Address"/>
    <w:basedOn w:val="1"/>
    <w:next w:val="1"/>
    <w:qFormat/>
    <w:uiPriority w:val="0"/>
    <w:pPr>
      <w:widowControl/>
      <w:spacing w:after="240" w:line="480" w:lineRule="auto"/>
      <w:jc w:val="center"/>
    </w:pPr>
    <w:rPr>
      <w:rFonts w:ascii="Times" w:hAnsi="Times" w:eastAsia="宋体" w:cs="Times New Roman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580</Words>
  <Characters>3635</Characters>
  <Lines>0</Lines>
  <Paragraphs>0</Paragraphs>
  <TotalTime>0</TotalTime>
  <ScaleCrop>false</ScaleCrop>
  <LinksUpToDate>false</LinksUpToDate>
  <CharactersWithSpaces>3921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2026-06-24T14:38:00Z</dcterms:created>
  <dc:creator>阿雪巴拉</dc:creator>
  <cp:lastModifiedBy>阿雪巴拉</cp:lastModifiedBy>
  <dcterms:modified xsi:type="dcterms:W3CDTF">2026-06-30T03:18:16Z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CB183645F63A47DDB823F68558C7AA71_11</vt:lpwstr>
  </property>
  <property fmtid="{D5CDD505-2E9C-101B-9397-08002B2CF9AE}" pid="4" name="KSOTemplateDocerSaveRecord">
    <vt:lpwstr>eyJoZGlkIjoiNWU4ZDkxNTc0YmI0NGI3MWYzYTgzZjBmZGM1OWQ4ODciLCJ1c2VySWQiOiI0NTQyNDkwMDEifQ==</vt:lpwstr>
  </property>
</Properties>
</file>