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DD4CB6F" w14:textId="0212A166" w:rsidR="008C774B" w:rsidRDefault="008C774B" w:rsidP="008C77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Supple</w:t>
      </w:r>
      <w:r>
        <w:rPr>
          <w:rFonts w:ascii="Times New Roman" w:hAnsi="Times New Roman" w:cs="Times New Roman"/>
          <w:sz w:val="24"/>
        </w:rPr>
        <w:t>ment Figure</w:t>
      </w:r>
    </w:p>
    <w:p w14:paraId="42C33776" w14:textId="729640D1" w:rsidR="008C774B" w:rsidRDefault="008C774B" w:rsidP="008C77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C4E7B68" wp14:editId="6F9BFDC8">
            <wp:extent cx="5274310" cy="4671060"/>
            <wp:effectExtent l="0" t="0" r="0" b="2540"/>
            <wp:docPr id="156154557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545579" name="图片 15615455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386DA" w14:textId="77777777" w:rsidR="008C774B" w:rsidRDefault="008C774B" w:rsidP="008C77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D1B23">
        <w:rPr>
          <w:rFonts w:ascii="Times New Roman" w:hAnsi="Times New Roman" w:cs="Times New Roman"/>
          <w:b/>
          <w:bCs/>
          <w:sz w:val="24"/>
        </w:rPr>
        <w:t xml:space="preserve">Figure S1. FAM155B regulates the expression of lipid metabolism-associated genes. </w:t>
      </w:r>
      <w:r w:rsidRPr="002D1B23">
        <w:rPr>
          <w:rFonts w:ascii="Times New Roman" w:hAnsi="Times New Roman" w:cs="Times New Roman"/>
          <w:sz w:val="24"/>
        </w:rPr>
        <w:t>(A, B) Volcano plot</w:t>
      </w:r>
      <w:r>
        <w:rPr>
          <w:rFonts w:ascii="Times New Roman" w:hAnsi="Times New Roman" w:cs="Times New Roman"/>
          <w:sz w:val="24"/>
        </w:rPr>
        <w:t xml:space="preserve"> </w:t>
      </w:r>
      <w:r w:rsidRPr="002D1B23">
        <w:rPr>
          <w:rFonts w:ascii="Times New Roman" w:hAnsi="Times New Roman" w:cs="Times New Roman"/>
          <w:sz w:val="24"/>
        </w:rPr>
        <w:t>and gene rendering heatmap</w:t>
      </w:r>
      <w:r>
        <w:rPr>
          <w:rFonts w:ascii="Times New Roman" w:hAnsi="Times New Roman" w:cs="Times New Roman"/>
          <w:sz w:val="24"/>
        </w:rPr>
        <w:t xml:space="preserve"> </w:t>
      </w:r>
      <w:r w:rsidRPr="002D1B23">
        <w:rPr>
          <w:rFonts w:ascii="Times New Roman" w:hAnsi="Times New Roman" w:cs="Times New Roman"/>
          <w:sz w:val="24"/>
        </w:rPr>
        <w:t xml:space="preserve">of the transcriptomic alterations between </w:t>
      </w:r>
      <w:proofErr w:type="spellStart"/>
      <w:r w:rsidRPr="002D1B23">
        <w:rPr>
          <w:rFonts w:ascii="Times New Roman" w:hAnsi="Times New Roman" w:cs="Times New Roman"/>
          <w:sz w:val="24"/>
        </w:rPr>
        <w:t>shNC</w:t>
      </w:r>
      <w:proofErr w:type="spellEnd"/>
      <w:r w:rsidRPr="002D1B23">
        <w:rPr>
          <w:rFonts w:ascii="Times New Roman" w:hAnsi="Times New Roman" w:cs="Times New Roman"/>
          <w:sz w:val="24"/>
        </w:rPr>
        <w:t xml:space="preserve"> and shFAM155B groups.</w:t>
      </w:r>
      <w:r>
        <w:rPr>
          <w:rFonts w:ascii="Times New Roman" w:hAnsi="Times New Roman" w:cs="Times New Roman"/>
          <w:sz w:val="24"/>
        </w:rPr>
        <w:t xml:space="preserve"> </w:t>
      </w:r>
      <w:r w:rsidRPr="002D1B23">
        <w:rPr>
          <w:rFonts w:ascii="Times New Roman" w:hAnsi="Times New Roman" w:cs="Times New Roman"/>
          <w:sz w:val="24"/>
        </w:rPr>
        <w:t>(C) Validation of key fatty acid synthesis components' (ACACA, FASN, SCD1, ACSL3, DGAT1) elevation post-FAM155B overexpression.</w:t>
      </w:r>
      <w:r>
        <w:rPr>
          <w:rFonts w:ascii="Times New Roman" w:hAnsi="Times New Roman" w:cs="Times New Roman"/>
          <w:sz w:val="24"/>
        </w:rPr>
        <w:t xml:space="preserve"> </w:t>
      </w:r>
      <w:r w:rsidRPr="002D1B23">
        <w:rPr>
          <w:rFonts w:ascii="Times New Roman" w:hAnsi="Times New Roman" w:cs="Times New Roman"/>
          <w:sz w:val="24"/>
        </w:rPr>
        <w:t>(D, E) Spearman correlation coefficients calculated using the TCGA repository detailing parallel expression between FAM155B and the analyzed lipogenic markers.</w:t>
      </w:r>
      <w:r>
        <w:rPr>
          <w:rFonts w:ascii="Times New Roman" w:hAnsi="Times New Roman" w:cs="Times New Roman"/>
          <w:sz w:val="24"/>
        </w:rPr>
        <w:t xml:space="preserve"> </w:t>
      </w:r>
      <w:r w:rsidRPr="002D1B23">
        <w:rPr>
          <w:rFonts w:ascii="Times New Roman" w:hAnsi="Times New Roman" w:cs="Times New Roman"/>
          <w:sz w:val="24"/>
        </w:rPr>
        <w:t>(F-H) MCF-7 intracellular biochemical indicators depicting elevated palmitate, oleate, FFA, TG, and abundant lipid droplets</w:t>
      </w:r>
      <w:r>
        <w:rPr>
          <w:rFonts w:ascii="Times New Roman" w:hAnsi="Times New Roman" w:cs="Times New Roman"/>
          <w:sz w:val="24"/>
        </w:rPr>
        <w:t xml:space="preserve"> </w:t>
      </w:r>
      <w:r w:rsidRPr="002D1B23">
        <w:rPr>
          <w:rFonts w:ascii="Times New Roman" w:hAnsi="Times New Roman" w:cs="Times New Roman"/>
          <w:sz w:val="24"/>
        </w:rPr>
        <w:t>triggered by overexpressed FAM155B.</w:t>
      </w:r>
      <w:r>
        <w:rPr>
          <w:rFonts w:ascii="Times New Roman" w:hAnsi="Times New Roman" w:cs="Times New Roman"/>
          <w:sz w:val="24"/>
        </w:rPr>
        <w:t xml:space="preserve"> </w:t>
      </w:r>
      <w:r w:rsidRPr="002D1B23">
        <w:rPr>
          <w:rFonts w:ascii="Times New Roman" w:hAnsi="Times New Roman" w:cs="Times New Roman"/>
          <w:sz w:val="24"/>
        </w:rPr>
        <w:t>Data information: Data are shown as Mean ± SD. Statistical differences were mapped by the unpaired Student's t-test.</w:t>
      </w:r>
      <w:r>
        <w:rPr>
          <w:rFonts w:ascii="Times New Roman" w:hAnsi="Times New Roman" w:cs="Times New Roman"/>
          <w:sz w:val="24"/>
        </w:rPr>
        <w:t xml:space="preserve"> </w:t>
      </w:r>
      <w:r w:rsidRPr="00C22AFC">
        <w:rPr>
          <w:rFonts w:ascii="Cambria Math" w:hAnsi="Cambria Math" w:cs="Cambria Math"/>
          <w:sz w:val="24"/>
        </w:rPr>
        <w:t>∗</w:t>
      </w:r>
      <w:r w:rsidRPr="00C22AFC">
        <w:rPr>
          <w:rFonts w:ascii="Times New Roman" w:hAnsi="Times New Roman" w:cs="Times New Roman"/>
          <w:i/>
          <w:iCs/>
          <w:sz w:val="24"/>
        </w:rPr>
        <w:t>p</w:t>
      </w:r>
      <w:r w:rsidRPr="00C22AFC">
        <w:rPr>
          <w:rFonts w:ascii="Times New Roman" w:hAnsi="Times New Roman" w:cs="Times New Roman"/>
          <w:sz w:val="24"/>
        </w:rPr>
        <w:t xml:space="preserve">&lt;0.05, </w:t>
      </w:r>
      <w:r w:rsidRPr="00C22AFC">
        <w:rPr>
          <w:rFonts w:ascii="Cambria Math" w:hAnsi="Cambria Math" w:cs="Cambria Math"/>
          <w:sz w:val="24"/>
        </w:rPr>
        <w:t>∗∗</w:t>
      </w:r>
      <w:r w:rsidRPr="00C22AFC">
        <w:rPr>
          <w:rFonts w:ascii="Times New Roman" w:hAnsi="Times New Roman" w:cs="Times New Roman"/>
          <w:i/>
          <w:iCs/>
          <w:sz w:val="24"/>
        </w:rPr>
        <w:t>p</w:t>
      </w:r>
      <w:r w:rsidRPr="00C22AFC">
        <w:rPr>
          <w:rFonts w:ascii="Times New Roman" w:hAnsi="Times New Roman" w:cs="Times New Roman"/>
          <w:sz w:val="24"/>
        </w:rPr>
        <w:t xml:space="preserve">&lt;0.01, </w:t>
      </w:r>
      <w:r w:rsidRPr="00C22AFC">
        <w:rPr>
          <w:rFonts w:ascii="Cambria Math" w:hAnsi="Cambria Math" w:cs="Cambria Math"/>
          <w:sz w:val="24"/>
        </w:rPr>
        <w:t>∗∗∗</w:t>
      </w:r>
      <w:r w:rsidRPr="00C22AFC">
        <w:rPr>
          <w:rFonts w:ascii="Times New Roman" w:hAnsi="Times New Roman" w:cs="Times New Roman"/>
          <w:i/>
          <w:iCs/>
          <w:sz w:val="24"/>
        </w:rPr>
        <w:t>p</w:t>
      </w:r>
      <w:r w:rsidRPr="00C22AFC">
        <w:rPr>
          <w:rFonts w:ascii="Times New Roman" w:hAnsi="Times New Roman" w:cs="Times New Roman"/>
          <w:sz w:val="24"/>
        </w:rPr>
        <w:t>&lt;0.001.</w:t>
      </w:r>
    </w:p>
    <w:p w14:paraId="11C942FF" w14:textId="77777777" w:rsidR="008C774B" w:rsidRDefault="008C774B" w:rsidP="008C77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4FBC04C4" wp14:editId="7B0FA818">
            <wp:extent cx="5274310" cy="1754505"/>
            <wp:effectExtent l="0" t="0" r="0" b="0"/>
            <wp:docPr id="101055297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552976" name="图片 10105529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F664" w14:textId="77777777" w:rsidR="008C774B" w:rsidRPr="00B13777" w:rsidRDefault="008C774B" w:rsidP="008C77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3777">
        <w:rPr>
          <w:rStyle w:val="ae"/>
          <w:rFonts w:ascii="Times New Roman" w:hAnsi="Times New Roman" w:cs="Times New Roman"/>
          <w:color w:val="080808"/>
          <w:spacing w:val="4"/>
          <w:sz w:val="24"/>
        </w:rPr>
        <w:t>Figure S2. Verification of SREBP1 expression and its clinical correlation to FAM155B.</w:t>
      </w:r>
      <w:r>
        <w:rPr>
          <w:rStyle w:val="ae"/>
          <w:rFonts w:ascii="Times New Roman" w:hAnsi="Times New Roman" w:cs="Times New Roman"/>
          <w:color w:val="080808"/>
          <w:spacing w:val="4"/>
          <w:sz w:val="24"/>
        </w:rPr>
        <w:t xml:space="preserve"> </w:t>
      </w:r>
      <w:r w:rsidRPr="00B13777">
        <w:rPr>
          <w:rFonts w:ascii="Times New Roman" w:hAnsi="Times New Roman" w:cs="Times New Roman"/>
          <w:color w:val="080808"/>
          <w:spacing w:val="4"/>
          <w:sz w:val="24"/>
          <w:shd w:val="clear" w:color="auto" w:fill="FBFBFB"/>
        </w:rPr>
        <w:t>(A) Positive mapping indicating a correlative interplay between FAM155B and SREBF1 within patient tissues derived from standard TCGA archives.</w:t>
      </w:r>
      <w:r>
        <w:rPr>
          <w:rFonts w:ascii="Times New Roman" w:hAnsi="Times New Roman" w:cs="Times New Roman"/>
          <w:color w:val="080808"/>
          <w:spacing w:val="4"/>
          <w:sz w:val="24"/>
          <w:shd w:val="clear" w:color="auto" w:fill="FBFBFB"/>
        </w:rPr>
        <w:t xml:space="preserve"> </w:t>
      </w:r>
      <w:r w:rsidRPr="00B13777">
        <w:rPr>
          <w:rFonts w:ascii="Times New Roman" w:hAnsi="Times New Roman" w:cs="Times New Roman"/>
          <w:color w:val="080808"/>
          <w:spacing w:val="4"/>
          <w:sz w:val="24"/>
          <w:shd w:val="clear" w:color="auto" w:fill="FBFBFB"/>
        </w:rPr>
        <w:t>(B, C) Confirmation of the shSREBP1 depletion effectiveness and the SREBP1 overexpressing vector delivery evaluated by qPCR</w:t>
      </w:r>
      <w:r>
        <w:rPr>
          <w:rFonts w:ascii="Times New Roman" w:hAnsi="Times New Roman" w:cs="Times New Roman"/>
          <w:color w:val="080808"/>
          <w:spacing w:val="4"/>
          <w:sz w:val="24"/>
          <w:shd w:val="clear" w:color="auto" w:fill="FBFBFB"/>
        </w:rPr>
        <w:t xml:space="preserve"> </w:t>
      </w:r>
      <w:r w:rsidRPr="00B13777">
        <w:rPr>
          <w:rFonts w:ascii="Times New Roman" w:hAnsi="Times New Roman" w:cs="Times New Roman"/>
          <w:color w:val="080808"/>
          <w:spacing w:val="4"/>
          <w:sz w:val="24"/>
          <w:shd w:val="clear" w:color="auto" w:fill="FBFBFB"/>
        </w:rPr>
        <w:t>and Western blot.</w:t>
      </w:r>
      <w:r>
        <w:rPr>
          <w:rFonts w:ascii="Times New Roman" w:hAnsi="Times New Roman" w:cs="Times New Roman"/>
          <w:color w:val="080808"/>
          <w:spacing w:val="4"/>
          <w:sz w:val="24"/>
          <w:shd w:val="clear" w:color="auto" w:fill="FBFBFB"/>
        </w:rPr>
        <w:t xml:space="preserve"> </w:t>
      </w:r>
      <w:r w:rsidRPr="00B13777">
        <w:rPr>
          <w:rStyle w:val="af"/>
          <w:rFonts w:ascii="Times New Roman" w:hAnsi="Times New Roman" w:cs="Times New Roman"/>
          <w:color w:val="080808"/>
          <w:spacing w:val="4"/>
          <w:sz w:val="24"/>
        </w:rPr>
        <w:t>Data information:</w:t>
      </w:r>
      <w:r w:rsidRPr="00B13777">
        <w:rPr>
          <w:rStyle w:val="apple-converted-space"/>
          <w:rFonts w:ascii="Times New Roman" w:hAnsi="Times New Roman" w:cs="Times New Roman"/>
          <w:color w:val="080808"/>
          <w:spacing w:val="4"/>
          <w:sz w:val="24"/>
          <w:shd w:val="clear" w:color="auto" w:fill="FBFBFB"/>
        </w:rPr>
        <w:t> </w:t>
      </w:r>
      <w:r w:rsidRPr="00B13777">
        <w:rPr>
          <w:rFonts w:ascii="Times New Roman" w:hAnsi="Times New Roman" w:cs="Times New Roman"/>
          <w:color w:val="080808"/>
          <w:spacing w:val="4"/>
          <w:sz w:val="24"/>
          <w:shd w:val="clear" w:color="auto" w:fill="FBFBFB"/>
        </w:rPr>
        <w:t>Values are listed as Mean ± SD followed by a standard</w:t>
      </w:r>
      <w:r w:rsidRPr="00B13777">
        <w:rPr>
          <w:rStyle w:val="apple-converted-space"/>
          <w:rFonts w:ascii="Times New Roman" w:hAnsi="Times New Roman" w:cs="Times New Roman"/>
          <w:color w:val="080808"/>
          <w:spacing w:val="4"/>
          <w:sz w:val="24"/>
          <w:shd w:val="clear" w:color="auto" w:fill="FBFBFB"/>
        </w:rPr>
        <w:t> </w:t>
      </w:r>
      <w:r w:rsidRPr="00B13777">
        <w:rPr>
          <w:rStyle w:val="af"/>
          <w:rFonts w:ascii="Times New Roman" w:hAnsi="Times New Roman" w:cs="Times New Roman"/>
          <w:color w:val="080808"/>
          <w:spacing w:val="4"/>
          <w:sz w:val="24"/>
        </w:rPr>
        <w:t>t</w:t>
      </w:r>
      <w:r w:rsidRPr="00B13777">
        <w:rPr>
          <w:rFonts w:ascii="Times New Roman" w:hAnsi="Times New Roman" w:cs="Times New Roman"/>
          <w:color w:val="080808"/>
          <w:spacing w:val="4"/>
          <w:sz w:val="24"/>
          <w:shd w:val="clear" w:color="auto" w:fill="FBFBFB"/>
        </w:rPr>
        <w:t>-test methodology framework calculation context.</w:t>
      </w:r>
      <w:r w:rsidRPr="00B13777">
        <w:rPr>
          <w:rStyle w:val="apple-converted-space"/>
          <w:rFonts w:ascii="Times New Roman" w:hAnsi="Times New Roman" w:cs="Times New Roman"/>
          <w:color w:val="080808"/>
          <w:spacing w:val="4"/>
          <w:sz w:val="24"/>
          <w:shd w:val="clear" w:color="auto" w:fill="FBFBFB"/>
        </w:rPr>
        <w:t> </w:t>
      </w:r>
      <w:r w:rsidRPr="00C22AFC">
        <w:rPr>
          <w:rFonts w:ascii="Cambria Math" w:hAnsi="Cambria Math" w:cs="Cambria Math"/>
          <w:sz w:val="24"/>
        </w:rPr>
        <w:t>∗</w:t>
      </w:r>
      <w:r w:rsidRPr="00C22AFC">
        <w:rPr>
          <w:rFonts w:ascii="Times New Roman" w:hAnsi="Times New Roman" w:cs="Times New Roman"/>
          <w:i/>
          <w:iCs/>
          <w:sz w:val="24"/>
        </w:rPr>
        <w:t>p</w:t>
      </w:r>
      <w:r w:rsidRPr="00C22AFC">
        <w:rPr>
          <w:rFonts w:ascii="Times New Roman" w:hAnsi="Times New Roman" w:cs="Times New Roman"/>
          <w:sz w:val="24"/>
        </w:rPr>
        <w:t xml:space="preserve">&lt;0.05, </w:t>
      </w:r>
      <w:r w:rsidRPr="00C22AFC">
        <w:rPr>
          <w:rFonts w:ascii="Cambria Math" w:hAnsi="Cambria Math" w:cs="Cambria Math"/>
          <w:sz w:val="24"/>
        </w:rPr>
        <w:t>∗∗</w:t>
      </w:r>
      <w:r w:rsidRPr="00C22AFC">
        <w:rPr>
          <w:rFonts w:ascii="Times New Roman" w:hAnsi="Times New Roman" w:cs="Times New Roman"/>
          <w:i/>
          <w:iCs/>
          <w:sz w:val="24"/>
        </w:rPr>
        <w:t>p</w:t>
      </w:r>
      <w:r w:rsidRPr="00C22AFC">
        <w:rPr>
          <w:rFonts w:ascii="Times New Roman" w:hAnsi="Times New Roman" w:cs="Times New Roman"/>
          <w:sz w:val="24"/>
        </w:rPr>
        <w:t xml:space="preserve">&lt;0.01, </w:t>
      </w:r>
      <w:r w:rsidRPr="00C22AFC">
        <w:rPr>
          <w:rFonts w:ascii="Cambria Math" w:hAnsi="Cambria Math" w:cs="Cambria Math"/>
          <w:sz w:val="24"/>
        </w:rPr>
        <w:t>∗∗∗</w:t>
      </w:r>
      <w:r w:rsidRPr="00C22AFC">
        <w:rPr>
          <w:rFonts w:ascii="Times New Roman" w:hAnsi="Times New Roman" w:cs="Times New Roman"/>
          <w:i/>
          <w:iCs/>
          <w:sz w:val="24"/>
        </w:rPr>
        <w:t>p</w:t>
      </w:r>
      <w:r w:rsidRPr="00C22AFC">
        <w:rPr>
          <w:rFonts w:ascii="Times New Roman" w:hAnsi="Times New Roman" w:cs="Times New Roman"/>
          <w:sz w:val="24"/>
        </w:rPr>
        <w:t>&lt;0.001.</w:t>
      </w:r>
    </w:p>
    <w:p w14:paraId="58C85EA6" w14:textId="77777777" w:rsidR="008C774B" w:rsidRDefault="008C774B" w:rsidP="008C77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2B09935" wp14:editId="6BF23CB9">
            <wp:extent cx="5274310" cy="3147060"/>
            <wp:effectExtent l="0" t="0" r="0" b="2540"/>
            <wp:docPr id="115827642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76429" name="图片 11582764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3FDF8" w14:textId="77777777" w:rsidR="008C774B" w:rsidRPr="00C22AFC" w:rsidRDefault="008C774B" w:rsidP="008C77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3777">
        <w:rPr>
          <w:rFonts w:ascii="Times New Roman" w:hAnsi="Times New Roman" w:cs="Times New Roman"/>
          <w:b/>
          <w:bCs/>
          <w:sz w:val="24"/>
        </w:rPr>
        <w:t>Figure S3. Assessment of alternative transcription factors for FAM155B induction and associated lipogenesis.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B13777">
        <w:rPr>
          <w:rFonts w:ascii="Times New Roman" w:hAnsi="Times New Roman" w:cs="Times New Roman"/>
          <w:sz w:val="24"/>
        </w:rPr>
        <w:t>(A) Minimal descriptive correlative relationships mapping alternative targets (BCL6, MYC, HIF1A) opposite to core candidate evaluation in clinical matrices.</w:t>
      </w:r>
      <w:r>
        <w:rPr>
          <w:rFonts w:ascii="Times New Roman" w:hAnsi="Times New Roman" w:cs="Times New Roman"/>
          <w:sz w:val="24"/>
        </w:rPr>
        <w:t xml:space="preserve"> </w:t>
      </w:r>
      <w:r w:rsidRPr="00B13777">
        <w:rPr>
          <w:rFonts w:ascii="Times New Roman" w:hAnsi="Times New Roman" w:cs="Times New Roman"/>
          <w:sz w:val="24"/>
        </w:rPr>
        <w:t xml:space="preserve">(B, C) Genetic loss-of-function tracking of BCL6, MYC, and HIF1A displaying no consequential impacts against FAM155B signature at mRNA and protein </w:t>
      </w:r>
      <w:r w:rsidRPr="00B13777">
        <w:rPr>
          <w:rFonts w:ascii="Times New Roman" w:hAnsi="Times New Roman" w:cs="Times New Roman"/>
          <w:sz w:val="24"/>
        </w:rPr>
        <w:lastRenderedPageBreak/>
        <w:t>dimensions.</w:t>
      </w:r>
      <w:r>
        <w:rPr>
          <w:rFonts w:ascii="Times New Roman" w:hAnsi="Times New Roman" w:cs="Times New Roman"/>
          <w:sz w:val="24"/>
        </w:rPr>
        <w:t xml:space="preserve"> </w:t>
      </w:r>
      <w:r w:rsidRPr="00B13777">
        <w:rPr>
          <w:rFonts w:ascii="Times New Roman" w:hAnsi="Times New Roman" w:cs="Times New Roman"/>
          <w:sz w:val="24"/>
        </w:rPr>
        <w:t>(D) Internal BODIPY analytics confirm an imperative requirement for FAM155B integrity under elevated BPTF levels necessary to establish potent lipogenesis.</w:t>
      </w:r>
      <w:r>
        <w:rPr>
          <w:rFonts w:ascii="Times New Roman" w:hAnsi="Times New Roman" w:cs="Times New Roman"/>
          <w:sz w:val="24"/>
        </w:rPr>
        <w:t xml:space="preserve"> </w:t>
      </w:r>
      <w:r w:rsidRPr="00B13777">
        <w:rPr>
          <w:rFonts w:ascii="Times New Roman" w:hAnsi="Times New Roman" w:cs="Times New Roman"/>
          <w:sz w:val="24"/>
        </w:rPr>
        <w:t>Data information: Extricated datasets conform functionally to Mean ± SD parameters via classic t-test and corresponding ANOVA protocols (n = 3).</w:t>
      </w:r>
      <w:r w:rsidRPr="00B13777">
        <w:rPr>
          <w:rFonts w:ascii="Cambria Math" w:hAnsi="Cambria Math" w:cs="Cambria Math"/>
          <w:sz w:val="24"/>
        </w:rPr>
        <w:t xml:space="preserve"> </w:t>
      </w:r>
      <w:r w:rsidRPr="00C22AFC">
        <w:rPr>
          <w:rFonts w:ascii="Cambria Math" w:hAnsi="Cambria Math" w:cs="Cambria Math"/>
          <w:sz w:val="24"/>
        </w:rPr>
        <w:t>∗</w:t>
      </w:r>
      <w:r w:rsidRPr="00C22AFC">
        <w:rPr>
          <w:rFonts w:ascii="Times New Roman" w:hAnsi="Times New Roman" w:cs="Times New Roman"/>
          <w:i/>
          <w:iCs/>
          <w:sz w:val="24"/>
        </w:rPr>
        <w:t>p</w:t>
      </w:r>
      <w:r w:rsidRPr="00C22AFC">
        <w:rPr>
          <w:rFonts w:ascii="Times New Roman" w:hAnsi="Times New Roman" w:cs="Times New Roman"/>
          <w:sz w:val="24"/>
        </w:rPr>
        <w:t xml:space="preserve">&lt;0.05, </w:t>
      </w:r>
      <w:r w:rsidRPr="00C22AFC">
        <w:rPr>
          <w:rFonts w:ascii="Cambria Math" w:hAnsi="Cambria Math" w:cs="Cambria Math"/>
          <w:sz w:val="24"/>
        </w:rPr>
        <w:t>∗∗</w:t>
      </w:r>
      <w:r w:rsidRPr="00C22AFC">
        <w:rPr>
          <w:rFonts w:ascii="Times New Roman" w:hAnsi="Times New Roman" w:cs="Times New Roman"/>
          <w:i/>
          <w:iCs/>
          <w:sz w:val="24"/>
        </w:rPr>
        <w:t>p</w:t>
      </w:r>
      <w:r w:rsidRPr="00C22AFC">
        <w:rPr>
          <w:rFonts w:ascii="Times New Roman" w:hAnsi="Times New Roman" w:cs="Times New Roman"/>
          <w:sz w:val="24"/>
        </w:rPr>
        <w:t xml:space="preserve">&lt;0.01, </w:t>
      </w:r>
      <w:r w:rsidRPr="00C22AFC">
        <w:rPr>
          <w:rFonts w:ascii="Cambria Math" w:hAnsi="Cambria Math" w:cs="Cambria Math"/>
          <w:sz w:val="24"/>
        </w:rPr>
        <w:t>∗∗∗</w:t>
      </w:r>
      <w:r w:rsidRPr="00C22AFC">
        <w:rPr>
          <w:rFonts w:ascii="Times New Roman" w:hAnsi="Times New Roman" w:cs="Times New Roman"/>
          <w:i/>
          <w:iCs/>
          <w:sz w:val="24"/>
        </w:rPr>
        <w:t>p</w:t>
      </w:r>
      <w:r w:rsidRPr="00C22AFC">
        <w:rPr>
          <w:rFonts w:ascii="Times New Roman" w:hAnsi="Times New Roman" w:cs="Times New Roman"/>
          <w:sz w:val="24"/>
        </w:rPr>
        <w:t>&lt;0.001.</w:t>
      </w:r>
    </w:p>
    <w:p w14:paraId="5A92C9A4" w14:textId="77777777" w:rsidR="008C774B" w:rsidRPr="00C271B9" w:rsidRDefault="008C774B" w:rsidP="008C774B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14:paraId="605B8433" w14:textId="77777777" w:rsidR="00CA541F" w:rsidRPr="008C774B" w:rsidRDefault="00CA541F"/>
    <w:sectPr w:rsidR="00CA541F" w:rsidRPr="008C774B" w:rsidSect="008C774B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4B"/>
    <w:rsid w:val="00014BBC"/>
    <w:rsid w:val="00034839"/>
    <w:rsid w:val="000678EA"/>
    <w:rsid w:val="000C033A"/>
    <w:rsid w:val="00107E56"/>
    <w:rsid w:val="001410FA"/>
    <w:rsid w:val="00167E7B"/>
    <w:rsid w:val="001953C1"/>
    <w:rsid w:val="001E22C0"/>
    <w:rsid w:val="002357B5"/>
    <w:rsid w:val="00253E28"/>
    <w:rsid w:val="0025517A"/>
    <w:rsid w:val="002A74B5"/>
    <w:rsid w:val="002B4767"/>
    <w:rsid w:val="002D2033"/>
    <w:rsid w:val="003F3249"/>
    <w:rsid w:val="004337B0"/>
    <w:rsid w:val="00453EDC"/>
    <w:rsid w:val="004640D0"/>
    <w:rsid w:val="00476D7E"/>
    <w:rsid w:val="004842AC"/>
    <w:rsid w:val="00487CFC"/>
    <w:rsid w:val="004A26D5"/>
    <w:rsid w:val="004A5687"/>
    <w:rsid w:val="004B6B59"/>
    <w:rsid w:val="004F1520"/>
    <w:rsid w:val="00500F13"/>
    <w:rsid w:val="00520ADF"/>
    <w:rsid w:val="0053209E"/>
    <w:rsid w:val="00646314"/>
    <w:rsid w:val="00676B46"/>
    <w:rsid w:val="006B4F90"/>
    <w:rsid w:val="006E428A"/>
    <w:rsid w:val="007437B6"/>
    <w:rsid w:val="00746B23"/>
    <w:rsid w:val="00781430"/>
    <w:rsid w:val="007F5C14"/>
    <w:rsid w:val="008C774B"/>
    <w:rsid w:val="00913CE5"/>
    <w:rsid w:val="00914E4C"/>
    <w:rsid w:val="00972938"/>
    <w:rsid w:val="00984BF5"/>
    <w:rsid w:val="00990A8D"/>
    <w:rsid w:val="00A30BAF"/>
    <w:rsid w:val="00A34F22"/>
    <w:rsid w:val="00A4676C"/>
    <w:rsid w:val="00A52324"/>
    <w:rsid w:val="00A74883"/>
    <w:rsid w:val="00AE38BB"/>
    <w:rsid w:val="00B2623B"/>
    <w:rsid w:val="00B70973"/>
    <w:rsid w:val="00BB181D"/>
    <w:rsid w:val="00BF0169"/>
    <w:rsid w:val="00C416ED"/>
    <w:rsid w:val="00C739EA"/>
    <w:rsid w:val="00CA541F"/>
    <w:rsid w:val="00CB21A5"/>
    <w:rsid w:val="00CD6165"/>
    <w:rsid w:val="00CE1BA1"/>
    <w:rsid w:val="00D22EB9"/>
    <w:rsid w:val="00D3154C"/>
    <w:rsid w:val="00D84A8F"/>
    <w:rsid w:val="00DD3DD2"/>
    <w:rsid w:val="00E16E43"/>
    <w:rsid w:val="00E32EEA"/>
    <w:rsid w:val="00ED3232"/>
    <w:rsid w:val="00F47F92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4E431"/>
  <w15:chartTrackingRefBased/>
  <w15:docId w15:val="{277D33AC-2531-5343-A298-51386878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7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4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7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7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7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7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7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7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774B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8C774B"/>
    <w:rPr>
      <w:b/>
      <w:bCs/>
    </w:rPr>
  </w:style>
  <w:style w:type="character" w:styleId="af">
    <w:name w:val="Emphasis"/>
    <w:basedOn w:val="a0"/>
    <w:uiPriority w:val="20"/>
    <w:qFormat/>
    <w:rsid w:val="008C774B"/>
    <w:rPr>
      <w:i/>
      <w:iCs/>
    </w:rPr>
  </w:style>
  <w:style w:type="character" w:customStyle="1" w:styleId="apple-converted-space">
    <w:name w:val="apple-converted-space"/>
    <w:basedOn w:val="a0"/>
    <w:rsid w:val="008C774B"/>
  </w:style>
  <w:style w:type="character" w:styleId="af0">
    <w:name w:val="line number"/>
    <w:basedOn w:val="a0"/>
    <w:uiPriority w:val="99"/>
    <w:semiHidden/>
    <w:unhideWhenUsed/>
    <w:rsid w:val="008C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Admin</dc:creator>
  <cp:keywords/>
  <dc:description/>
  <cp:lastModifiedBy>S Admin</cp:lastModifiedBy>
  <cp:revision>1</cp:revision>
  <dcterms:created xsi:type="dcterms:W3CDTF">2026-07-02T04:41:00Z</dcterms:created>
  <dcterms:modified xsi:type="dcterms:W3CDTF">2026-07-02T04:42:00Z</dcterms:modified>
</cp:coreProperties>
</file>