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7DC86" w14:textId="51AB7ED2" w:rsidR="00611F90" w:rsidRPr="003A63E9" w:rsidRDefault="001074E3" w:rsidP="001074E3">
      <w:pPr>
        <w:jc w:val="center"/>
        <w:rPr>
          <w:rFonts w:ascii="Arial" w:hAnsi="Arial" w:cs="Arial"/>
          <w:noProof/>
          <w:color w:val="000000" w:themeColor="text1"/>
          <w:sz w:val="22"/>
        </w:rPr>
      </w:pPr>
      <w:r>
        <w:rPr>
          <w:rFonts w:ascii="Arial" w:hAnsi="Arial" w:cs="Arial"/>
          <w:noProof/>
          <w:color w:val="000000" w:themeColor="text1"/>
          <w:sz w:val="22"/>
        </w:rPr>
        <w:t>S</w:t>
      </w:r>
      <w:r>
        <w:rPr>
          <w:rFonts w:ascii="Arial" w:hAnsi="Arial" w:cs="Arial" w:hint="eastAsia"/>
          <w:noProof/>
          <w:color w:val="000000" w:themeColor="text1"/>
          <w:sz w:val="22"/>
        </w:rPr>
        <w:t>upp</w:t>
      </w:r>
      <w:r>
        <w:rPr>
          <w:rFonts w:ascii="Arial" w:hAnsi="Arial" w:cs="Arial"/>
          <w:noProof/>
          <w:color w:val="000000" w:themeColor="text1"/>
          <w:sz w:val="22"/>
        </w:rPr>
        <w:t>lementary materials</w:t>
      </w:r>
    </w:p>
    <w:p w14:paraId="5EB3FAF6" w14:textId="77777777" w:rsidR="00611F90" w:rsidRPr="003A63E9" w:rsidRDefault="00611F90" w:rsidP="00611F90">
      <w:pPr>
        <w:rPr>
          <w:rFonts w:ascii="Arial" w:hAnsi="Arial" w:cs="Arial"/>
          <w:noProof/>
          <w:color w:val="000000" w:themeColor="text1"/>
          <w:sz w:val="22"/>
        </w:rPr>
      </w:pPr>
      <w:r w:rsidRPr="003A63E9">
        <w:rPr>
          <w:rFonts w:ascii="Arial" w:hAnsi="Arial" w:cs="Arial"/>
          <w:noProof/>
          <w:color w:val="000000" w:themeColor="text1"/>
          <w:sz w:val="22"/>
        </w:rPr>
        <w:drawing>
          <wp:inline distT="0" distB="0" distL="0" distR="0" wp14:anchorId="58D0C519" wp14:editId="1841EBAD">
            <wp:extent cx="5270420" cy="6672852"/>
            <wp:effectExtent l="0" t="0" r="698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6" cstate="print">
                      <a:extLst>
                        <a:ext uri="{28A0092B-C50C-407E-A947-70E740481C1C}">
                          <a14:useLocalDpi xmlns:a14="http://schemas.microsoft.com/office/drawing/2010/main" val="0"/>
                        </a:ext>
                      </a:extLst>
                    </a:blip>
                    <a:srcRect t="-72" b="-311"/>
                    <a:stretch/>
                  </pic:blipFill>
                  <pic:spPr bwMode="auto">
                    <a:xfrm>
                      <a:off x="0" y="0"/>
                      <a:ext cx="5271007" cy="6673596"/>
                    </a:xfrm>
                    <a:prstGeom prst="rect">
                      <a:avLst/>
                    </a:prstGeom>
                    <a:ln>
                      <a:noFill/>
                    </a:ln>
                    <a:extLst>
                      <a:ext uri="{53640926-AAD7-44D8-BBD7-CCE9431645EC}">
                        <a14:shadowObscured xmlns:a14="http://schemas.microsoft.com/office/drawing/2010/main"/>
                      </a:ext>
                    </a:extLst>
                  </pic:spPr>
                </pic:pic>
              </a:graphicData>
            </a:graphic>
          </wp:inline>
        </w:drawing>
      </w:r>
    </w:p>
    <w:p w14:paraId="20B36AF6" w14:textId="198469B1" w:rsidR="00611F90" w:rsidRPr="003A63E9" w:rsidRDefault="00E93486" w:rsidP="00611F90">
      <w:pPr>
        <w:rPr>
          <w:rFonts w:ascii="Arial" w:hAnsi="Arial" w:cs="Arial"/>
          <w:color w:val="000000" w:themeColor="text1"/>
          <w:sz w:val="22"/>
        </w:rPr>
      </w:pPr>
      <w:r w:rsidRPr="003A63E9">
        <w:rPr>
          <w:rFonts w:ascii="Arial" w:hAnsi="Arial" w:cs="Arial"/>
          <w:b/>
          <w:bCs/>
          <w:color w:val="000000" w:themeColor="text1"/>
          <w:sz w:val="22"/>
        </w:rPr>
        <w:t xml:space="preserve">Fig. S1 Representative </w:t>
      </w:r>
      <w:proofErr w:type="spellStart"/>
      <w:r w:rsidRPr="003A63E9">
        <w:rPr>
          <w:rFonts w:ascii="Arial" w:hAnsi="Arial" w:cs="Arial"/>
          <w:b/>
          <w:bCs/>
          <w:color w:val="000000" w:themeColor="text1"/>
          <w:sz w:val="22"/>
        </w:rPr>
        <w:t>pseudocolor</w:t>
      </w:r>
      <w:proofErr w:type="spellEnd"/>
      <w:r w:rsidRPr="003A63E9">
        <w:rPr>
          <w:rFonts w:ascii="Arial" w:hAnsi="Arial" w:cs="Arial"/>
          <w:b/>
          <w:bCs/>
          <w:color w:val="000000" w:themeColor="text1"/>
          <w:sz w:val="22"/>
        </w:rPr>
        <w:t xml:space="preserve"> plots showing gating strategy used to quantify percentages of positive cells. </w:t>
      </w:r>
      <w:r w:rsidRPr="003A63E9">
        <w:rPr>
          <w:rFonts w:ascii="Arial" w:hAnsi="Arial" w:cs="Arial"/>
          <w:color w:val="000000" w:themeColor="text1"/>
          <w:sz w:val="22"/>
        </w:rPr>
        <w:t>Dot plots and histograms showing the percentage of CD80</w:t>
      </w:r>
      <w:r w:rsidRPr="003A63E9">
        <w:rPr>
          <w:rFonts w:ascii="Arial" w:hAnsi="Arial" w:cs="Arial"/>
          <w:color w:val="000000" w:themeColor="text1"/>
          <w:sz w:val="22"/>
          <w:vertAlign w:val="superscript"/>
        </w:rPr>
        <w:t>+</w:t>
      </w:r>
      <w:r w:rsidRPr="003A63E9">
        <w:rPr>
          <w:rFonts w:ascii="Arial" w:hAnsi="Arial" w:cs="Arial"/>
          <w:color w:val="000000" w:themeColor="text1"/>
          <w:sz w:val="22"/>
        </w:rPr>
        <w:t>, CD86</w:t>
      </w:r>
      <w:r w:rsidRPr="003A63E9">
        <w:rPr>
          <w:rFonts w:ascii="Arial" w:hAnsi="Arial" w:cs="Arial"/>
          <w:color w:val="000000" w:themeColor="text1"/>
          <w:sz w:val="22"/>
          <w:vertAlign w:val="superscript"/>
        </w:rPr>
        <w:t>+</w:t>
      </w:r>
      <w:r w:rsidRPr="003A63E9">
        <w:rPr>
          <w:rFonts w:ascii="Arial" w:hAnsi="Arial" w:cs="Arial"/>
          <w:color w:val="000000" w:themeColor="text1"/>
          <w:sz w:val="22"/>
        </w:rPr>
        <w:t>, CD206</w:t>
      </w:r>
      <w:r w:rsidRPr="003A63E9">
        <w:rPr>
          <w:rFonts w:ascii="Arial" w:hAnsi="Arial" w:cs="Arial"/>
          <w:color w:val="000000" w:themeColor="text1"/>
          <w:sz w:val="22"/>
          <w:vertAlign w:val="superscript"/>
        </w:rPr>
        <w:t>+</w:t>
      </w:r>
      <w:r w:rsidRPr="003A63E9">
        <w:rPr>
          <w:rFonts w:ascii="Arial" w:hAnsi="Arial" w:cs="Arial"/>
          <w:color w:val="000000" w:themeColor="text1"/>
          <w:sz w:val="22"/>
        </w:rPr>
        <w:t>, CD209</w:t>
      </w:r>
      <w:r w:rsidRPr="003A63E9">
        <w:rPr>
          <w:rFonts w:ascii="Arial" w:hAnsi="Arial" w:cs="Arial"/>
          <w:color w:val="000000" w:themeColor="text1"/>
          <w:sz w:val="22"/>
          <w:vertAlign w:val="superscript"/>
        </w:rPr>
        <w:t>+</w:t>
      </w:r>
      <w:r w:rsidRPr="003A63E9">
        <w:rPr>
          <w:rFonts w:ascii="Arial" w:hAnsi="Arial" w:cs="Arial"/>
          <w:color w:val="000000" w:themeColor="text1"/>
          <w:sz w:val="22"/>
        </w:rPr>
        <w:t>, TGF-β</w:t>
      </w:r>
      <w:r w:rsidRPr="003A63E9">
        <w:rPr>
          <w:rFonts w:ascii="Arial" w:hAnsi="Arial" w:cs="Arial"/>
          <w:color w:val="000000" w:themeColor="text1"/>
          <w:sz w:val="22"/>
          <w:vertAlign w:val="superscript"/>
        </w:rPr>
        <w:t>+</w:t>
      </w:r>
      <w:r w:rsidRPr="003A63E9">
        <w:rPr>
          <w:rFonts w:ascii="Arial" w:hAnsi="Arial" w:cs="Arial"/>
          <w:color w:val="000000" w:themeColor="text1"/>
          <w:sz w:val="22"/>
        </w:rPr>
        <w:t xml:space="preserve"> and IFN-γ</w:t>
      </w:r>
      <w:r w:rsidRPr="003A63E9">
        <w:rPr>
          <w:rFonts w:ascii="Arial" w:hAnsi="Arial" w:cs="Arial"/>
          <w:color w:val="000000" w:themeColor="text1"/>
          <w:sz w:val="22"/>
          <w:vertAlign w:val="superscript"/>
        </w:rPr>
        <w:t>+</w:t>
      </w:r>
      <w:r w:rsidRPr="003A63E9">
        <w:rPr>
          <w:rFonts w:ascii="Arial" w:hAnsi="Arial" w:cs="Arial"/>
          <w:color w:val="000000" w:themeColor="text1"/>
          <w:sz w:val="22"/>
        </w:rPr>
        <w:t xml:space="preserve"> of CD45</w:t>
      </w:r>
      <w:r w:rsidRPr="003A63E9">
        <w:rPr>
          <w:rFonts w:ascii="Arial" w:hAnsi="Arial" w:cs="Arial"/>
          <w:color w:val="000000" w:themeColor="text1"/>
          <w:sz w:val="22"/>
          <w:vertAlign w:val="superscript"/>
        </w:rPr>
        <w:t>+</w:t>
      </w:r>
      <w:r w:rsidRPr="003A63E9">
        <w:rPr>
          <w:rFonts w:ascii="Arial" w:hAnsi="Arial" w:cs="Arial"/>
          <w:color w:val="000000" w:themeColor="text1"/>
          <w:sz w:val="22"/>
        </w:rPr>
        <w:t>F4/80</w:t>
      </w:r>
      <w:r w:rsidRPr="003A63E9">
        <w:rPr>
          <w:rFonts w:ascii="Arial" w:hAnsi="Arial" w:cs="Arial"/>
          <w:color w:val="000000" w:themeColor="text1"/>
          <w:sz w:val="22"/>
          <w:vertAlign w:val="superscript"/>
        </w:rPr>
        <w:t>+</w:t>
      </w:r>
      <w:r w:rsidRPr="003A63E9">
        <w:rPr>
          <w:rFonts w:ascii="Arial" w:hAnsi="Arial" w:cs="Arial"/>
          <w:color w:val="000000" w:themeColor="text1"/>
          <w:sz w:val="22"/>
        </w:rPr>
        <w:t>CD11/b</w:t>
      </w:r>
      <w:r w:rsidRPr="003A63E9">
        <w:rPr>
          <w:rFonts w:ascii="Arial" w:hAnsi="Arial" w:cs="Arial"/>
          <w:color w:val="000000" w:themeColor="text1"/>
          <w:sz w:val="22"/>
          <w:vertAlign w:val="superscript"/>
        </w:rPr>
        <w:t>+</w:t>
      </w:r>
      <w:r w:rsidRPr="003A63E9">
        <w:rPr>
          <w:rFonts w:ascii="Arial" w:hAnsi="Arial" w:cs="Arial"/>
          <w:color w:val="000000" w:themeColor="text1"/>
          <w:sz w:val="22"/>
        </w:rPr>
        <w:t xml:space="preserve"> </w:t>
      </w:r>
      <w:proofErr w:type="spellStart"/>
      <w:r w:rsidRPr="003A63E9">
        <w:rPr>
          <w:rFonts w:ascii="Arial" w:hAnsi="Arial" w:cs="Arial"/>
          <w:color w:val="000000" w:themeColor="text1"/>
          <w:sz w:val="22"/>
        </w:rPr>
        <w:t>uMΦs</w:t>
      </w:r>
      <w:proofErr w:type="spellEnd"/>
      <w:r w:rsidRPr="003A63E9">
        <w:rPr>
          <w:rFonts w:ascii="Arial" w:hAnsi="Arial" w:cs="Arial"/>
          <w:color w:val="000000" w:themeColor="text1"/>
          <w:sz w:val="22"/>
        </w:rPr>
        <w:t xml:space="preserve"> from WT and IL-33</w:t>
      </w:r>
      <w:r w:rsidRPr="003A63E9">
        <w:rPr>
          <w:rFonts w:ascii="Arial" w:hAnsi="Arial" w:cs="Arial"/>
          <w:color w:val="000000" w:themeColor="text1"/>
          <w:sz w:val="22"/>
          <w:vertAlign w:val="superscript"/>
        </w:rPr>
        <w:t>-/-</w:t>
      </w:r>
      <w:r w:rsidRPr="003A63E9">
        <w:rPr>
          <w:rFonts w:ascii="Arial" w:hAnsi="Arial" w:cs="Arial"/>
          <w:color w:val="000000" w:themeColor="text1"/>
          <w:sz w:val="22"/>
        </w:rPr>
        <w:t xml:space="preserve"> pregnant mice of G7.5 days (A) and G14.5 days(B) detected by flow cytometry. (C)Dot plots and histograms showing the expression of CD80, CD86, CD206, CD209, TGF-β, IFN-γ of CD45</w:t>
      </w:r>
      <w:r w:rsidRPr="003A63E9">
        <w:rPr>
          <w:rFonts w:ascii="Arial" w:hAnsi="Arial" w:cs="Arial"/>
          <w:color w:val="000000" w:themeColor="text1"/>
          <w:sz w:val="22"/>
          <w:vertAlign w:val="superscript"/>
        </w:rPr>
        <w:t>+</w:t>
      </w:r>
      <w:r w:rsidRPr="003A63E9">
        <w:rPr>
          <w:rFonts w:ascii="Arial" w:hAnsi="Arial" w:cs="Arial"/>
          <w:color w:val="000000" w:themeColor="text1"/>
          <w:sz w:val="22"/>
        </w:rPr>
        <w:t>F4/80</w:t>
      </w:r>
      <w:r w:rsidRPr="003A63E9">
        <w:rPr>
          <w:rFonts w:ascii="Arial" w:hAnsi="Arial" w:cs="Arial"/>
          <w:color w:val="000000" w:themeColor="text1"/>
          <w:sz w:val="22"/>
          <w:vertAlign w:val="superscript"/>
        </w:rPr>
        <w:t>+</w:t>
      </w:r>
      <w:r w:rsidRPr="003A63E9">
        <w:rPr>
          <w:rFonts w:ascii="Arial" w:hAnsi="Arial" w:cs="Arial"/>
          <w:color w:val="000000" w:themeColor="text1"/>
          <w:sz w:val="22"/>
        </w:rPr>
        <w:t>CD11/b</w:t>
      </w:r>
      <w:r w:rsidRPr="003A63E9">
        <w:rPr>
          <w:rFonts w:ascii="Arial" w:hAnsi="Arial" w:cs="Arial"/>
          <w:color w:val="000000" w:themeColor="text1"/>
          <w:sz w:val="22"/>
          <w:vertAlign w:val="superscript"/>
        </w:rPr>
        <w:t>+</w:t>
      </w:r>
      <w:r w:rsidRPr="003A63E9">
        <w:rPr>
          <w:rFonts w:ascii="Arial" w:hAnsi="Arial" w:cs="Arial"/>
          <w:color w:val="000000" w:themeColor="text1"/>
          <w:sz w:val="22"/>
        </w:rPr>
        <w:t xml:space="preserve"> </w:t>
      </w:r>
      <w:proofErr w:type="spellStart"/>
      <w:r w:rsidRPr="003A63E9">
        <w:rPr>
          <w:rFonts w:ascii="Arial" w:hAnsi="Arial" w:cs="Arial"/>
          <w:color w:val="000000" w:themeColor="text1"/>
          <w:sz w:val="22"/>
        </w:rPr>
        <w:t>uMΦs</w:t>
      </w:r>
      <w:proofErr w:type="spellEnd"/>
      <w:r w:rsidRPr="003A63E9">
        <w:rPr>
          <w:rFonts w:ascii="Arial" w:hAnsi="Arial" w:cs="Arial"/>
          <w:color w:val="000000" w:themeColor="text1"/>
          <w:sz w:val="22"/>
        </w:rPr>
        <w:t xml:space="preserve"> from IL-33</w:t>
      </w:r>
      <w:r w:rsidRPr="003A63E9">
        <w:rPr>
          <w:rFonts w:ascii="Arial" w:hAnsi="Arial" w:cs="Arial"/>
          <w:color w:val="000000" w:themeColor="text1"/>
          <w:sz w:val="22"/>
          <w:vertAlign w:val="superscript"/>
        </w:rPr>
        <w:t>-/-</w:t>
      </w:r>
      <w:r w:rsidRPr="003A63E9">
        <w:rPr>
          <w:rFonts w:ascii="Arial" w:hAnsi="Arial" w:cs="Arial"/>
          <w:color w:val="000000" w:themeColor="text1"/>
          <w:sz w:val="22"/>
        </w:rPr>
        <w:t xml:space="preserve"> pregnant mice with or without exogenous peritoneal injection of IL-33 on G14.5 days. Each experiment was performed at least three times. </w:t>
      </w:r>
    </w:p>
    <w:p w14:paraId="1E1B1000" w14:textId="77777777" w:rsidR="00611F90" w:rsidRPr="003A63E9" w:rsidRDefault="00611F90" w:rsidP="00611F90">
      <w:pPr>
        <w:rPr>
          <w:rFonts w:ascii="Arial" w:hAnsi="Arial" w:cs="Arial"/>
          <w:color w:val="000000" w:themeColor="text1"/>
          <w:sz w:val="22"/>
        </w:rPr>
      </w:pPr>
      <w:r w:rsidRPr="003A63E9">
        <w:rPr>
          <w:rFonts w:ascii="Arial" w:hAnsi="Arial" w:cs="Arial"/>
          <w:noProof/>
          <w:color w:val="000000" w:themeColor="text1"/>
          <w:sz w:val="22"/>
        </w:rPr>
        <w:lastRenderedPageBreak/>
        <w:drawing>
          <wp:inline distT="0" distB="0" distL="0" distR="0" wp14:anchorId="3FDDEC00" wp14:editId="79BBD941">
            <wp:extent cx="5311362" cy="4996543"/>
            <wp:effectExtent l="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7" cstate="print">
                      <a:extLst>
                        <a:ext uri="{28A0092B-C50C-407E-A947-70E740481C1C}">
                          <a14:useLocalDpi xmlns:a14="http://schemas.microsoft.com/office/drawing/2010/main" val="0"/>
                        </a:ext>
                      </a:extLst>
                    </a:blip>
                    <a:srcRect t="-60" b="333"/>
                    <a:stretch/>
                  </pic:blipFill>
                  <pic:spPr bwMode="auto">
                    <a:xfrm>
                      <a:off x="0" y="0"/>
                      <a:ext cx="5312333" cy="4997457"/>
                    </a:xfrm>
                    <a:prstGeom prst="rect">
                      <a:avLst/>
                    </a:prstGeom>
                    <a:ln>
                      <a:noFill/>
                    </a:ln>
                    <a:extLst>
                      <a:ext uri="{53640926-AAD7-44D8-BBD7-CCE9431645EC}">
                        <a14:shadowObscured xmlns:a14="http://schemas.microsoft.com/office/drawing/2010/main"/>
                      </a:ext>
                    </a:extLst>
                  </pic:spPr>
                </pic:pic>
              </a:graphicData>
            </a:graphic>
          </wp:inline>
        </w:drawing>
      </w:r>
    </w:p>
    <w:p w14:paraId="5EB4189F" w14:textId="0B6693E9" w:rsidR="00611F90" w:rsidRPr="003A63E9" w:rsidRDefault="00527719" w:rsidP="00611F90">
      <w:pPr>
        <w:rPr>
          <w:rFonts w:ascii="Arial" w:hAnsi="Arial" w:cs="Arial"/>
          <w:color w:val="000000" w:themeColor="text1"/>
          <w:sz w:val="22"/>
        </w:rPr>
      </w:pPr>
      <w:r w:rsidRPr="003A63E9">
        <w:rPr>
          <w:rFonts w:ascii="Arial" w:hAnsi="Arial" w:cs="Arial"/>
          <w:b/>
          <w:bCs/>
          <w:color w:val="000000" w:themeColor="text1"/>
          <w:sz w:val="22"/>
        </w:rPr>
        <w:t xml:space="preserve">Fig.S2 IL-33 suppresses efferocytosis by down-regulating the expression of efferocytosis-related receptor AXL in THP-1 cell line. </w:t>
      </w:r>
      <w:r w:rsidRPr="003A63E9">
        <w:rPr>
          <w:rFonts w:ascii="Arial" w:hAnsi="Arial" w:cs="Arial"/>
          <w:color w:val="000000" w:themeColor="text1"/>
          <w:sz w:val="22"/>
        </w:rPr>
        <w:t xml:space="preserve">(A) The transfection efficiency of THP-1 cell line transfected with overexpressing-ST2 lentivirus (ST2-OE) and negative control lentivirus (NC). (B) The expression of ST2 protein in the NC and ST2-OE group. (C) The volcano map of differential genes between ST2-OE THP-1 treated with IL-33 (2ng/ml,48h) and NC with the usage of RNA-seq analysis.  (D)The results of RNA-seq were confirmed through </w:t>
      </w:r>
      <w:proofErr w:type="spellStart"/>
      <w:r w:rsidRPr="003A63E9">
        <w:rPr>
          <w:rFonts w:ascii="Arial" w:hAnsi="Arial" w:cs="Arial"/>
          <w:color w:val="000000" w:themeColor="text1"/>
          <w:sz w:val="22"/>
        </w:rPr>
        <w:t>qRT</w:t>
      </w:r>
      <w:proofErr w:type="spellEnd"/>
      <w:r w:rsidRPr="003A63E9">
        <w:rPr>
          <w:rFonts w:ascii="Arial" w:hAnsi="Arial" w:cs="Arial"/>
          <w:color w:val="000000" w:themeColor="text1"/>
          <w:sz w:val="22"/>
        </w:rPr>
        <w:t>-PCR. (E)The impact of IL-33 (2ng/ml,48h) and sST2 (200ng/ml,48h) on the expression of AXL at the surface of THP-1. (F) The influence of IL-33 (2ng/ml,48h) and sST2 (200ng/ml,48h) on the efferocytosis efficiency of THP-1. (G) The effect of GAS6 (50ng/ml, 100ng/ml, 2h) on the efferocytosis of THP-1. Each experiment was performed at least three times. The data were demonstrated as mean ± SD. *P &lt; 0.05, ** P &lt; 0.01, ***P &lt; 0.001, **** P &lt; 0.0001, ns: no statistically significant difference.</w:t>
      </w:r>
    </w:p>
    <w:p w14:paraId="3E21721D" w14:textId="77777777" w:rsidR="00611F90" w:rsidRPr="003A63E9" w:rsidRDefault="00611F90" w:rsidP="00611F90">
      <w:pPr>
        <w:rPr>
          <w:rFonts w:ascii="Arial" w:hAnsi="Arial" w:cs="Arial"/>
          <w:color w:val="000000" w:themeColor="text1"/>
          <w:sz w:val="22"/>
        </w:rPr>
      </w:pPr>
      <w:r w:rsidRPr="003A63E9">
        <w:rPr>
          <w:rFonts w:ascii="Arial" w:hAnsi="Arial" w:cs="Arial"/>
          <w:noProof/>
          <w:color w:val="000000" w:themeColor="text1"/>
          <w:sz w:val="22"/>
        </w:rPr>
        <w:lastRenderedPageBreak/>
        <w:drawing>
          <wp:inline distT="0" distB="0" distL="0" distR="0" wp14:anchorId="6790CA63" wp14:editId="3F19D334">
            <wp:extent cx="5230586" cy="7350239"/>
            <wp:effectExtent l="0" t="0" r="825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3958" cy="7354978"/>
                    </a:xfrm>
                    <a:prstGeom prst="rect">
                      <a:avLst/>
                    </a:prstGeom>
                  </pic:spPr>
                </pic:pic>
              </a:graphicData>
            </a:graphic>
          </wp:inline>
        </w:drawing>
      </w:r>
    </w:p>
    <w:p w14:paraId="2423A106" w14:textId="6EFB86E8" w:rsidR="00611F90" w:rsidRPr="003A63E9" w:rsidRDefault="00994885" w:rsidP="00611F90">
      <w:pPr>
        <w:rPr>
          <w:rFonts w:ascii="Arial" w:hAnsi="Arial" w:cs="Arial"/>
          <w:color w:val="000000" w:themeColor="text1"/>
          <w:sz w:val="22"/>
        </w:rPr>
      </w:pPr>
      <w:r w:rsidRPr="003A63E9">
        <w:rPr>
          <w:rFonts w:ascii="Arial" w:hAnsi="Arial" w:cs="Arial"/>
          <w:b/>
          <w:bCs/>
          <w:color w:val="000000" w:themeColor="text1"/>
          <w:sz w:val="22"/>
        </w:rPr>
        <w:t xml:space="preserve">Fig.S3 IL-33/ST2 axis inhibited AXL expression via activating PI3K-AKT and ERK1/2 signaling pathways in THP-1. </w:t>
      </w:r>
      <w:r w:rsidRPr="003A63E9">
        <w:rPr>
          <w:rFonts w:ascii="Arial" w:hAnsi="Arial" w:cs="Arial"/>
          <w:color w:val="000000" w:themeColor="text1"/>
          <w:sz w:val="22"/>
        </w:rPr>
        <w:t xml:space="preserve">(A) Western blot (WB) detected the phosphorylation levels of related molecules involved in these signaling pathways. (B) The statistical results of WB. The influence of different inhibitors on the AXL expression (C) and efferocytosis ability (D) of THP-1. Immunofluorescent analysis was performed with anti-p-AKT(E), anti-p-ERK(F)and anti-F4/80 antibody by fluorescent microscope </w:t>
      </w:r>
      <w:r w:rsidRPr="003A63E9">
        <w:rPr>
          <w:rFonts w:ascii="Arial" w:hAnsi="Arial" w:cs="Arial"/>
          <w:color w:val="000000" w:themeColor="text1"/>
          <w:sz w:val="22"/>
        </w:rPr>
        <w:lastRenderedPageBreak/>
        <w:t xml:space="preserve">at the maternal-fetal interface of WT or IL-33-/- pregnant mice. Green, p-AKT or p-ERK; red, F4/80; blue, DAPI. THP-1 cells were cocultured with these inhibitors for 24h, and during the following 48h, 2ng/ml IL-33 was added in the presence of inhibitors. (G)The oxidative phosphorylation (OXPHOS) level of </w:t>
      </w:r>
      <w:proofErr w:type="spellStart"/>
      <w:r w:rsidRPr="003A63E9">
        <w:rPr>
          <w:rFonts w:ascii="Arial" w:hAnsi="Arial" w:cs="Arial"/>
          <w:color w:val="000000" w:themeColor="text1"/>
          <w:sz w:val="22"/>
        </w:rPr>
        <w:t>dMΦs</w:t>
      </w:r>
      <w:proofErr w:type="spellEnd"/>
      <w:r w:rsidRPr="003A63E9">
        <w:rPr>
          <w:rFonts w:ascii="Arial" w:hAnsi="Arial" w:cs="Arial"/>
          <w:color w:val="000000" w:themeColor="text1"/>
          <w:sz w:val="22"/>
        </w:rPr>
        <w:t xml:space="preserve"> efferocytosis metabolism after cells were treated with either PI3K inhibitor or AKT inhibitor or ERK inhibitor for 24 h. (H) The glycolysis level of efferocytosis metabolism after cells were treated with either PI3K inhibitor or AKT inhibitor or ERK inhibitor for 24 h. (I) The PPI network of differentially expressed genes was constructed using STRING database. Each experiment was performed at least three times. The data were represented as mean ± SD after analysis with unpaired t test. *P &lt; 0.05, ** P &lt; 0.01, ***P &lt; 0.001, **** P &lt; 0.0001, ns: no statistically significant difference.</w:t>
      </w:r>
    </w:p>
    <w:p w14:paraId="05E51888" w14:textId="77777777" w:rsidR="00611F90" w:rsidRPr="003A63E9" w:rsidRDefault="00611F90" w:rsidP="00611F90">
      <w:pPr>
        <w:rPr>
          <w:rFonts w:ascii="Arial" w:hAnsi="Arial" w:cs="Arial"/>
          <w:color w:val="000000" w:themeColor="text1"/>
          <w:sz w:val="22"/>
        </w:rPr>
      </w:pPr>
    </w:p>
    <w:p w14:paraId="40EAD978" w14:textId="42736658" w:rsidR="00611F90" w:rsidRPr="003A63E9" w:rsidRDefault="00611F90" w:rsidP="00611F90">
      <w:pPr>
        <w:rPr>
          <w:rFonts w:ascii="Arial" w:hAnsi="Arial" w:cs="Arial"/>
          <w:b/>
          <w:bCs/>
          <w:color w:val="000000" w:themeColor="text1"/>
          <w:sz w:val="22"/>
        </w:rPr>
      </w:pPr>
    </w:p>
    <w:p w14:paraId="779AD32C" w14:textId="77777777" w:rsidR="00EF31B6" w:rsidRPr="003A63E9" w:rsidRDefault="00EF31B6" w:rsidP="00EF31B6">
      <w:pPr>
        <w:rPr>
          <w:rFonts w:ascii="Arial" w:hAnsi="Arial" w:cs="Arial"/>
          <w:b/>
          <w:bCs/>
          <w:color w:val="000000" w:themeColor="text1"/>
          <w:sz w:val="22"/>
        </w:rPr>
      </w:pPr>
      <w:r w:rsidRPr="003A63E9">
        <w:rPr>
          <w:rFonts w:ascii="Arial" w:hAnsi="Arial" w:cs="Arial"/>
          <w:b/>
          <w:bCs/>
          <w:noProof/>
          <w:color w:val="000000" w:themeColor="text1"/>
          <w:sz w:val="22"/>
        </w:rPr>
        <w:drawing>
          <wp:inline distT="0" distB="0" distL="0" distR="0" wp14:anchorId="7D32C4F1" wp14:editId="1FBA5294">
            <wp:extent cx="5194144" cy="4681219"/>
            <wp:effectExtent l="0" t="0" r="698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94144" cy="4681219"/>
                    </a:xfrm>
                    <a:prstGeom prst="rect">
                      <a:avLst/>
                    </a:prstGeom>
                  </pic:spPr>
                </pic:pic>
              </a:graphicData>
            </a:graphic>
          </wp:inline>
        </w:drawing>
      </w:r>
    </w:p>
    <w:p w14:paraId="09A43FDD" w14:textId="74A07709" w:rsidR="00EF31B6" w:rsidRPr="003A63E9" w:rsidRDefault="00EF31B6" w:rsidP="00EF31B6">
      <w:pPr>
        <w:rPr>
          <w:rFonts w:ascii="Arial" w:hAnsi="Arial" w:cs="Arial"/>
          <w:color w:val="000000" w:themeColor="text1"/>
          <w:sz w:val="22"/>
        </w:rPr>
      </w:pPr>
      <w:r w:rsidRPr="003A63E9">
        <w:rPr>
          <w:rFonts w:ascii="Arial" w:hAnsi="Arial" w:cs="Arial"/>
          <w:b/>
          <w:bCs/>
          <w:color w:val="000000" w:themeColor="text1"/>
          <w:sz w:val="22"/>
        </w:rPr>
        <w:t>Fig. S4 Schematic highlighting the role of IL-33/ST2-AXL-efferocytosis in maintaining the homeostasis at the maternal-fetal interface.</w:t>
      </w:r>
      <w:r w:rsidRPr="003A63E9">
        <w:rPr>
          <w:rFonts w:ascii="Arial" w:hAnsi="Arial" w:cs="Arial"/>
          <w:color w:val="000000" w:themeColor="text1"/>
          <w:sz w:val="22"/>
        </w:rPr>
        <w:t xml:space="preserve"> Under normal circumstances, IL-33/ST2 axis activated the ERK/2 and PI3K/AKT signal transduction pathway to inhibit the expression of AXL, thereby inhibited the redundant efferocytosis ability to ensure a certain number of apoptotic cells at the maternal-fetal interface. In addition, the activation of IL-33/ST2 was able to polarize </w:t>
      </w:r>
      <w:proofErr w:type="spellStart"/>
      <w:r w:rsidRPr="003A63E9">
        <w:rPr>
          <w:rFonts w:ascii="Arial" w:hAnsi="Arial" w:cs="Arial"/>
          <w:color w:val="000000" w:themeColor="text1"/>
          <w:sz w:val="22"/>
        </w:rPr>
        <w:t>dMΦs</w:t>
      </w:r>
      <w:proofErr w:type="spellEnd"/>
      <w:r w:rsidRPr="003A63E9">
        <w:rPr>
          <w:rFonts w:ascii="Arial" w:hAnsi="Arial" w:cs="Arial"/>
          <w:color w:val="000000" w:themeColor="text1"/>
          <w:sz w:val="22"/>
        </w:rPr>
        <w:t xml:space="preserve"> towards M2 phenotype and bias efferocytosis metabolism towards glycolysis. After efferocytosis, the </w:t>
      </w:r>
      <w:r w:rsidRPr="003A63E9">
        <w:rPr>
          <w:rFonts w:ascii="Arial" w:hAnsi="Arial" w:cs="Arial"/>
          <w:color w:val="000000" w:themeColor="text1"/>
          <w:sz w:val="22"/>
        </w:rPr>
        <w:lastRenderedPageBreak/>
        <w:t xml:space="preserve">phenotype of </w:t>
      </w:r>
      <w:proofErr w:type="spellStart"/>
      <w:r w:rsidRPr="003A63E9">
        <w:rPr>
          <w:rFonts w:ascii="Arial" w:hAnsi="Arial" w:cs="Arial"/>
          <w:color w:val="000000" w:themeColor="text1"/>
          <w:sz w:val="22"/>
        </w:rPr>
        <w:t>dMΦs</w:t>
      </w:r>
      <w:proofErr w:type="spellEnd"/>
      <w:r w:rsidRPr="003A63E9">
        <w:rPr>
          <w:rFonts w:ascii="Arial" w:hAnsi="Arial" w:cs="Arial"/>
          <w:color w:val="000000" w:themeColor="text1"/>
          <w:sz w:val="22"/>
        </w:rPr>
        <w:t xml:space="preserve"> remain tolerant, contributing to maintaining the normal progress of pregnancy. In the R</w:t>
      </w:r>
      <w:r w:rsidR="00FF6513" w:rsidRPr="003A63E9">
        <w:rPr>
          <w:rFonts w:ascii="Arial" w:hAnsi="Arial" w:cs="Arial"/>
          <w:color w:val="000000" w:themeColor="text1"/>
          <w:sz w:val="22"/>
        </w:rPr>
        <w:t>PL</w:t>
      </w:r>
      <w:r w:rsidRPr="003A63E9">
        <w:rPr>
          <w:rFonts w:ascii="Arial" w:hAnsi="Arial" w:cs="Arial"/>
          <w:color w:val="000000" w:themeColor="text1"/>
          <w:sz w:val="22"/>
        </w:rPr>
        <w:t xml:space="preserve"> patients, the IL-33/ST2 axis was disturbed, the number of apoptotic cells increased, and the efferocytosis function of decidual macrophages was secondarily enhanced. The </w:t>
      </w:r>
      <w:proofErr w:type="spellStart"/>
      <w:r w:rsidRPr="003A63E9">
        <w:rPr>
          <w:rFonts w:ascii="Arial" w:hAnsi="Arial" w:cs="Arial"/>
          <w:color w:val="000000" w:themeColor="text1"/>
          <w:sz w:val="22"/>
        </w:rPr>
        <w:t>dMΦs</w:t>
      </w:r>
      <w:proofErr w:type="spellEnd"/>
      <w:r w:rsidRPr="003A63E9">
        <w:rPr>
          <w:rFonts w:ascii="Arial" w:hAnsi="Arial" w:cs="Arial"/>
          <w:color w:val="000000" w:themeColor="text1"/>
          <w:sz w:val="22"/>
        </w:rPr>
        <w:t xml:space="preserve"> swallowing too many apoptotic cells secreted more sST2 and less TGF-β, which polarized </w:t>
      </w:r>
      <w:proofErr w:type="spellStart"/>
      <w:r w:rsidRPr="003A63E9">
        <w:rPr>
          <w:rFonts w:ascii="Arial" w:hAnsi="Arial" w:cs="Arial"/>
          <w:color w:val="000000" w:themeColor="text1"/>
          <w:sz w:val="22"/>
        </w:rPr>
        <w:t>dMΦs</w:t>
      </w:r>
      <w:proofErr w:type="spellEnd"/>
      <w:r w:rsidRPr="003A63E9">
        <w:rPr>
          <w:rFonts w:ascii="Arial" w:hAnsi="Arial" w:cs="Arial"/>
          <w:color w:val="000000" w:themeColor="text1"/>
          <w:sz w:val="22"/>
        </w:rPr>
        <w:t xml:space="preserve"> towards M1 phenotype. Moreover, the elevated sST2 biased the efferocytosis metabolism of R</w:t>
      </w:r>
      <w:r w:rsidR="00FF6513" w:rsidRPr="003A63E9">
        <w:rPr>
          <w:rFonts w:ascii="Arial" w:hAnsi="Arial" w:cs="Arial"/>
          <w:color w:val="000000" w:themeColor="text1"/>
          <w:sz w:val="22"/>
        </w:rPr>
        <w:t>PL</w:t>
      </w:r>
      <w:r w:rsidRPr="003A63E9">
        <w:rPr>
          <w:rFonts w:ascii="Arial" w:hAnsi="Arial" w:cs="Arial"/>
          <w:color w:val="000000" w:themeColor="text1"/>
          <w:sz w:val="22"/>
        </w:rPr>
        <w:t xml:space="preserve"> </w:t>
      </w:r>
      <w:proofErr w:type="spellStart"/>
      <w:r w:rsidRPr="003A63E9">
        <w:rPr>
          <w:rFonts w:ascii="Arial" w:hAnsi="Arial" w:cs="Arial"/>
          <w:color w:val="000000" w:themeColor="text1"/>
          <w:sz w:val="22"/>
        </w:rPr>
        <w:t>dMΦs</w:t>
      </w:r>
      <w:proofErr w:type="spellEnd"/>
      <w:r w:rsidRPr="003A63E9">
        <w:rPr>
          <w:rFonts w:ascii="Arial" w:hAnsi="Arial" w:cs="Arial"/>
          <w:color w:val="000000" w:themeColor="text1"/>
          <w:sz w:val="22"/>
        </w:rPr>
        <w:t xml:space="preserve"> towards oxidative phosphorylation and exacerbated the disruption of IL-33/ST2 signaling pathway. The metabolic disorders also led to the dysfunction of efferocytosis, resulting in more uncleared apoptotic cells and the secondary necrosis occurred. This positive feedback of IL-33/ST2-AXL-efferocytosis led to pregnancy failure. In vivo, the IL-33</w:t>
      </w:r>
      <w:r w:rsidRPr="003A63E9">
        <w:rPr>
          <w:rFonts w:ascii="Arial" w:hAnsi="Arial" w:cs="Arial"/>
          <w:color w:val="000000" w:themeColor="text1"/>
          <w:sz w:val="22"/>
          <w:vertAlign w:val="superscript"/>
        </w:rPr>
        <w:t>-/-</w:t>
      </w:r>
      <w:r w:rsidRPr="003A63E9">
        <w:rPr>
          <w:rFonts w:ascii="Arial" w:hAnsi="Arial" w:cs="Arial"/>
          <w:color w:val="000000" w:themeColor="text1"/>
          <w:sz w:val="22"/>
        </w:rPr>
        <w:t xml:space="preserve"> pregnant mice demonstrated poor pregnancy outcomes, and exogenous supplementation of IL-33</w:t>
      </w:r>
      <w:r w:rsidRPr="003A63E9">
        <w:rPr>
          <w:rFonts w:ascii="Arial" w:hAnsi="Arial" w:cs="Arial"/>
          <w:color w:val="000000" w:themeColor="text1"/>
          <w:sz w:val="22"/>
          <w:vertAlign w:val="superscript"/>
        </w:rPr>
        <w:t xml:space="preserve">-/- </w:t>
      </w:r>
      <w:r w:rsidRPr="003A63E9">
        <w:rPr>
          <w:rFonts w:ascii="Arial" w:hAnsi="Arial" w:cs="Arial"/>
          <w:color w:val="000000" w:themeColor="text1"/>
          <w:sz w:val="22"/>
        </w:rPr>
        <w:t>pregnant mice with IL-33 could partially alleviate the fate of embryo losses. (The solid arrows represent the verified conclusions in this article. The dotted arrows represent untested in this article but well-accepted conclusions.)</w:t>
      </w:r>
    </w:p>
    <w:p w14:paraId="4C45C1F3" w14:textId="77777777" w:rsidR="00611F90" w:rsidRPr="003A63E9" w:rsidRDefault="00611F90" w:rsidP="00611F90">
      <w:pPr>
        <w:rPr>
          <w:rFonts w:ascii="Arial" w:hAnsi="Arial" w:cs="Arial"/>
          <w:color w:val="000000" w:themeColor="text1"/>
          <w:sz w:val="22"/>
        </w:rPr>
      </w:pPr>
    </w:p>
    <w:p w14:paraId="2B2E6E15" w14:textId="77777777" w:rsidR="00611F90" w:rsidRPr="003A63E9" w:rsidRDefault="00611F90" w:rsidP="00611F90">
      <w:pPr>
        <w:rPr>
          <w:rFonts w:ascii="Arial" w:hAnsi="Arial" w:cs="Arial"/>
          <w:b/>
          <w:bCs/>
          <w:color w:val="000000" w:themeColor="text1"/>
          <w:sz w:val="22"/>
        </w:rPr>
      </w:pPr>
      <w:r w:rsidRPr="003A63E9">
        <w:rPr>
          <w:rFonts w:ascii="Arial" w:hAnsi="Arial" w:cs="Arial"/>
          <w:b/>
          <w:bCs/>
          <w:color w:val="000000" w:themeColor="text1"/>
          <w:sz w:val="22"/>
        </w:rPr>
        <w:t>S</w:t>
      </w:r>
      <w:r w:rsidRPr="003A63E9">
        <w:rPr>
          <w:rFonts w:ascii="Arial" w:hAnsi="Arial" w:cs="Arial" w:hint="eastAsia"/>
          <w:b/>
          <w:bCs/>
          <w:color w:val="000000" w:themeColor="text1"/>
          <w:sz w:val="22"/>
        </w:rPr>
        <w:t>u</w:t>
      </w:r>
      <w:r w:rsidRPr="003A63E9">
        <w:rPr>
          <w:rFonts w:ascii="Arial" w:hAnsi="Arial" w:cs="Arial"/>
          <w:b/>
          <w:bCs/>
          <w:color w:val="000000" w:themeColor="text1"/>
          <w:sz w:val="22"/>
        </w:rPr>
        <w:t>pplementary Table 1. Primers used for real-time PCR</w:t>
      </w:r>
    </w:p>
    <w:tbl>
      <w:tblPr>
        <w:tblStyle w:val="aa"/>
        <w:tblW w:w="8931" w:type="dxa"/>
        <w:tblInd w:w="-142" w:type="dxa"/>
        <w:tblBorders>
          <w:top w:val="single" w:sz="18" w:space="0" w:color="auto"/>
          <w:bottom w:val="single" w:sz="18" w:space="0" w:color="auto"/>
        </w:tblBorders>
        <w:tblLayout w:type="fixed"/>
        <w:tblLook w:val="04A0" w:firstRow="1" w:lastRow="0" w:firstColumn="1" w:lastColumn="0" w:noHBand="0" w:noVBand="1"/>
      </w:tblPr>
      <w:tblGrid>
        <w:gridCol w:w="2127"/>
        <w:gridCol w:w="6804"/>
      </w:tblGrid>
      <w:tr w:rsidR="003A63E9" w:rsidRPr="003A63E9" w14:paraId="1840C444" w14:textId="77777777" w:rsidTr="003E566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tcBorders>
              <w:top w:val="single" w:sz="18" w:space="0" w:color="auto"/>
              <w:bottom w:val="single" w:sz="18" w:space="0" w:color="auto"/>
            </w:tcBorders>
            <w:shd w:val="clear" w:color="auto" w:fill="auto"/>
          </w:tcPr>
          <w:p w14:paraId="2F41D733" w14:textId="77777777" w:rsidR="00611F90" w:rsidRPr="003A63E9" w:rsidRDefault="00611F90" w:rsidP="003E5660">
            <w:pPr>
              <w:spacing w:line="480" w:lineRule="auto"/>
              <w:ind w:left="240" w:right="240" w:firstLineChars="200" w:firstLine="442"/>
              <w:jc w:val="left"/>
              <w:rPr>
                <w:rFonts w:ascii="Arial" w:eastAsia="宋体" w:hAnsi="Arial" w:cs="Arial"/>
                <w:color w:val="000000" w:themeColor="text1"/>
                <w:sz w:val="22"/>
              </w:rPr>
            </w:pPr>
            <w:r w:rsidRPr="003A63E9">
              <w:rPr>
                <w:rFonts w:ascii="Arial" w:eastAsia="宋体" w:hAnsi="Arial" w:cs="Arial"/>
                <w:color w:val="000000" w:themeColor="text1"/>
                <w:sz w:val="22"/>
              </w:rPr>
              <w:t>Gene</w:t>
            </w:r>
          </w:p>
        </w:tc>
        <w:tc>
          <w:tcPr>
            <w:tcW w:w="6804" w:type="dxa"/>
            <w:tcBorders>
              <w:top w:val="single" w:sz="18" w:space="0" w:color="auto"/>
              <w:bottom w:val="single" w:sz="18" w:space="0" w:color="auto"/>
            </w:tcBorders>
            <w:shd w:val="clear" w:color="auto" w:fill="auto"/>
          </w:tcPr>
          <w:p w14:paraId="0BE98284" w14:textId="77777777" w:rsidR="00611F90" w:rsidRPr="003A63E9" w:rsidRDefault="00611F90" w:rsidP="003E5660">
            <w:pPr>
              <w:spacing w:line="480" w:lineRule="auto"/>
              <w:ind w:left="240" w:right="240" w:firstLineChars="200" w:firstLine="442"/>
              <w:jc w:val="center"/>
              <w:cnfStyle w:val="100000000000" w:firstRow="1"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Primer sequences</w:t>
            </w:r>
          </w:p>
        </w:tc>
      </w:tr>
      <w:tr w:rsidR="003A63E9" w:rsidRPr="003A63E9" w14:paraId="4B4E42B7" w14:textId="77777777" w:rsidTr="003E5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tcBorders>
              <w:top w:val="single" w:sz="18" w:space="0" w:color="auto"/>
            </w:tcBorders>
            <w:shd w:val="clear" w:color="auto" w:fill="auto"/>
          </w:tcPr>
          <w:p w14:paraId="07B63508"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GAPDH</w:t>
            </w:r>
          </w:p>
        </w:tc>
        <w:tc>
          <w:tcPr>
            <w:tcW w:w="6804" w:type="dxa"/>
            <w:tcBorders>
              <w:top w:val="single" w:sz="18" w:space="0" w:color="auto"/>
            </w:tcBorders>
            <w:shd w:val="clear" w:color="auto" w:fill="auto"/>
          </w:tcPr>
          <w:p w14:paraId="741D1C97"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GTCAACGGATTTGGTCTGTATT-3'</w:t>
            </w:r>
          </w:p>
          <w:p w14:paraId="1BDEBEE6"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 5'- AGTCTTCTGGGTGGCAGTGAT-3'</w:t>
            </w:r>
          </w:p>
        </w:tc>
      </w:tr>
      <w:tr w:rsidR="003A63E9" w:rsidRPr="003A63E9" w14:paraId="122B1951" w14:textId="77777777" w:rsidTr="003E5660">
        <w:trPr>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1462330F"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IL-33</w:t>
            </w:r>
          </w:p>
        </w:tc>
        <w:tc>
          <w:tcPr>
            <w:tcW w:w="6804" w:type="dxa"/>
            <w:shd w:val="clear" w:color="auto" w:fill="auto"/>
          </w:tcPr>
          <w:p w14:paraId="164D925B"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AGGTGACGGTGTTGATGGTAAG-3'</w:t>
            </w:r>
          </w:p>
          <w:p w14:paraId="38F4609C"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Reverse:5'- GCATATTATGAAGGACAAAGAAGGC-3'</w:t>
            </w:r>
          </w:p>
        </w:tc>
      </w:tr>
      <w:tr w:rsidR="003A63E9" w:rsidRPr="003A63E9" w14:paraId="3D0232BE" w14:textId="77777777" w:rsidTr="003E5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1A76E755"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ST2</w:t>
            </w:r>
          </w:p>
        </w:tc>
        <w:tc>
          <w:tcPr>
            <w:tcW w:w="6804" w:type="dxa"/>
            <w:shd w:val="clear" w:color="auto" w:fill="auto"/>
          </w:tcPr>
          <w:p w14:paraId="5E95767A"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GTCAGAAGTCCCACATTCAATAGG-3'</w:t>
            </w:r>
          </w:p>
          <w:p w14:paraId="26EF14EB"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 5'- GGTGCTGTCCAGTTGTAGAGG-3'</w:t>
            </w:r>
          </w:p>
        </w:tc>
      </w:tr>
      <w:tr w:rsidR="003A63E9" w:rsidRPr="003A63E9" w14:paraId="48419C0C" w14:textId="77777777" w:rsidTr="003E5660">
        <w:trPr>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186185C8"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C3</w:t>
            </w:r>
          </w:p>
        </w:tc>
        <w:tc>
          <w:tcPr>
            <w:tcW w:w="6804" w:type="dxa"/>
            <w:shd w:val="clear" w:color="auto" w:fill="auto"/>
          </w:tcPr>
          <w:p w14:paraId="70560C91"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AGCCTGGAGCAGTCAAGGTCTAC-3'</w:t>
            </w:r>
          </w:p>
          <w:p w14:paraId="302CF862"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 5'- GGCACAGTTCATCACGGCAGAG-3'</w:t>
            </w:r>
          </w:p>
        </w:tc>
      </w:tr>
      <w:tr w:rsidR="003A63E9" w:rsidRPr="003A63E9" w14:paraId="27410063" w14:textId="77777777" w:rsidTr="003E5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180C4709"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AXL</w:t>
            </w:r>
          </w:p>
        </w:tc>
        <w:tc>
          <w:tcPr>
            <w:tcW w:w="6804" w:type="dxa"/>
            <w:shd w:val="clear" w:color="auto" w:fill="auto"/>
          </w:tcPr>
          <w:p w14:paraId="2A0DF378"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AGATTTATGACTATCTGCGCCA-3'</w:t>
            </w:r>
          </w:p>
          <w:p w14:paraId="74421C35"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 5'-GCCCAGATAGAAGTGGCTCCAG-3'</w:t>
            </w:r>
          </w:p>
        </w:tc>
      </w:tr>
      <w:tr w:rsidR="003A63E9" w:rsidRPr="003A63E9" w14:paraId="37FD5340" w14:textId="77777777" w:rsidTr="003E5660">
        <w:trPr>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3B8956F"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TYRO3</w:t>
            </w:r>
          </w:p>
        </w:tc>
        <w:tc>
          <w:tcPr>
            <w:tcW w:w="6804" w:type="dxa"/>
            <w:shd w:val="clear" w:color="auto" w:fill="auto"/>
          </w:tcPr>
          <w:p w14:paraId="5B497107"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CTGGTGGTCTCTTCTCATGAC-3'</w:t>
            </w:r>
          </w:p>
          <w:p w14:paraId="2B82121B"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 5'- TCTCTTTCCGTCTCTTTCGAAG-3'</w:t>
            </w:r>
          </w:p>
        </w:tc>
      </w:tr>
      <w:tr w:rsidR="003A63E9" w:rsidRPr="003A63E9" w14:paraId="55C9665F" w14:textId="77777777" w:rsidTr="003E5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0C6F95FF"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lastRenderedPageBreak/>
              <w:t>MER</w:t>
            </w:r>
          </w:p>
        </w:tc>
        <w:tc>
          <w:tcPr>
            <w:tcW w:w="6804" w:type="dxa"/>
            <w:shd w:val="clear" w:color="auto" w:fill="auto"/>
          </w:tcPr>
          <w:p w14:paraId="2FD9FFA6"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GAAGTTCATGGTGGATATTGCC-3'</w:t>
            </w:r>
          </w:p>
          <w:p w14:paraId="59315CFE" w14:textId="77777777" w:rsidR="00611F90" w:rsidRPr="003A63E9" w:rsidRDefault="00611F90"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 5'- CAGTTTCGAGCAGCTAAATCTC-3'</w:t>
            </w:r>
          </w:p>
        </w:tc>
      </w:tr>
      <w:tr w:rsidR="003A63E9" w:rsidRPr="003A63E9" w14:paraId="53CFD672" w14:textId="77777777" w:rsidTr="003E5660">
        <w:trPr>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2A692C25" w14:textId="77777777" w:rsidR="00611F90" w:rsidRPr="003A63E9" w:rsidRDefault="00611F90"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CD300A</w:t>
            </w:r>
          </w:p>
        </w:tc>
        <w:tc>
          <w:tcPr>
            <w:tcW w:w="6804" w:type="dxa"/>
            <w:shd w:val="clear" w:color="auto" w:fill="auto"/>
          </w:tcPr>
          <w:p w14:paraId="1FCF54EB"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 5'- CACTGCGGCCAAGACCTCAAC-3'</w:t>
            </w:r>
          </w:p>
          <w:p w14:paraId="6FF98E2A" w14:textId="77777777" w:rsidR="00611F90" w:rsidRPr="003A63E9" w:rsidRDefault="00611F90"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 5'- TCCTCCTGGATGCTGGCACTG-3'</w:t>
            </w:r>
          </w:p>
        </w:tc>
      </w:tr>
      <w:tr w:rsidR="003A63E9" w:rsidRPr="003A63E9" w14:paraId="2DBE6EE1" w14:textId="77777777" w:rsidTr="003E5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647EEE5F" w14:textId="37DDF8AE" w:rsidR="00757F93" w:rsidRPr="003A63E9" w:rsidRDefault="00757F93" w:rsidP="003E5660">
            <w:pPr>
              <w:spacing w:before="240" w:line="480" w:lineRule="auto"/>
              <w:ind w:left="240" w:right="240" w:firstLineChars="200" w:firstLine="442"/>
              <w:jc w:val="left"/>
              <w:rPr>
                <w:rFonts w:ascii="Arial" w:eastAsia="宋体" w:hAnsi="Arial" w:cs="Arial"/>
                <w:i/>
                <w:iCs/>
                <w:color w:val="000000" w:themeColor="text1"/>
                <w:sz w:val="22"/>
              </w:rPr>
            </w:pPr>
            <w:proofErr w:type="spellStart"/>
            <w:r w:rsidRPr="003A63E9">
              <w:rPr>
                <w:rFonts w:ascii="Arial" w:eastAsia="宋体" w:hAnsi="Arial" w:cs="Arial" w:hint="eastAsia"/>
                <w:i/>
                <w:iCs/>
                <w:color w:val="000000" w:themeColor="text1"/>
                <w:sz w:val="22"/>
              </w:rPr>
              <w:t>i</w:t>
            </w:r>
            <w:r w:rsidRPr="003A63E9">
              <w:rPr>
                <w:rFonts w:ascii="Arial" w:eastAsia="宋体" w:hAnsi="Arial" w:cs="Arial"/>
                <w:i/>
                <w:iCs/>
                <w:color w:val="000000" w:themeColor="text1"/>
                <w:sz w:val="22"/>
              </w:rPr>
              <w:t>NOS</w:t>
            </w:r>
            <w:proofErr w:type="spellEnd"/>
          </w:p>
        </w:tc>
        <w:tc>
          <w:tcPr>
            <w:tcW w:w="6804" w:type="dxa"/>
            <w:shd w:val="clear" w:color="auto" w:fill="auto"/>
          </w:tcPr>
          <w:p w14:paraId="748BAED1" w14:textId="27D32FF0" w:rsidR="00757F93" w:rsidRPr="003A63E9" w:rsidRDefault="00D21E89"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w:t>
            </w:r>
            <w:r w:rsidRPr="003A63E9">
              <w:rPr>
                <w:rFonts w:ascii="Arial" w:hAnsi="Arial" w:cs="Arial"/>
                <w:color w:val="000000" w:themeColor="text1"/>
                <w:sz w:val="22"/>
              </w:rPr>
              <w:t xml:space="preserve"> 5’-</w:t>
            </w:r>
            <w:r w:rsidRPr="003A63E9">
              <w:rPr>
                <w:rFonts w:ascii="Arial" w:eastAsia="宋体" w:hAnsi="Arial" w:cs="Arial"/>
                <w:color w:val="000000" w:themeColor="text1"/>
                <w:sz w:val="22"/>
              </w:rPr>
              <w:t>GACTTTCCAAGACACACTTCAC-3’</w:t>
            </w:r>
          </w:p>
        </w:tc>
      </w:tr>
      <w:tr w:rsidR="003A63E9" w:rsidRPr="003A63E9" w14:paraId="46818EE9" w14:textId="77777777" w:rsidTr="003E5660">
        <w:trPr>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E80CAC5" w14:textId="5B872364" w:rsidR="00757F93" w:rsidRPr="003A63E9" w:rsidRDefault="00D21E89"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IL-1</w:t>
            </w:r>
            <w:r w:rsidRPr="003A63E9">
              <w:rPr>
                <w:rFonts w:ascii="Arial" w:eastAsia="宋体" w:hAnsi="Arial" w:cs="Arial" w:hint="eastAsia"/>
                <w:i/>
                <w:iCs/>
                <w:color w:val="000000" w:themeColor="text1"/>
                <w:sz w:val="22"/>
              </w:rPr>
              <w:t>β</w:t>
            </w:r>
          </w:p>
        </w:tc>
        <w:tc>
          <w:tcPr>
            <w:tcW w:w="6804" w:type="dxa"/>
            <w:shd w:val="clear" w:color="auto" w:fill="auto"/>
          </w:tcPr>
          <w:p w14:paraId="01BAD628" w14:textId="6CFA92F9" w:rsidR="00757F93" w:rsidRPr="003A63E9" w:rsidRDefault="00D21E89" w:rsidP="003E5660">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w:t>
            </w:r>
            <w:r w:rsidRPr="003A63E9">
              <w:rPr>
                <w:rFonts w:ascii="Arial" w:hAnsi="Arial" w:cs="Arial"/>
                <w:color w:val="000000" w:themeColor="text1"/>
                <w:sz w:val="22"/>
              </w:rPr>
              <w:t xml:space="preserve"> 5’-</w:t>
            </w:r>
            <w:r w:rsidRPr="003A63E9">
              <w:rPr>
                <w:rFonts w:ascii="Arial" w:eastAsia="宋体" w:hAnsi="Arial" w:cs="Arial"/>
                <w:color w:val="000000" w:themeColor="text1"/>
                <w:sz w:val="22"/>
              </w:rPr>
              <w:t>TTCGATAGCTTGAGGTAGAAGC-3’</w:t>
            </w:r>
          </w:p>
          <w:p w14:paraId="0DEFE06E" w14:textId="43421959" w:rsidR="00D21E89" w:rsidRPr="003A63E9" w:rsidRDefault="00D21E89" w:rsidP="00D21E89">
            <w:pPr>
              <w:spacing w:line="480" w:lineRule="auto"/>
              <w:ind w:left="240" w:right="240" w:firstLineChars="200" w:firstLine="440"/>
              <w:cnfStyle w:val="000000000000" w:firstRow="0" w:lastRow="0" w:firstColumn="0" w:lastColumn="0" w:oddVBand="0" w:evenVBand="0" w:oddHBand="0"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w:t>
            </w:r>
            <w:r w:rsidRPr="003A63E9">
              <w:rPr>
                <w:rFonts w:ascii="Arial" w:hAnsi="Arial" w:cs="Arial"/>
                <w:color w:val="000000" w:themeColor="text1"/>
                <w:sz w:val="22"/>
              </w:rPr>
              <w:t xml:space="preserve"> 5’-</w:t>
            </w:r>
            <w:r w:rsidRPr="003A63E9">
              <w:rPr>
                <w:rFonts w:ascii="Arial" w:eastAsia="宋体" w:hAnsi="Arial" w:cs="Arial"/>
                <w:color w:val="000000" w:themeColor="text1"/>
                <w:sz w:val="22"/>
              </w:rPr>
              <w:t>CCAGGGACAGGATATGGAGCA-3’</w:t>
            </w:r>
          </w:p>
        </w:tc>
      </w:tr>
      <w:tr w:rsidR="003A63E9" w:rsidRPr="003A63E9" w14:paraId="63756E56" w14:textId="77777777" w:rsidTr="003E566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7688BF86" w14:textId="5E812FEC" w:rsidR="00757F93" w:rsidRPr="003A63E9" w:rsidRDefault="00D21E89" w:rsidP="003E5660">
            <w:pPr>
              <w:spacing w:before="240" w:line="480" w:lineRule="auto"/>
              <w:ind w:left="240" w:right="240" w:firstLineChars="200" w:firstLine="442"/>
              <w:jc w:val="left"/>
              <w:rPr>
                <w:rFonts w:ascii="Arial" w:eastAsia="宋体" w:hAnsi="Arial" w:cs="Arial"/>
                <w:i/>
                <w:iCs/>
                <w:color w:val="000000" w:themeColor="text1"/>
                <w:sz w:val="22"/>
              </w:rPr>
            </w:pPr>
            <w:r w:rsidRPr="003A63E9">
              <w:rPr>
                <w:rFonts w:ascii="Arial" w:eastAsia="宋体" w:hAnsi="Arial" w:cs="Arial"/>
                <w:i/>
                <w:iCs/>
                <w:color w:val="000000" w:themeColor="text1"/>
                <w:sz w:val="22"/>
              </w:rPr>
              <w:t>TNF-</w:t>
            </w:r>
            <w:r w:rsidRPr="003A63E9">
              <w:rPr>
                <w:rFonts w:ascii="Arial" w:eastAsia="宋体" w:hAnsi="Arial" w:cs="Arial" w:hint="eastAsia"/>
                <w:i/>
                <w:iCs/>
                <w:color w:val="000000" w:themeColor="text1"/>
                <w:sz w:val="22"/>
              </w:rPr>
              <w:t>α</w:t>
            </w:r>
          </w:p>
        </w:tc>
        <w:tc>
          <w:tcPr>
            <w:tcW w:w="6804" w:type="dxa"/>
            <w:shd w:val="clear" w:color="auto" w:fill="auto"/>
          </w:tcPr>
          <w:p w14:paraId="607D3AEF" w14:textId="441E288E" w:rsidR="00D21E89" w:rsidRPr="003A63E9" w:rsidRDefault="00D21E89"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w:t>
            </w:r>
            <w:r w:rsidRPr="003A63E9">
              <w:rPr>
                <w:rFonts w:ascii="Arial" w:hAnsi="Arial" w:cs="Arial"/>
                <w:color w:val="000000" w:themeColor="text1"/>
                <w:sz w:val="22"/>
              </w:rPr>
              <w:t xml:space="preserve"> 5’-</w:t>
            </w:r>
            <w:r w:rsidRPr="003A63E9">
              <w:rPr>
                <w:rFonts w:ascii="Arial" w:eastAsia="宋体" w:hAnsi="Arial" w:cs="Arial"/>
                <w:color w:val="000000" w:themeColor="text1"/>
                <w:sz w:val="22"/>
              </w:rPr>
              <w:t>TTCAACACGCAGGACAGGTACAG-3’</w:t>
            </w:r>
          </w:p>
          <w:p w14:paraId="5BD8E957" w14:textId="47690D3F" w:rsidR="00D21E89" w:rsidRPr="003A63E9" w:rsidRDefault="00D21E89"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Forward:</w:t>
            </w:r>
            <w:r w:rsidRPr="003A63E9">
              <w:rPr>
                <w:rFonts w:ascii="Arial" w:hAnsi="Arial" w:cs="Arial"/>
                <w:color w:val="000000" w:themeColor="text1"/>
                <w:sz w:val="22"/>
              </w:rPr>
              <w:t xml:space="preserve"> 5’-</w:t>
            </w:r>
            <w:r w:rsidRPr="003A63E9">
              <w:rPr>
                <w:rFonts w:ascii="Arial" w:eastAsia="宋体" w:hAnsi="Arial" w:cs="Arial"/>
                <w:color w:val="000000" w:themeColor="text1"/>
                <w:sz w:val="22"/>
              </w:rPr>
              <w:t>CTGCCTGCTGCACTTTGGAG-3’</w:t>
            </w:r>
          </w:p>
          <w:p w14:paraId="77286346" w14:textId="374361C6" w:rsidR="00757F93" w:rsidRPr="003A63E9" w:rsidRDefault="00D21E89" w:rsidP="003E5660">
            <w:pPr>
              <w:spacing w:line="480" w:lineRule="auto"/>
              <w:ind w:left="240" w:right="240" w:firstLineChars="200" w:firstLine="440"/>
              <w:cnfStyle w:val="000000100000" w:firstRow="0" w:lastRow="0" w:firstColumn="0" w:lastColumn="0" w:oddVBand="0" w:evenVBand="0" w:oddHBand="1" w:evenHBand="0" w:firstRowFirstColumn="0" w:firstRowLastColumn="0" w:lastRowFirstColumn="0" w:lastRowLastColumn="0"/>
              <w:rPr>
                <w:rFonts w:ascii="Arial" w:eastAsia="宋体" w:hAnsi="Arial" w:cs="Arial"/>
                <w:color w:val="000000" w:themeColor="text1"/>
                <w:sz w:val="22"/>
              </w:rPr>
            </w:pPr>
            <w:r w:rsidRPr="003A63E9">
              <w:rPr>
                <w:rFonts w:ascii="Arial" w:eastAsia="宋体" w:hAnsi="Arial" w:cs="Arial"/>
                <w:color w:val="000000" w:themeColor="text1"/>
                <w:sz w:val="22"/>
              </w:rPr>
              <w:t>Reverse:</w:t>
            </w:r>
            <w:r w:rsidRPr="003A63E9">
              <w:rPr>
                <w:rFonts w:ascii="Arial" w:hAnsi="Arial" w:cs="Arial"/>
                <w:color w:val="000000" w:themeColor="text1"/>
                <w:sz w:val="22"/>
              </w:rPr>
              <w:t xml:space="preserve"> 5’-</w:t>
            </w:r>
            <w:r w:rsidRPr="003A63E9">
              <w:rPr>
                <w:rFonts w:ascii="Arial" w:eastAsia="宋体" w:hAnsi="Arial" w:cs="Arial"/>
                <w:color w:val="000000" w:themeColor="text1"/>
                <w:sz w:val="22"/>
              </w:rPr>
              <w:t>ACATGGGCTACAGGCTTGTCACT-3’</w:t>
            </w:r>
          </w:p>
        </w:tc>
      </w:tr>
    </w:tbl>
    <w:p w14:paraId="6762B08C" w14:textId="77777777" w:rsidR="00611F90" w:rsidRPr="003A63E9" w:rsidRDefault="00611F90" w:rsidP="00611F90">
      <w:pPr>
        <w:rPr>
          <w:rFonts w:ascii="Arial" w:hAnsi="Arial" w:cs="Arial"/>
          <w:color w:val="000000" w:themeColor="text1"/>
          <w:sz w:val="22"/>
        </w:rPr>
      </w:pPr>
    </w:p>
    <w:p w14:paraId="501BE298" w14:textId="77777777" w:rsidR="00611F90" w:rsidRPr="003A63E9" w:rsidRDefault="00611F90" w:rsidP="00611F90">
      <w:pPr>
        <w:rPr>
          <w:color w:val="000000" w:themeColor="text1"/>
        </w:rPr>
      </w:pPr>
    </w:p>
    <w:p w14:paraId="0E095000" w14:textId="3F169A92" w:rsidR="001C0E1E" w:rsidRPr="003A63E9" w:rsidRDefault="001C0E1E" w:rsidP="008C1194">
      <w:pPr>
        <w:rPr>
          <w:color w:val="000000" w:themeColor="text1"/>
        </w:rPr>
      </w:pPr>
    </w:p>
    <w:sectPr w:rsidR="001C0E1E" w:rsidRPr="003A63E9" w:rsidSect="00FC378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C136" w14:textId="77777777" w:rsidR="00A42CE2" w:rsidRDefault="00A42CE2" w:rsidP="009F36EE">
      <w:r>
        <w:separator/>
      </w:r>
    </w:p>
  </w:endnote>
  <w:endnote w:type="continuationSeparator" w:id="0">
    <w:p w14:paraId="3A88737D" w14:textId="77777777" w:rsidR="00A42CE2" w:rsidRDefault="00A42CE2" w:rsidP="009F36EE">
      <w:r>
        <w:continuationSeparator/>
      </w:r>
    </w:p>
  </w:endnote>
  <w:endnote w:type="continuationNotice" w:id="1">
    <w:p w14:paraId="213E9CE3" w14:textId="77777777" w:rsidR="00A42CE2" w:rsidRDefault="00A42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CFA28" w14:textId="77777777" w:rsidR="00A42CE2" w:rsidRDefault="00A42CE2" w:rsidP="009F36EE">
      <w:r>
        <w:separator/>
      </w:r>
    </w:p>
  </w:footnote>
  <w:footnote w:type="continuationSeparator" w:id="0">
    <w:p w14:paraId="7AF9D011" w14:textId="77777777" w:rsidR="00A42CE2" w:rsidRDefault="00A42CE2" w:rsidP="009F36EE">
      <w:r>
        <w:continuationSeparator/>
      </w:r>
    </w:p>
  </w:footnote>
  <w:footnote w:type="continuationNotice" w:id="1">
    <w:p w14:paraId="6B8E035D" w14:textId="77777777" w:rsidR="00A42CE2" w:rsidRDefault="00A42C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MI&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vwzazrndxwt3ead5zvtfxcsp202w00asvr&quot;&gt;毕业论文引文&lt;record-ids&gt;&lt;item&gt;1&lt;/item&gt;&lt;item&gt;12&lt;/item&gt;&lt;item&gt;15&lt;/item&gt;&lt;item&gt;17&lt;/item&gt;&lt;item&gt;18&lt;/item&gt;&lt;item&gt;22&lt;/item&gt;&lt;item&gt;33&lt;/item&gt;&lt;item&gt;48&lt;/item&gt;&lt;item&gt;55&lt;/item&gt;&lt;item&gt;69&lt;/item&gt;&lt;item&gt;70&lt;/item&gt;&lt;item&gt;71&lt;/item&gt;&lt;item&gt;73&lt;/item&gt;&lt;item&gt;77&lt;/item&gt;&lt;item&gt;78&lt;/item&gt;&lt;item&gt;80&lt;/item&gt;&lt;item&gt;81&lt;/item&gt;&lt;item&gt;82&lt;/item&gt;&lt;item&gt;87&lt;/item&gt;&lt;item&gt;90&lt;/item&gt;&lt;item&gt;91&lt;/item&gt;&lt;item&gt;97&lt;/item&gt;&lt;item&gt;98&lt;/item&gt;&lt;item&gt;101&lt;/item&gt;&lt;item&gt;109&lt;/item&gt;&lt;item&gt;139&lt;/item&gt;&lt;item&gt;140&lt;/item&gt;&lt;item&gt;141&lt;/item&gt;&lt;item&gt;146&lt;/item&gt;&lt;item&gt;238&lt;/item&gt;&lt;item&gt;241&lt;/item&gt;&lt;item&gt;243&lt;/item&gt;&lt;item&gt;257&lt;/item&gt;&lt;item&gt;258&lt;/item&gt;&lt;item&gt;261&lt;/item&gt;&lt;item&gt;262&lt;/item&gt;&lt;item&gt;271&lt;/item&gt;&lt;item&gt;275&lt;/item&gt;&lt;item&gt;276&lt;/item&gt;&lt;item&gt;278&lt;/item&gt;&lt;item&gt;279&lt;/item&gt;&lt;item&gt;291&lt;/item&gt;&lt;item&gt;292&lt;/item&gt;&lt;item&gt;294&lt;/item&gt;&lt;item&gt;298&lt;/item&gt;&lt;item&gt;311&lt;/item&gt;&lt;item&gt;327&lt;/item&gt;&lt;item&gt;328&lt;/item&gt;&lt;item&gt;329&lt;/item&gt;&lt;item&gt;330&lt;/item&gt;&lt;item&gt;331&lt;/item&gt;&lt;item&gt;332&lt;/item&gt;&lt;item&gt;333&lt;/item&gt;&lt;item&gt;334&lt;/item&gt;&lt;item&gt;335&lt;/item&gt;&lt;item&gt;336&lt;/item&gt;&lt;/record-ids&gt;&lt;/item&gt;&lt;/Libraries&gt;"/>
  </w:docVars>
  <w:rsids>
    <w:rsidRoot w:val="003A3496"/>
    <w:rsid w:val="000058B6"/>
    <w:rsid w:val="00006161"/>
    <w:rsid w:val="00006863"/>
    <w:rsid w:val="00014EA9"/>
    <w:rsid w:val="000272C9"/>
    <w:rsid w:val="00032FAA"/>
    <w:rsid w:val="00034643"/>
    <w:rsid w:val="00036D4E"/>
    <w:rsid w:val="000453F5"/>
    <w:rsid w:val="0005002D"/>
    <w:rsid w:val="000505DF"/>
    <w:rsid w:val="0006371B"/>
    <w:rsid w:val="00066A36"/>
    <w:rsid w:val="00066E11"/>
    <w:rsid w:val="00066F81"/>
    <w:rsid w:val="000752E9"/>
    <w:rsid w:val="000829C6"/>
    <w:rsid w:val="00082D2F"/>
    <w:rsid w:val="00083660"/>
    <w:rsid w:val="00083F7E"/>
    <w:rsid w:val="00084DF5"/>
    <w:rsid w:val="000872ED"/>
    <w:rsid w:val="00090D08"/>
    <w:rsid w:val="000A0BD4"/>
    <w:rsid w:val="000A2B4A"/>
    <w:rsid w:val="000B3D98"/>
    <w:rsid w:val="000B3EAB"/>
    <w:rsid w:val="000B3F2F"/>
    <w:rsid w:val="000C183E"/>
    <w:rsid w:val="000C198B"/>
    <w:rsid w:val="000D3DB8"/>
    <w:rsid w:val="000D40DB"/>
    <w:rsid w:val="000D605D"/>
    <w:rsid w:val="000D6E89"/>
    <w:rsid w:val="000E1B00"/>
    <w:rsid w:val="000E37C7"/>
    <w:rsid w:val="000E7015"/>
    <w:rsid w:val="000F1B77"/>
    <w:rsid w:val="001001CC"/>
    <w:rsid w:val="00101336"/>
    <w:rsid w:val="00101CE6"/>
    <w:rsid w:val="00102783"/>
    <w:rsid w:val="0010563F"/>
    <w:rsid w:val="001074E3"/>
    <w:rsid w:val="00107BDA"/>
    <w:rsid w:val="001115B3"/>
    <w:rsid w:val="001124CC"/>
    <w:rsid w:val="00122985"/>
    <w:rsid w:val="00124611"/>
    <w:rsid w:val="001269BF"/>
    <w:rsid w:val="001300C3"/>
    <w:rsid w:val="00132807"/>
    <w:rsid w:val="0013478A"/>
    <w:rsid w:val="0013642C"/>
    <w:rsid w:val="001401C1"/>
    <w:rsid w:val="00140D98"/>
    <w:rsid w:val="001411D8"/>
    <w:rsid w:val="001532C1"/>
    <w:rsid w:val="001541FD"/>
    <w:rsid w:val="001557E1"/>
    <w:rsid w:val="00156E31"/>
    <w:rsid w:val="00157BE2"/>
    <w:rsid w:val="00160329"/>
    <w:rsid w:val="00160D3A"/>
    <w:rsid w:val="00161909"/>
    <w:rsid w:val="001658F4"/>
    <w:rsid w:val="00165B9D"/>
    <w:rsid w:val="00167E3F"/>
    <w:rsid w:val="00170EAB"/>
    <w:rsid w:val="00171A12"/>
    <w:rsid w:val="001724DC"/>
    <w:rsid w:val="00177AAA"/>
    <w:rsid w:val="00182DAE"/>
    <w:rsid w:val="00191ED6"/>
    <w:rsid w:val="00192C77"/>
    <w:rsid w:val="00192F32"/>
    <w:rsid w:val="00192FA8"/>
    <w:rsid w:val="00193ABB"/>
    <w:rsid w:val="00194B54"/>
    <w:rsid w:val="001A1BBA"/>
    <w:rsid w:val="001B4125"/>
    <w:rsid w:val="001B6A1B"/>
    <w:rsid w:val="001B6C3B"/>
    <w:rsid w:val="001B7422"/>
    <w:rsid w:val="001B7F30"/>
    <w:rsid w:val="001C0056"/>
    <w:rsid w:val="001C0E1E"/>
    <w:rsid w:val="001C1C9B"/>
    <w:rsid w:val="001C55AB"/>
    <w:rsid w:val="001D0C37"/>
    <w:rsid w:val="001D73DC"/>
    <w:rsid w:val="001E7443"/>
    <w:rsid w:val="001F472F"/>
    <w:rsid w:val="001F4F02"/>
    <w:rsid w:val="001F4F64"/>
    <w:rsid w:val="001F7FAD"/>
    <w:rsid w:val="00201060"/>
    <w:rsid w:val="00210441"/>
    <w:rsid w:val="00216ACB"/>
    <w:rsid w:val="002259B1"/>
    <w:rsid w:val="00225A15"/>
    <w:rsid w:val="00227768"/>
    <w:rsid w:val="00231CDB"/>
    <w:rsid w:val="00233564"/>
    <w:rsid w:val="002336DE"/>
    <w:rsid w:val="002351BA"/>
    <w:rsid w:val="002362B1"/>
    <w:rsid w:val="00241755"/>
    <w:rsid w:val="002427C2"/>
    <w:rsid w:val="00251528"/>
    <w:rsid w:val="00252362"/>
    <w:rsid w:val="0026322C"/>
    <w:rsid w:val="00274659"/>
    <w:rsid w:val="00274E9F"/>
    <w:rsid w:val="00276523"/>
    <w:rsid w:val="0028163F"/>
    <w:rsid w:val="00283A83"/>
    <w:rsid w:val="00284717"/>
    <w:rsid w:val="00285EF8"/>
    <w:rsid w:val="002B76B4"/>
    <w:rsid w:val="002B7867"/>
    <w:rsid w:val="002B7FDA"/>
    <w:rsid w:val="002C1196"/>
    <w:rsid w:val="002C4357"/>
    <w:rsid w:val="002C61B0"/>
    <w:rsid w:val="002D3B99"/>
    <w:rsid w:val="002D640A"/>
    <w:rsid w:val="002E586A"/>
    <w:rsid w:val="002E5872"/>
    <w:rsid w:val="002F53B4"/>
    <w:rsid w:val="002F6852"/>
    <w:rsid w:val="002F7F82"/>
    <w:rsid w:val="003041FA"/>
    <w:rsid w:val="00304910"/>
    <w:rsid w:val="00314158"/>
    <w:rsid w:val="0032667B"/>
    <w:rsid w:val="00327AFF"/>
    <w:rsid w:val="00331D17"/>
    <w:rsid w:val="003344DE"/>
    <w:rsid w:val="0033512A"/>
    <w:rsid w:val="00335D5A"/>
    <w:rsid w:val="00336E45"/>
    <w:rsid w:val="00340129"/>
    <w:rsid w:val="003434A6"/>
    <w:rsid w:val="003467CB"/>
    <w:rsid w:val="00346EA3"/>
    <w:rsid w:val="00355EBE"/>
    <w:rsid w:val="0035600D"/>
    <w:rsid w:val="003702C8"/>
    <w:rsid w:val="00372133"/>
    <w:rsid w:val="003753A1"/>
    <w:rsid w:val="00376606"/>
    <w:rsid w:val="00395A5D"/>
    <w:rsid w:val="003A2508"/>
    <w:rsid w:val="003A2969"/>
    <w:rsid w:val="003A3496"/>
    <w:rsid w:val="003A3E9E"/>
    <w:rsid w:val="003A63E9"/>
    <w:rsid w:val="003A7C53"/>
    <w:rsid w:val="003B013E"/>
    <w:rsid w:val="003B48BB"/>
    <w:rsid w:val="003D1C3D"/>
    <w:rsid w:val="003D2DA9"/>
    <w:rsid w:val="003D378C"/>
    <w:rsid w:val="003E0B8D"/>
    <w:rsid w:val="003E72D4"/>
    <w:rsid w:val="003E7A8E"/>
    <w:rsid w:val="003F0313"/>
    <w:rsid w:val="003F2431"/>
    <w:rsid w:val="003F34F0"/>
    <w:rsid w:val="003F3616"/>
    <w:rsid w:val="003F4DC4"/>
    <w:rsid w:val="00400B23"/>
    <w:rsid w:val="00401640"/>
    <w:rsid w:val="00406279"/>
    <w:rsid w:val="0040681C"/>
    <w:rsid w:val="004145EF"/>
    <w:rsid w:val="0041605F"/>
    <w:rsid w:val="00417328"/>
    <w:rsid w:val="00417CDD"/>
    <w:rsid w:val="00423A0F"/>
    <w:rsid w:val="00425233"/>
    <w:rsid w:val="004252F2"/>
    <w:rsid w:val="00433AD1"/>
    <w:rsid w:val="00445795"/>
    <w:rsid w:val="00457EA0"/>
    <w:rsid w:val="0047167E"/>
    <w:rsid w:val="00471A57"/>
    <w:rsid w:val="0047359A"/>
    <w:rsid w:val="004803FD"/>
    <w:rsid w:val="004812E3"/>
    <w:rsid w:val="00484BEA"/>
    <w:rsid w:val="004876F0"/>
    <w:rsid w:val="00492AB8"/>
    <w:rsid w:val="0049325B"/>
    <w:rsid w:val="00493AA6"/>
    <w:rsid w:val="004A034C"/>
    <w:rsid w:val="004A2175"/>
    <w:rsid w:val="004A2BCF"/>
    <w:rsid w:val="004B293E"/>
    <w:rsid w:val="004C51F3"/>
    <w:rsid w:val="004D3B33"/>
    <w:rsid w:val="004D627C"/>
    <w:rsid w:val="004E467B"/>
    <w:rsid w:val="004E5D15"/>
    <w:rsid w:val="004E7C35"/>
    <w:rsid w:val="00501E26"/>
    <w:rsid w:val="00505B50"/>
    <w:rsid w:val="00510902"/>
    <w:rsid w:val="0051145B"/>
    <w:rsid w:val="00521D39"/>
    <w:rsid w:val="00527719"/>
    <w:rsid w:val="005303CE"/>
    <w:rsid w:val="00534214"/>
    <w:rsid w:val="00536C4D"/>
    <w:rsid w:val="0054453A"/>
    <w:rsid w:val="00547B20"/>
    <w:rsid w:val="00560F6A"/>
    <w:rsid w:val="005634EA"/>
    <w:rsid w:val="00567D9E"/>
    <w:rsid w:val="005740E5"/>
    <w:rsid w:val="00575A6C"/>
    <w:rsid w:val="005836B9"/>
    <w:rsid w:val="0058383B"/>
    <w:rsid w:val="00583C1A"/>
    <w:rsid w:val="0058562A"/>
    <w:rsid w:val="00586D64"/>
    <w:rsid w:val="00591482"/>
    <w:rsid w:val="005914A7"/>
    <w:rsid w:val="005A79E8"/>
    <w:rsid w:val="005B0577"/>
    <w:rsid w:val="005B0B7D"/>
    <w:rsid w:val="005B2DE0"/>
    <w:rsid w:val="005B7539"/>
    <w:rsid w:val="005C5817"/>
    <w:rsid w:val="005D4274"/>
    <w:rsid w:val="005D4FB4"/>
    <w:rsid w:val="005D57B2"/>
    <w:rsid w:val="005F5BD8"/>
    <w:rsid w:val="00602948"/>
    <w:rsid w:val="00611D06"/>
    <w:rsid w:val="00611F90"/>
    <w:rsid w:val="006139A6"/>
    <w:rsid w:val="00615983"/>
    <w:rsid w:val="006172A4"/>
    <w:rsid w:val="00617E84"/>
    <w:rsid w:val="006251D4"/>
    <w:rsid w:val="00643D8D"/>
    <w:rsid w:val="00644E6E"/>
    <w:rsid w:val="00647A38"/>
    <w:rsid w:val="00647D69"/>
    <w:rsid w:val="006528F1"/>
    <w:rsid w:val="00653251"/>
    <w:rsid w:val="006562B3"/>
    <w:rsid w:val="00657F3C"/>
    <w:rsid w:val="006627AF"/>
    <w:rsid w:val="006640BF"/>
    <w:rsid w:val="00666416"/>
    <w:rsid w:val="00666D93"/>
    <w:rsid w:val="0066749A"/>
    <w:rsid w:val="0068196F"/>
    <w:rsid w:val="00683B94"/>
    <w:rsid w:val="00686DAF"/>
    <w:rsid w:val="0069407E"/>
    <w:rsid w:val="0069686A"/>
    <w:rsid w:val="006A30B8"/>
    <w:rsid w:val="006B4019"/>
    <w:rsid w:val="006B44B3"/>
    <w:rsid w:val="006B6C47"/>
    <w:rsid w:val="006C195E"/>
    <w:rsid w:val="006C32C6"/>
    <w:rsid w:val="006C7998"/>
    <w:rsid w:val="006C7EFB"/>
    <w:rsid w:val="006D5A6A"/>
    <w:rsid w:val="006E2807"/>
    <w:rsid w:val="006E6DFC"/>
    <w:rsid w:val="006F24B6"/>
    <w:rsid w:val="006F44A2"/>
    <w:rsid w:val="006F7AEF"/>
    <w:rsid w:val="007017B8"/>
    <w:rsid w:val="00711244"/>
    <w:rsid w:val="00711F4F"/>
    <w:rsid w:val="00714104"/>
    <w:rsid w:val="007204A7"/>
    <w:rsid w:val="00722B5A"/>
    <w:rsid w:val="00726428"/>
    <w:rsid w:val="00730E8E"/>
    <w:rsid w:val="007323C8"/>
    <w:rsid w:val="00732F71"/>
    <w:rsid w:val="0073366A"/>
    <w:rsid w:val="00742429"/>
    <w:rsid w:val="00752DE7"/>
    <w:rsid w:val="00757F93"/>
    <w:rsid w:val="00767225"/>
    <w:rsid w:val="007741C8"/>
    <w:rsid w:val="007768C3"/>
    <w:rsid w:val="00780C1D"/>
    <w:rsid w:val="00785C15"/>
    <w:rsid w:val="00790264"/>
    <w:rsid w:val="00793CE5"/>
    <w:rsid w:val="007A7188"/>
    <w:rsid w:val="007A782F"/>
    <w:rsid w:val="007B0752"/>
    <w:rsid w:val="007B4390"/>
    <w:rsid w:val="007B4AD2"/>
    <w:rsid w:val="007B5118"/>
    <w:rsid w:val="007C0743"/>
    <w:rsid w:val="007D0FF0"/>
    <w:rsid w:val="007D37B3"/>
    <w:rsid w:val="007D4168"/>
    <w:rsid w:val="007D524D"/>
    <w:rsid w:val="007E2CBF"/>
    <w:rsid w:val="007E4F53"/>
    <w:rsid w:val="007F47FB"/>
    <w:rsid w:val="00804526"/>
    <w:rsid w:val="00805C37"/>
    <w:rsid w:val="00805EF0"/>
    <w:rsid w:val="008067C5"/>
    <w:rsid w:val="00806FBD"/>
    <w:rsid w:val="008113BD"/>
    <w:rsid w:val="00811B4D"/>
    <w:rsid w:val="008132FB"/>
    <w:rsid w:val="00815365"/>
    <w:rsid w:val="00816943"/>
    <w:rsid w:val="008172BD"/>
    <w:rsid w:val="00820513"/>
    <w:rsid w:val="00820520"/>
    <w:rsid w:val="00820FD2"/>
    <w:rsid w:val="0082279D"/>
    <w:rsid w:val="008306F1"/>
    <w:rsid w:val="00830C73"/>
    <w:rsid w:val="00830F3A"/>
    <w:rsid w:val="00831606"/>
    <w:rsid w:val="00842C51"/>
    <w:rsid w:val="00842EB8"/>
    <w:rsid w:val="0084584D"/>
    <w:rsid w:val="00851BA8"/>
    <w:rsid w:val="008563E5"/>
    <w:rsid w:val="00856A87"/>
    <w:rsid w:val="00861817"/>
    <w:rsid w:val="008641A1"/>
    <w:rsid w:val="0086447B"/>
    <w:rsid w:val="00870FB5"/>
    <w:rsid w:val="00872171"/>
    <w:rsid w:val="00872867"/>
    <w:rsid w:val="008756A3"/>
    <w:rsid w:val="00876F93"/>
    <w:rsid w:val="008808EF"/>
    <w:rsid w:val="0089110D"/>
    <w:rsid w:val="00891B7C"/>
    <w:rsid w:val="008A0FA7"/>
    <w:rsid w:val="008A2DB3"/>
    <w:rsid w:val="008A3CA3"/>
    <w:rsid w:val="008A681E"/>
    <w:rsid w:val="008B282C"/>
    <w:rsid w:val="008B4539"/>
    <w:rsid w:val="008B5B2C"/>
    <w:rsid w:val="008C00A5"/>
    <w:rsid w:val="008C1194"/>
    <w:rsid w:val="008C1CD0"/>
    <w:rsid w:val="008C5D8E"/>
    <w:rsid w:val="008C6C59"/>
    <w:rsid w:val="008D753D"/>
    <w:rsid w:val="008E01D0"/>
    <w:rsid w:val="008E68AA"/>
    <w:rsid w:val="008E6C0E"/>
    <w:rsid w:val="008E7D0B"/>
    <w:rsid w:val="008F33A6"/>
    <w:rsid w:val="008F3BF1"/>
    <w:rsid w:val="008F411F"/>
    <w:rsid w:val="00906B83"/>
    <w:rsid w:val="009073EC"/>
    <w:rsid w:val="00910A52"/>
    <w:rsid w:val="00910B9F"/>
    <w:rsid w:val="00911EC3"/>
    <w:rsid w:val="00925914"/>
    <w:rsid w:val="00925D55"/>
    <w:rsid w:val="009335CF"/>
    <w:rsid w:val="00942CF5"/>
    <w:rsid w:val="00946B46"/>
    <w:rsid w:val="00952BAC"/>
    <w:rsid w:val="00955D7F"/>
    <w:rsid w:val="00956AD1"/>
    <w:rsid w:val="0095707F"/>
    <w:rsid w:val="00975372"/>
    <w:rsid w:val="00980E33"/>
    <w:rsid w:val="009823A7"/>
    <w:rsid w:val="0098410F"/>
    <w:rsid w:val="00987F62"/>
    <w:rsid w:val="009930BD"/>
    <w:rsid w:val="00994885"/>
    <w:rsid w:val="009A324D"/>
    <w:rsid w:val="009A35AB"/>
    <w:rsid w:val="009A582F"/>
    <w:rsid w:val="009B02A0"/>
    <w:rsid w:val="009B31CF"/>
    <w:rsid w:val="009B3FE4"/>
    <w:rsid w:val="009B6D81"/>
    <w:rsid w:val="009B6EAD"/>
    <w:rsid w:val="009B70A5"/>
    <w:rsid w:val="009B7585"/>
    <w:rsid w:val="009C3F1E"/>
    <w:rsid w:val="009D4AC3"/>
    <w:rsid w:val="009D7862"/>
    <w:rsid w:val="009D7C33"/>
    <w:rsid w:val="009E331F"/>
    <w:rsid w:val="009E605F"/>
    <w:rsid w:val="009E67F8"/>
    <w:rsid w:val="009F1E03"/>
    <w:rsid w:val="009F36EE"/>
    <w:rsid w:val="009F5FB8"/>
    <w:rsid w:val="00A005AC"/>
    <w:rsid w:val="00A03DE7"/>
    <w:rsid w:val="00A1019A"/>
    <w:rsid w:val="00A126A0"/>
    <w:rsid w:val="00A128D4"/>
    <w:rsid w:val="00A14AA6"/>
    <w:rsid w:val="00A16624"/>
    <w:rsid w:val="00A32373"/>
    <w:rsid w:val="00A40A2B"/>
    <w:rsid w:val="00A41297"/>
    <w:rsid w:val="00A42CE2"/>
    <w:rsid w:val="00A4319F"/>
    <w:rsid w:val="00A527C8"/>
    <w:rsid w:val="00A5406C"/>
    <w:rsid w:val="00A57CA2"/>
    <w:rsid w:val="00A60A28"/>
    <w:rsid w:val="00A62C7B"/>
    <w:rsid w:val="00A674B2"/>
    <w:rsid w:val="00A67525"/>
    <w:rsid w:val="00A73DAC"/>
    <w:rsid w:val="00A80ADE"/>
    <w:rsid w:val="00A846A4"/>
    <w:rsid w:val="00A87DE8"/>
    <w:rsid w:val="00A915C7"/>
    <w:rsid w:val="00AA7048"/>
    <w:rsid w:val="00AA75C3"/>
    <w:rsid w:val="00AB27A7"/>
    <w:rsid w:val="00AC12A1"/>
    <w:rsid w:val="00AC2949"/>
    <w:rsid w:val="00AC33BA"/>
    <w:rsid w:val="00AD22B2"/>
    <w:rsid w:val="00AD69EE"/>
    <w:rsid w:val="00AD71DB"/>
    <w:rsid w:val="00AD7F0A"/>
    <w:rsid w:val="00AE02FA"/>
    <w:rsid w:val="00AE14B0"/>
    <w:rsid w:val="00AE34E4"/>
    <w:rsid w:val="00AE7B3A"/>
    <w:rsid w:val="00AF1A0C"/>
    <w:rsid w:val="00AF322B"/>
    <w:rsid w:val="00AF4CC1"/>
    <w:rsid w:val="00AF503F"/>
    <w:rsid w:val="00AF6792"/>
    <w:rsid w:val="00B10046"/>
    <w:rsid w:val="00B13485"/>
    <w:rsid w:val="00B13EDA"/>
    <w:rsid w:val="00B2205A"/>
    <w:rsid w:val="00B3492F"/>
    <w:rsid w:val="00B34DBF"/>
    <w:rsid w:val="00B3583F"/>
    <w:rsid w:val="00B429E2"/>
    <w:rsid w:val="00B447DF"/>
    <w:rsid w:val="00B47A30"/>
    <w:rsid w:val="00B516A0"/>
    <w:rsid w:val="00B558AB"/>
    <w:rsid w:val="00B559B7"/>
    <w:rsid w:val="00B7518D"/>
    <w:rsid w:val="00B819B5"/>
    <w:rsid w:val="00B81C35"/>
    <w:rsid w:val="00B81D61"/>
    <w:rsid w:val="00B86D13"/>
    <w:rsid w:val="00B922B3"/>
    <w:rsid w:val="00B955DD"/>
    <w:rsid w:val="00B978B0"/>
    <w:rsid w:val="00BA1B5C"/>
    <w:rsid w:val="00BA59B8"/>
    <w:rsid w:val="00BB0B4D"/>
    <w:rsid w:val="00BB3159"/>
    <w:rsid w:val="00BB66D5"/>
    <w:rsid w:val="00BC2B09"/>
    <w:rsid w:val="00BC5A63"/>
    <w:rsid w:val="00BC7B30"/>
    <w:rsid w:val="00BE2105"/>
    <w:rsid w:val="00BE333E"/>
    <w:rsid w:val="00BF63CB"/>
    <w:rsid w:val="00BF665D"/>
    <w:rsid w:val="00C02410"/>
    <w:rsid w:val="00C03CAD"/>
    <w:rsid w:val="00C109BD"/>
    <w:rsid w:val="00C139F2"/>
    <w:rsid w:val="00C14526"/>
    <w:rsid w:val="00C17709"/>
    <w:rsid w:val="00C24F67"/>
    <w:rsid w:val="00C26CC7"/>
    <w:rsid w:val="00C304E0"/>
    <w:rsid w:val="00C37B7A"/>
    <w:rsid w:val="00C406BE"/>
    <w:rsid w:val="00C409F1"/>
    <w:rsid w:val="00C43E5B"/>
    <w:rsid w:val="00C54F69"/>
    <w:rsid w:val="00C61807"/>
    <w:rsid w:val="00C63C3D"/>
    <w:rsid w:val="00C6467E"/>
    <w:rsid w:val="00C6687C"/>
    <w:rsid w:val="00C67432"/>
    <w:rsid w:val="00C724BF"/>
    <w:rsid w:val="00C80654"/>
    <w:rsid w:val="00C86AB2"/>
    <w:rsid w:val="00C903C9"/>
    <w:rsid w:val="00C9502E"/>
    <w:rsid w:val="00C95808"/>
    <w:rsid w:val="00CA5C73"/>
    <w:rsid w:val="00CA64EE"/>
    <w:rsid w:val="00CA7F66"/>
    <w:rsid w:val="00CB3A53"/>
    <w:rsid w:val="00CB474C"/>
    <w:rsid w:val="00CB4F4F"/>
    <w:rsid w:val="00CC0215"/>
    <w:rsid w:val="00CC0F9D"/>
    <w:rsid w:val="00CC3643"/>
    <w:rsid w:val="00CC6C79"/>
    <w:rsid w:val="00CD4CE2"/>
    <w:rsid w:val="00CD6B5B"/>
    <w:rsid w:val="00CE7955"/>
    <w:rsid w:val="00CF453C"/>
    <w:rsid w:val="00CF487A"/>
    <w:rsid w:val="00D13CE0"/>
    <w:rsid w:val="00D13DD6"/>
    <w:rsid w:val="00D207E0"/>
    <w:rsid w:val="00D21E89"/>
    <w:rsid w:val="00D22A37"/>
    <w:rsid w:val="00D22DD3"/>
    <w:rsid w:val="00D255A9"/>
    <w:rsid w:val="00D256D4"/>
    <w:rsid w:val="00D30CEA"/>
    <w:rsid w:val="00D33C99"/>
    <w:rsid w:val="00D36731"/>
    <w:rsid w:val="00D36DFB"/>
    <w:rsid w:val="00D37E92"/>
    <w:rsid w:val="00D41FC4"/>
    <w:rsid w:val="00D428AA"/>
    <w:rsid w:val="00D4722F"/>
    <w:rsid w:val="00D52CCB"/>
    <w:rsid w:val="00D57C4D"/>
    <w:rsid w:val="00D73D7C"/>
    <w:rsid w:val="00D752E2"/>
    <w:rsid w:val="00D755FF"/>
    <w:rsid w:val="00D80773"/>
    <w:rsid w:val="00D92F9B"/>
    <w:rsid w:val="00DA47ED"/>
    <w:rsid w:val="00DA5207"/>
    <w:rsid w:val="00DB0386"/>
    <w:rsid w:val="00DC32C0"/>
    <w:rsid w:val="00DC7482"/>
    <w:rsid w:val="00DC76AE"/>
    <w:rsid w:val="00DD2DAF"/>
    <w:rsid w:val="00DD4286"/>
    <w:rsid w:val="00DD503B"/>
    <w:rsid w:val="00DE32B0"/>
    <w:rsid w:val="00DE64BF"/>
    <w:rsid w:val="00DF0099"/>
    <w:rsid w:val="00E02446"/>
    <w:rsid w:val="00E06837"/>
    <w:rsid w:val="00E1292B"/>
    <w:rsid w:val="00E16613"/>
    <w:rsid w:val="00E204F8"/>
    <w:rsid w:val="00E24A84"/>
    <w:rsid w:val="00E27C41"/>
    <w:rsid w:val="00E332AE"/>
    <w:rsid w:val="00E36C77"/>
    <w:rsid w:val="00E379D8"/>
    <w:rsid w:val="00E402B6"/>
    <w:rsid w:val="00E40EBA"/>
    <w:rsid w:val="00E51AEF"/>
    <w:rsid w:val="00E52E75"/>
    <w:rsid w:val="00E52F79"/>
    <w:rsid w:val="00E536E8"/>
    <w:rsid w:val="00E56DF6"/>
    <w:rsid w:val="00E65DB5"/>
    <w:rsid w:val="00E6675D"/>
    <w:rsid w:val="00E70023"/>
    <w:rsid w:val="00E709F6"/>
    <w:rsid w:val="00E7411D"/>
    <w:rsid w:val="00E775C2"/>
    <w:rsid w:val="00E80DDC"/>
    <w:rsid w:val="00E813CC"/>
    <w:rsid w:val="00E823CA"/>
    <w:rsid w:val="00E87832"/>
    <w:rsid w:val="00E9063D"/>
    <w:rsid w:val="00E910CD"/>
    <w:rsid w:val="00E93486"/>
    <w:rsid w:val="00E94308"/>
    <w:rsid w:val="00E94977"/>
    <w:rsid w:val="00EA0946"/>
    <w:rsid w:val="00EA1B03"/>
    <w:rsid w:val="00EA3EB8"/>
    <w:rsid w:val="00EB0602"/>
    <w:rsid w:val="00EB569B"/>
    <w:rsid w:val="00EC1704"/>
    <w:rsid w:val="00EC2556"/>
    <w:rsid w:val="00ED0326"/>
    <w:rsid w:val="00ED39F6"/>
    <w:rsid w:val="00ED3FAE"/>
    <w:rsid w:val="00EE0060"/>
    <w:rsid w:val="00EE0B91"/>
    <w:rsid w:val="00EE332E"/>
    <w:rsid w:val="00EE592B"/>
    <w:rsid w:val="00EE5FD9"/>
    <w:rsid w:val="00EF0E13"/>
    <w:rsid w:val="00EF1120"/>
    <w:rsid w:val="00EF31B6"/>
    <w:rsid w:val="00EF3CED"/>
    <w:rsid w:val="00EF5F0F"/>
    <w:rsid w:val="00EF74BD"/>
    <w:rsid w:val="00F03ED4"/>
    <w:rsid w:val="00F05AE2"/>
    <w:rsid w:val="00F074FF"/>
    <w:rsid w:val="00F10656"/>
    <w:rsid w:val="00F232FC"/>
    <w:rsid w:val="00F322C0"/>
    <w:rsid w:val="00F3576C"/>
    <w:rsid w:val="00F41D70"/>
    <w:rsid w:val="00F436EA"/>
    <w:rsid w:val="00F44F14"/>
    <w:rsid w:val="00F451D4"/>
    <w:rsid w:val="00F512CB"/>
    <w:rsid w:val="00F674B5"/>
    <w:rsid w:val="00F70595"/>
    <w:rsid w:val="00F72649"/>
    <w:rsid w:val="00F8526E"/>
    <w:rsid w:val="00F8535A"/>
    <w:rsid w:val="00F90351"/>
    <w:rsid w:val="00FA26F2"/>
    <w:rsid w:val="00FA53BB"/>
    <w:rsid w:val="00FC3783"/>
    <w:rsid w:val="00FD6D5B"/>
    <w:rsid w:val="00FE255D"/>
    <w:rsid w:val="00FF1A70"/>
    <w:rsid w:val="00FF4A77"/>
    <w:rsid w:val="00FF5EF3"/>
    <w:rsid w:val="00FF6513"/>
    <w:rsid w:val="00FF7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D9440"/>
  <w15:chartTrackingRefBased/>
  <w15:docId w15:val="{EE751A74-0875-49A2-B19B-74CC8049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1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6E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36EE"/>
    <w:rPr>
      <w:sz w:val="18"/>
      <w:szCs w:val="18"/>
    </w:rPr>
  </w:style>
  <w:style w:type="paragraph" w:styleId="a5">
    <w:name w:val="footer"/>
    <w:basedOn w:val="a"/>
    <w:link w:val="a6"/>
    <w:uiPriority w:val="99"/>
    <w:unhideWhenUsed/>
    <w:rsid w:val="009F36EE"/>
    <w:pPr>
      <w:tabs>
        <w:tab w:val="center" w:pos="4153"/>
        <w:tab w:val="right" w:pos="8306"/>
      </w:tabs>
      <w:snapToGrid w:val="0"/>
      <w:jc w:val="left"/>
    </w:pPr>
    <w:rPr>
      <w:sz w:val="18"/>
      <w:szCs w:val="18"/>
    </w:rPr>
  </w:style>
  <w:style w:type="character" w:customStyle="1" w:styleId="a6">
    <w:name w:val="页脚 字符"/>
    <w:basedOn w:val="a0"/>
    <w:link w:val="a5"/>
    <w:uiPriority w:val="99"/>
    <w:rsid w:val="009F36EE"/>
    <w:rPr>
      <w:sz w:val="18"/>
      <w:szCs w:val="18"/>
    </w:rPr>
  </w:style>
  <w:style w:type="character" w:styleId="a7">
    <w:name w:val="annotation reference"/>
    <w:basedOn w:val="a0"/>
    <w:uiPriority w:val="99"/>
    <w:semiHidden/>
    <w:unhideWhenUsed/>
    <w:rsid w:val="00583C1A"/>
    <w:rPr>
      <w:sz w:val="21"/>
      <w:szCs w:val="21"/>
    </w:rPr>
  </w:style>
  <w:style w:type="paragraph" w:styleId="a8">
    <w:name w:val="annotation text"/>
    <w:basedOn w:val="a"/>
    <w:link w:val="a9"/>
    <w:uiPriority w:val="99"/>
    <w:semiHidden/>
    <w:unhideWhenUsed/>
    <w:rsid w:val="00583C1A"/>
    <w:pPr>
      <w:jc w:val="left"/>
    </w:pPr>
  </w:style>
  <w:style w:type="character" w:customStyle="1" w:styleId="a9">
    <w:name w:val="批注文字 字符"/>
    <w:basedOn w:val="a0"/>
    <w:link w:val="a8"/>
    <w:uiPriority w:val="99"/>
    <w:semiHidden/>
    <w:rsid w:val="00583C1A"/>
  </w:style>
  <w:style w:type="paragraph" w:customStyle="1" w:styleId="EndNoteBibliographyTitle">
    <w:name w:val="EndNote Bibliography Title"/>
    <w:basedOn w:val="a"/>
    <w:link w:val="EndNoteBibliographyTitle0"/>
    <w:rsid w:val="008D753D"/>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D753D"/>
    <w:rPr>
      <w:rFonts w:ascii="等线" w:eastAsia="等线" w:hAnsi="等线"/>
      <w:noProof/>
      <w:sz w:val="20"/>
    </w:rPr>
  </w:style>
  <w:style w:type="paragraph" w:customStyle="1" w:styleId="EndNoteBibliography">
    <w:name w:val="EndNote Bibliography"/>
    <w:basedOn w:val="a"/>
    <w:link w:val="EndNoteBibliography0"/>
    <w:rsid w:val="008D753D"/>
    <w:rPr>
      <w:rFonts w:ascii="等线" w:eastAsia="等线" w:hAnsi="等线"/>
      <w:noProof/>
      <w:sz w:val="20"/>
    </w:rPr>
  </w:style>
  <w:style w:type="character" w:customStyle="1" w:styleId="EndNoteBibliography0">
    <w:name w:val="EndNote Bibliography 字符"/>
    <w:basedOn w:val="a0"/>
    <w:link w:val="EndNoteBibliography"/>
    <w:rsid w:val="008D753D"/>
    <w:rPr>
      <w:rFonts w:ascii="等线" w:eastAsia="等线" w:hAnsi="等线"/>
      <w:noProof/>
      <w:sz w:val="20"/>
    </w:rPr>
  </w:style>
  <w:style w:type="table" w:styleId="aa">
    <w:name w:val="Light Shading"/>
    <w:basedOn w:val="a1"/>
    <w:uiPriority w:val="60"/>
    <w:rsid w:val="00830F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b">
    <w:name w:val="Hyperlink"/>
    <w:basedOn w:val="a0"/>
    <w:uiPriority w:val="99"/>
    <w:unhideWhenUsed/>
    <w:rsid w:val="00830F3A"/>
    <w:rPr>
      <w:color w:val="0000FF"/>
      <w:u w:val="single"/>
    </w:rPr>
  </w:style>
  <w:style w:type="character" w:styleId="ac">
    <w:name w:val="line number"/>
    <w:basedOn w:val="a0"/>
    <w:uiPriority w:val="99"/>
    <w:semiHidden/>
    <w:unhideWhenUsed/>
    <w:rsid w:val="00830F3A"/>
  </w:style>
  <w:style w:type="paragraph" w:styleId="ad">
    <w:name w:val="annotation subject"/>
    <w:basedOn w:val="a8"/>
    <w:next w:val="a8"/>
    <w:link w:val="ae"/>
    <w:uiPriority w:val="99"/>
    <w:semiHidden/>
    <w:unhideWhenUsed/>
    <w:rsid w:val="00830F3A"/>
    <w:rPr>
      <w:b/>
      <w:bCs/>
    </w:rPr>
  </w:style>
  <w:style w:type="character" w:customStyle="1" w:styleId="ae">
    <w:name w:val="批注主题 字符"/>
    <w:basedOn w:val="a9"/>
    <w:link w:val="ad"/>
    <w:uiPriority w:val="99"/>
    <w:semiHidden/>
    <w:rsid w:val="00830F3A"/>
    <w:rPr>
      <w:b/>
      <w:bCs/>
    </w:rPr>
  </w:style>
  <w:style w:type="paragraph" w:styleId="af">
    <w:name w:val="Balloon Text"/>
    <w:basedOn w:val="a"/>
    <w:link w:val="af0"/>
    <w:uiPriority w:val="99"/>
    <w:semiHidden/>
    <w:unhideWhenUsed/>
    <w:rsid w:val="00830F3A"/>
    <w:rPr>
      <w:sz w:val="18"/>
      <w:szCs w:val="18"/>
    </w:rPr>
  </w:style>
  <w:style w:type="character" w:customStyle="1" w:styleId="af0">
    <w:name w:val="批注框文本 字符"/>
    <w:basedOn w:val="a0"/>
    <w:link w:val="af"/>
    <w:uiPriority w:val="99"/>
    <w:semiHidden/>
    <w:rsid w:val="00830F3A"/>
    <w:rPr>
      <w:sz w:val="18"/>
      <w:szCs w:val="18"/>
    </w:rPr>
  </w:style>
  <w:style w:type="paragraph" w:styleId="af1">
    <w:name w:val="Revision"/>
    <w:hidden/>
    <w:uiPriority w:val="99"/>
    <w:semiHidden/>
    <w:rsid w:val="00830F3A"/>
  </w:style>
  <w:style w:type="paragraph" w:styleId="af2">
    <w:name w:val="List Paragraph"/>
    <w:basedOn w:val="a"/>
    <w:uiPriority w:val="34"/>
    <w:qFormat/>
    <w:rsid w:val="00830F3A"/>
    <w:pPr>
      <w:ind w:firstLineChars="200" w:firstLine="420"/>
    </w:pPr>
  </w:style>
  <w:style w:type="character" w:customStyle="1" w:styleId="tran">
    <w:name w:val="tran"/>
    <w:basedOn w:val="a0"/>
    <w:rsid w:val="00B559B7"/>
  </w:style>
  <w:style w:type="character" w:customStyle="1" w:styleId="apple-converted-space">
    <w:name w:val="apple-converted-space"/>
    <w:basedOn w:val="a0"/>
    <w:rsid w:val="00B55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1687</TotalTime>
  <Pages>6</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 yanran</dc:creator>
  <cp:keywords/>
  <dc:description/>
  <cp:lastModifiedBy>sheng yanran</cp:lastModifiedBy>
  <cp:revision>467</cp:revision>
  <cp:lastPrinted>2021-06-29T12:39:00Z</cp:lastPrinted>
  <dcterms:created xsi:type="dcterms:W3CDTF">2021-05-13T05:43:00Z</dcterms:created>
  <dcterms:modified xsi:type="dcterms:W3CDTF">2021-09-30T09:33:00Z</dcterms:modified>
</cp:coreProperties>
</file>