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8984D">
      <w:pPr>
        <w:spacing w:line="36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Teaching Satisfaction Evaluation Form</w:t>
      </w:r>
    </w:p>
    <w:p w14:paraId="2CF88901">
      <w:pPr>
        <w:spacing w:line="360" w:lineRule="auto"/>
        <w:jc w:val="lef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Teaching Satisfaction Evaluation Form: 1–Very Unsatisfied/Very Disagree; 2–Unsatisfied/Disagree; 3–Average; 4–Satisfied/Agree; 5–Very Satisfied/Very Agree</w:t>
      </w:r>
      <w:bookmarkStart w:id="0" w:name="_GoBack"/>
      <w:bookmarkEnd w:id="0"/>
      <w:r>
        <w:rPr>
          <w:rFonts w:hint="eastAsia" w:ascii="Times New Roman" w:hAnsi="Times New Roman" w:eastAsia="宋体" w:cs="Times New Roman"/>
          <w:sz w:val="24"/>
          <w:szCs w:val="24"/>
          <w:lang w:eastAsia="zh-CN"/>
        </w:rPr>
        <w:t>，Each project has five entries</w:t>
      </w:r>
      <w:r>
        <w:rPr>
          <w:rFonts w:hint="eastAsia" w:ascii="Times New Roman" w:hAnsi="Times New Roman" w:eastAsia="宋体" w:cs="Times New Roman"/>
          <w:sz w:val="24"/>
          <w:szCs w:val="24"/>
          <w:lang w:val="en-US" w:eastAsia="zh-CN"/>
        </w:rPr>
        <w:t>.</w:t>
      </w:r>
    </w:p>
    <w:p w14:paraId="0D2DE56D">
      <w:pPr>
        <w:numPr>
          <w:numId w:val="0"/>
        </w:numPr>
        <w:spacing w:line="360" w:lineRule="auto"/>
        <w:rPr>
          <w:rFonts w:hint="default" w:ascii="Times New Roman" w:hAnsi="Times New Roman" w:eastAsia="宋体" w:cs="Times New Roman"/>
          <w:sz w:val="24"/>
          <w:szCs w:val="24"/>
          <w:lang w:eastAsia="zh-CN"/>
        </w:rPr>
      </w:pPr>
    </w:p>
    <w:p w14:paraId="1FCAE267">
      <w:pPr>
        <w:numPr>
          <w:numId w:val="0"/>
        </w:num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I</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 xml:space="preserve">Study Plan   </w:t>
      </w:r>
    </w:p>
    <w:p w14:paraId="1F560663">
      <w:pPr>
        <w:numPr>
          <w:ilvl w:val="0"/>
          <w:numId w:val="1"/>
        </w:num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The study plan aligns with the training objectives of the Master of Nursing program and meets the requirements of clinical nursing positions. </w:t>
      </w:r>
    </w:p>
    <w:p w14:paraId="1136A6FF">
      <w:pPr>
        <w:numPr>
          <w:ilvl w:val="0"/>
          <w:numId w:val="1"/>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The schedule is well-designed, ensuring a balanced allocation of time between theoretical learning and clinical practice.   </w:t>
      </w:r>
    </w:p>
    <w:p w14:paraId="72925F21">
      <w:pPr>
        <w:numPr>
          <w:ilvl w:val="0"/>
          <w:numId w:val="1"/>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The plan is highly implementable, with no frequent adjustments or difficulties in execution.   </w:t>
      </w:r>
    </w:p>
    <w:p w14:paraId="7A203FBC">
      <w:pPr>
        <w:numPr>
          <w:numId w:val="0"/>
        </w:numPr>
        <w:spacing w:line="360" w:lineRule="auto"/>
        <w:ind w:left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 It fully addresses the individual developmental needs of Master of Nursing students.   5. The plan is closely integrated with professional development milestones, including the Nurse Practitioner Qualification Examination and specialist nurse training programs.</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14:paraId="2218B6D8">
      <w:pPr>
        <w:spacing w:line="360" w:lineRule="auto"/>
        <w:rPr>
          <w:rFonts w:hint="default" w:ascii="Times New Roman" w:hAnsi="Times New Roman" w:eastAsia="宋体" w:cs="Times New Roman"/>
          <w:sz w:val="24"/>
          <w:szCs w:val="24"/>
          <w:lang w:eastAsia="zh-CN"/>
        </w:rPr>
      </w:pPr>
    </w:p>
    <w:p w14:paraId="7D597830">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II. Classroom Teaching</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14:paraId="108610C3">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 The classroom teaching content is aligned with actual clinical nursing practice, emphasizing the development of clinical thinking and practical skills. </w:t>
      </w:r>
    </w:p>
    <w:p w14:paraId="06B86AA1">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 Teaching methods are flexible and diverse, with extensive use of case-based instruction and scenario simulation. </w:t>
      </w:r>
    </w:p>
    <w:p w14:paraId="07BF23B0">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Instructors possess extensive clinical nursing experience and strong teaching capabilities, delivering clear and accessible explanations. </w:t>
      </w:r>
    </w:p>
    <w:p w14:paraId="2DE6F2F6">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4. Classroom instruction prioritizes teacher-student interaction, effectively guiding students in critical thinking and discussion participation. </w:t>
      </w:r>
    </w:p>
    <w:p w14:paraId="4D00F8D9">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The teaching content promptly reflects cutting-edge advancements and new clinical technologies and methodologies in the field of nursing.</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14:paraId="5F874D71">
      <w:pPr>
        <w:spacing w:line="360" w:lineRule="auto"/>
        <w:rPr>
          <w:rFonts w:hint="default" w:ascii="Times New Roman" w:hAnsi="Times New Roman" w:eastAsia="宋体" w:cs="Times New Roman"/>
          <w:sz w:val="24"/>
          <w:szCs w:val="24"/>
          <w:lang w:eastAsia="zh-CN"/>
        </w:rPr>
      </w:pPr>
    </w:p>
    <w:p w14:paraId="263E036B">
      <w:pPr>
        <w:spacing w:line="360" w:lineRule="auto"/>
        <w:rPr>
          <w:rFonts w:hint="default" w:ascii="Times New Roman" w:hAnsi="Times New Roman" w:eastAsia="宋体" w:cs="Times New Roman"/>
          <w:sz w:val="24"/>
          <w:szCs w:val="24"/>
          <w:lang w:eastAsia="zh-CN"/>
        </w:rPr>
      </w:pPr>
      <w:r>
        <w:rPr>
          <w:rFonts w:hint="eastAsia" w:ascii="宋体" w:hAnsi="宋体" w:eastAsia="宋体" w:cs="宋体"/>
          <w:sz w:val="24"/>
          <w:szCs w:val="24"/>
          <w:lang w:eastAsia="zh-CN"/>
        </w:rPr>
        <w:t>Ш</w:t>
      </w:r>
      <w:r>
        <w:rPr>
          <w:rFonts w:hint="eastAsia" w:ascii="宋体" w:hAnsi="宋体" w:eastAsia="宋体" w:cs="宋体"/>
          <w:sz w:val="24"/>
          <w:szCs w:val="24"/>
          <w:lang w:val="en-US" w:eastAsia="zh-CN"/>
        </w:rPr>
        <w:t>.</w:t>
      </w:r>
      <w:r>
        <w:rPr>
          <w:rFonts w:hint="default" w:ascii="Times New Roman" w:hAnsi="Times New Roman" w:eastAsia="宋体" w:cs="Times New Roman"/>
          <w:sz w:val="24"/>
          <w:szCs w:val="24"/>
          <w:lang w:eastAsia="zh-CN"/>
        </w:rPr>
        <w:t>Post-class consolidation</w:t>
      </w:r>
    </w:p>
    <w:p w14:paraId="26456F84">
      <w:pPr>
        <w:numPr>
          <w:ilvl w:val="0"/>
          <w:numId w:val="2"/>
        </w:num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Post-class assignments/practical tasks are aligned with classroom content and effectively reinforce acquired knowledge. </w:t>
      </w:r>
    </w:p>
    <w:p w14:paraId="219F5E23">
      <w:pPr>
        <w:numPr>
          <w:ilvl w:val="0"/>
          <w:numId w:val="2"/>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The post-class practical components are well-designed, with comprehensive and professional guidance from clinical instructors.</w:t>
      </w:r>
    </w:p>
    <w:p w14:paraId="311413EC">
      <w:pPr>
        <w:numPr>
          <w:ilvl w:val="0"/>
          <w:numId w:val="2"/>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Post-class learning resources (e.g., case analyses, guideline interpretations) are abundant and highly practical. </w:t>
      </w:r>
    </w:p>
    <w:p w14:paraId="1AFD5822">
      <w:pPr>
        <w:numPr>
          <w:ilvl w:val="0"/>
          <w:numId w:val="2"/>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Students receive timely learning feedback and instructional support, ensuring efficient problem resolution. </w:t>
      </w:r>
    </w:p>
    <w:p w14:paraId="0C9A2E75">
      <w:pPr>
        <w:numPr>
          <w:numId w:val="0"/>
        </w:numPr>
        <w:spacing w:line="360" w:lineRule="auto"/>
        <w:ind w:left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The post-class consolidation phase significantly enhances clinical decision-making and practical skills in nursing practice.</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14:paraId="50EAE0BF">
      <w:pPr>
        <w:spacing w:line="360" w:lineRule="auto"/>
        <w:rPr>
          <w:rFonts w:hint="default" w:ascii="Times New Roman" w:hAnsi="Times New Roman" w:eastAsia="宋体" w:cs="Times New Roman"/>
          <w:sz w:val="24"/>
          <w:szCs w:val="24"/>
          <w:lang w:eastAsia="zh-CN"/>
        </w:rPr>
      </w:pPr>
    </w:p>
    <w:p w14:paraId="5129F197">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Ⅳ</w:t>
      </w:r>
      <w:r>
        <w:rPr>
          <w:rFonts w:hint="eastAsia" w:ascii="Times New Roman" w:hAnsi="Times New Roman" w:eastAsia="宋体" w:cs="Times New Roman"/>
          <w:sz w:val="24"/>
          <w:szCs w:val="24"/>
          <w:lang w:val="en-US" w:eastAsia="zh-CN"/>
        </w:rPr>
        <w:t>.T</w:t>
      </w:r>
      <w:r>
        <w:rPr>
          <w:rFonts w:hint="default" w:ascii="Times New Roman" w:hAnsi="Times New Roman" w:eastAsia="宋体" w:cs="Times New Roman"/>
          <w:sz w:val="24"/>
          <w:szCs w:val="24"/>
          <w:lang w:eastAsia="zh-CN"/>
        </w:rPr>
        <w:t>eacher resources</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14:paraId="1C6AD870">
      <w:pPr>
        <w:numPr>
          <w:ilvl w:val="0"/>
          <w:numId w:val="3"/>
        </w:num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There is an ample supply of easily accessible literature resources related to nursing, including books, journals, and databases. </w:t>
      </w:r>
    </w:p>
    <w:p w14:paraId="35FD7441">
      <w:pPr>
        <w:numPr>
          <w:ilvl w:val="0"/>
          <w:numId w:val="3"/>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Hardware resources such as clinical nursing teaching facilities, simulation training equipment, and instructional materials are well-equipped. </w:t>
      </w:r>
    </w:p>
    <w:p w14:paraId="1BE0B98A">
      <w:pPr>
        <w:numPr>
          <w:ilvl w:val="0"/>
          <w:numId w:val="3"/>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Digital resources in the field of nursing—such as high-quality online courses and instructional videos—are abundant and regularly updated. </w:t>
      </w:r>
    </w:p>
    <w:p w14:paraId="62C2345D">
      <w:pPr>
        <w:numPr>
          <w:ilvl w:val="0"/>
          <w:numId w:val="3"/>
        </w:num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The teaching resources meet the specific needs of professional master's degree programs in nursing and are highly clinically applicable. </w:t>
      </w:r>
    </w:p>
    <w:p w14:paraId="14D4263C">
      <w:pPr>
        <w:numPr>
          <w:numId w:val="0"/>
        </w:numPr>
        <w:spacing w:line="360" w:lineRule="auto"/>
        <w:ind w:left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Access to teaching resources is convenient, with streamlined usage procedures.</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82EA9"/>
    <w:multiLevelType w:val="singleLevel"/>
    <w:tmpl w:val="20882EA9"/>
    <w:lvl w:ilvl="0" w:tentative="0">
      <w:start w:val="1"/>
      <w:numFmt w:val="decimal"/>
      <w:suff w:val="space"/>
      <w:lvlText w:val="%1."/>
      <w:lvlJc w:val="left"/>
    </w:lvl>
  </w:abstractNum>
  <w:abstractNum w:abstractNumId="1">
    <w:nsid w:val="2CACE763"/>
    <w:multiLevelType w:val="singleLevel"/>
    <w:tmpl w:val="2CACE763"/>
    <w:lvl w:ilvl="0" w:tentative="0">
      <w:start w:val="1"/>
      <w:numFmt w:val="decimal"/>
      <w:suff w:val="space"/>
      <w:lvlText w:val="%1."/>
      <w:lvlJc w:val="left"/>
    </w:lvl>
  </w:abstractNum>
  <w:abstractNum w:abstractNumId="2">
    <w:nsid w:val="337270E7"/>
    <w:multiLevelType w:val="singleLevel"/>
    <w:tmpl w:val="337270E7"/>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95DE8"/>
    <w:rsid w:val="049C7DEF"/>
    <w:rsid w:val="1160654C"/>
    <w:rsid w:val="3FF141EA"/>
    <w:rsid w:val="423050F8"/>
    <w:rsid w:val="438356FB"/>
    <w:rsid w:val="5A695DE8"/>
    <w:rsid w:val="66E66D60"/>
    <w:rsid w:val="68A613C0"/>
    <w:rsid w:val="72A05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Words>
  <Characters>502</Characters>
  <Lines>0</Lines>
  <Paragraphs>0</Paragraphs>
  <TotalTime>23</TotalTime>
  <ScaleCrop>false</ScaleCrop>
  <LinksUpToDate>false</LinksUpToDate>
  <CharactersWithSpaces>566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2026-07-27T03:12:00Z</dcterms:created>
  <dc:creator>半夏琉璃～</dc:creator>
  <cp:lastModifiedBy>半夏琉璃～</cp:lastModifiedBy>
  <dcterms:modified xsi:type="dcterms:W3CDTF">2026-07-27T08:58:34Z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16EB85BDF0BD4BE58B53FF5AE049FE29_11</vt:lpwstr>
  </property>
  <property fmtid="{D5CDD505-2E9C-101B-9397-08002B2CF9AE}" pid="4" name="KSOTemplateDocerSaveRecord">
    <vt:lpwstr>eyJoZGlkIjoiOGI4NjI5OTBmMDM1ODFlMDkzNDFlZTFiMWNhZWU5ZTMiLCJ1c2VySWQiOiIzMTI5OTEyODYifQ==</vt:lpwstr>
  </property>
</Properties>
</file>