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B039" w14:textId="77777777" w:rsidR="005620A2" w:rsidRDefault="00000000">
      <w:pPr>
        <w:jc w:val="center"/>
        <w:rPr>
          <w:rFonts w:cs="Times New Roman"/>
          <w:b/>
          <w:color w:val="000000"/>
          <w:sz w:val="32"/>
          <w:szCs w:val="32"/>
          <w:shd w:val="clear" w:color="auto" w:fill="FFFFFF"/>
        </w:rPr>
      </w:pPr>
      <w:r>
        <w:rPr>
          <w:rFonts w:cs="Times New Roman"/>
          <w:b/>
          <w:color w:val="000000"/>
          <w:sz w:val="32"/>
          <w:szCs w:val="32"/>
          <w:shd w:val="clear" w:color="auto" w:fill="FFFFFF"/>
        </w:rPr>
        <w:t>Supporting Information</w:t>
      </w:r>
    </w:p>
    <w:p w14:paraId="2A5550E0" w14:textId="77777777" w:rsidR="005620A2" w:rsidRDefault="005620A2">
      <w:pPr>
        <w:jc w:val="center"/>
        <w:rPr>
          <w:rFonts w:cs="Times New Roman"/>
          <w:b/>
          <w:color w:val="000000"/>
          <w:sz w:val="32"/>
          <w:szCs w:val="32"/>
          <w:shd w:val="clear" w:color="auto" w:fill="FFFFFF"/>
        </w:rPr>
      </w:pPr>
    </w:p>
    <w:p w14:paraId="260C76DF" w14:textId="77777777" w:rsidR="005620A2" w:rsidRDefault="00000000">
      <w:pPr>
        <w:jc w:val="center"/>
        <w:rPr>
          <w:rFonts w:cs="Times New Roman"/>
          <w:b/>
          <w:color w:val="000000"/>
          <w:sz w:val="32"/>
          <w:szCs w:val="32"/>
          <w:shd w:val="clear" w:color="auto" w:fill="FFFFFF"/>
        </w:rPr>
      </w:pPr>
      <w:bookmarkStart w:id="0" w:name="_Hlk195880200"/>
      <w:r>
        <w:rPr>
          <w:rFonts w:cs="Times New Roman"/>
          <w:b/>
          <w:color w:val="000000"/>
          <w:sz w:val="32"/>
          <w:szCs w:val="32"/>
          <w:shd w:val="clear" w:color="auto" w:fill="FFFFFF"/>
        </w:rPr>
        <w:t xml:space="preserve">A </w:t>
      </w:r>
      <w:r>
        <w:rPr>
          <w:rFonts w:cs="Times New Roman" w:hint="eastAsia"/>
          <w:b/>
          <w:color w:val="000000"/>
          <w:sz w:val="32"/>
          <w:szCs w:val="32"/>
          <w:shd w:val="clear" w:color="auto" w:fill="FFFFFF"/>
        </w:rPr>
        <w:t>S</w:t>
      </w:r>
      <w:r>
        <w:rPr>
          <w:rFonts w:cs="Times New Roman"/>
          <w:b/>
          <w:color w:val="000000"/>
          <w:sz w:val="32"/>
          <w:szCs w:val="32"/>
          <w:shd w:val="clear" w:color="auto" w:fill="FFFFFF"/>
        </w:rPr>
        <w:t xml:space="preserve">trategy for </w:t>
      </w:r>
      <w:r>
        <w:rPr>
          <w:rFonts w:cs="Times New Roman" w:hint="eastAsia"/>
          <w:b/>
          <w:color w:val="000000"/>
          <w:sz w:val="32"/>
          <w:szCs w:val="32"/>
          <w:shd w:val="clear" w:color="auto" w:fill="FFFFFF"/>
        </w:rPr>
        <w:t>S</w:t>
      </w:r>
      <w:r>
        <w:rPr>
          <w:rFonts w:cs="Times New Roman"/>
          <w:b/>
          <w:color w:val="000000"/>
          <w:sz w:val="32"/>
          <w:szCs w:val="32"/>
          <w:shd w:val="clear" w:color="auto" w:fill="FFFFFF"/>
        </w:rPr>
        <w:t xml:space="preserve">ynergistic </w:t>
      </w:r>
      <w:r>
        <w:rPr>
          <w:rFonts w:cs="Times New Roman" w:hint="eastAsia"/>
          <w:b/>
          <w:color w:val="000000"/>
          <w:sz w:val="32"/>
          <w:szCs w:val="32"/>
          <w:shd w:val="clear" w:color="auto" w:fill="FFFFFF"/>
        </w:rPr>
        <w:t>P</w:t>
      </w:r>
      <w:r>
        <w:rPr>
          <w:rFonts w:cs="Times New Roman"/>
          <w:b/>
          <w:color w:val="000000"/>
          <w:sz w:val="32"/>
          <w:szCs w:val="32"/>
          <w:shd w:val="clear" w:color="auto" w:fill="FFFFFF"/>
        </w:rPr>
        <w:t>hotothermal-</w:t>
      </w:r>
      <w:r>
        <w:rPr>
          <w:rFonts w:cs="Times New Roman" w:hint="eastAsia"/>
          <w:b/>
          <w:color w:val="000000"/>
          <w:sz w:val="32"/>
          <w:szCs w:val="32"/>
          <w:shd w:val="clear" w:color="auto" w:fill="FFFFFF"/>
        </w:rPr>
        <w:t>P</w:t>
      </w:r>
      <w:r>
        <w:rPr>
          <w:rFonts w:cs="Times New Roman"/>
          <w:b/>
          <w:color w:val="000000"/>
          <w:sz w:val="32"/>
          <w:szCs w:val="32"/>
          <w:shd w:val="clear" w:color="auto" w:fill="FFFFFF"/>
        </w:rPr>
        <w:t xml:space="preserve">hotocatalytic: Contactless </w:t>
      </w:r>
      <w:r>
        <w:rPr>
          <w:rFonts w:cs="Times New Roman" w:hint="eastAsia"/>
          <w:b/>
          <w:color w:val="000000"/>
          <w:sz w:val="32"/>
          <w:szCs w:val="32"/>
          <w:shd w:val="clear" w:color="auto" w:fill="FFFFFF"/>
        </w:rPr>
        <w:t>P</w:t>
      </w:r>
      <w:r>
        <w:rPr>
          <w:rFonts w:cs="Times New Roman"/>
          <w:b/>
          <w:color w:val="000000"/>
          <w:sz w:val="32"/>
          <w:szCs w:val="32"/>
          <w:shd w:val="clear" w:color="auto" w:fill="FFFFFF"/>
        </w:rPr>
        <w:t xml:space="preserve">hotocatalytic </w:t>
      </w:r>
      <w:r>
        <w:rPr>
          <w:rFonts w:cs="Times New Roman" w:hint="eastAsia"/>
          <w:b/>
          <w:color w:val="000000"/>
          <w:sz w:val="32"/>
          <w:szCs w:val="32"/>
          <w:shd w:val="clear" w:color="auto" w:fill="FFFFFF"/>
        </w:rPr>
        <w:t>R</w:t>
      </w:r>
      <w:r>
        <w:rPr>
          <w:rFonts w:cs="Times New Roman"/>
          <w:b/>
          <w:color w:val="000000"/>
          <w:sz w:val="32"/>
          <w:szCs w:val="32"/>
          <w:shd w:val="clear" w:color="auto" w:fill="FFFFFF"/>
        </w:rPr>
        <w:t>eactor for CO</w:t>
      </w:r>
      <w:r>
        <w:rPr>
          <w:rFonts w:cs="Times New Roman"/>
          <w:b/>
          <w:color w:val="000000"/>
          <w:sz w:val="32"/>
          <w:szCs w:val="32"/>
          <w:shd w:val="clear" w:color="auto" w:fill="FFFFFF"/>
          <w:vertAlign w:val="subscript"/>
        </w:rPr>
        <w:t>2</w:t>
      </w:r>
      <w:r>
        <w:rPr>
          <w:rFonts w:cs="Times New Roman"/>
          <w:b/>
          <w:color w:val="000000"/>
          <w:sz w:val="32"/>
          <w:szCs w:val="32"/>
          <w:shd w:val="clear" w:color="auto" w:fill="FFFFFF"/>
        </w:rPr>
        <w:t xml:space="preserve"> </w:t>
      </w:r>
      <w:r>
        <w:rPr>
          <w:rFonts w:cs="Times New Roman" w:hint="eastAsia"/>
          <w:b/>
          <w:color w:val="000000"/>
          <w:sz w:val="32"/>
          <w:szCs w:val="32"/>
          <w:shd w:val="clear" w:color="auto" w:fill="FFFFFF"/>
        </w:rPr>
        <w:t>R</w:t>
      </w:r>
      <w:r>
        <w:rPr>
          <w:rFonts w:cs="Times New Roman"/>
          <w:b/>
          <w:color w:val="000000"/>
          <w:sz w:val="32"/>
          <w:szCs w:val="32"/>
          <w:shd w:val="clear" w:color="auto" w:fill="FFFFFF"/>
        </w:rPr>
        <w:t xml:space="preserve">eduction </w:t>
      </w:r>
      <w:r>
        <w:rPr>
          <w:rFonts w:cs="Times New Roman" w:hint="eastAsia"/>
          <w:b/>
          <w:color w:val="000000"/>
          <w:sz w:val="32"/>
          <w:szCs w:val="32"/>
          <w:shd w:val="clear" w:color="auto" w:fill="FFFFFF"/>
        </w:rPr>
        <w:t>w</w:t>
      </w:r>
      <w:r>
        <w:rPr>
          <w:rFonts w:cs="Times New Roman"/>
          <w:b/>
          <w:color w:val="000000"/>
          <w:sz w:val="32"/>
          <w:szCs w:val="32"/>
          <w:shd w:val="clear" w:color="auto" w:fill="FFFFFF"/>
        </w:rPr>
        <w:t xml:space="preserve">ith </w:t>
      </w:r>
      <w:r>
        <w:rPr>
          <w:rFonts w:cs="Times New Roman" w:hint="eastAsia"/>
          <w:b/>
          <w:color w:val="000000"/>
          <w:sz w:val="32"/>
          <w:szCs w:val="32"/>
          <w:shd w:val="clear" w:color="auto" w:fill="FFFFFF"/>
        </w:rPr>
        <w:t>S</w:t>
      </w:r>
      <w:r>
        <w:rPr>
          <w:rFonts w:cs="Times New Roman"/>
          <w:b/>
          <w:color w:val="000000"/>
          <w:sz w:val="32"/>
          <w:szCs w:val="32"/>
          <w:shd w:val="clear" w:color="auto" w:fill="FFFFFF"/>
        </w:rPr>
        <w:t xml:space="preserve">eawater </w:t>
      </w:r>
      <w:r>
        <w:rPr>
          <w:rFonts w:cs="Times New Roman" w:hint="eastAsia"/>
          <w:b/>
          <w:color w:val="000000"/>
          <w:sz w:val="32"/>
          <w:szCs w:val="32"/>
          <w:shd w:val="clear" w:color="auto" w:fill="FFFFFF"/>
        </w:rPr>
        <w:t>or</w:t>
      </w:r>
      <w:r>
        <w:rPr>
          <w:rFonts w:cs="Times New Roman"/>
          <w:b/>
          <w:color w:val="000000"/>
          <w:sz w:val="32"/>
          <w:szCs w:val="32"/>
          <w:shd w:val="clear" w:color="auto" w:fill="FFFFFF"/>
        </w:rPr>
        <w:t xml:space="preserve"> </w:t>
      </w:r>
      <w:r>
        <w:rPr>
          <w:rFonts w:cs="Times New Roman" w:hint="eastAsia"/>
          <w:b/>
          <w:color w:val="000000"/>
          <w:sz w:val="32"/>
          <w:szCs w:val="32"/>
          <w:shd w:val="clear" w:color="auto" w:fill="FFFFFF"/>
        </w:rPr>
        <w:t>Wastewater</w:t>
      </w:r>
      <w:r>
        <w:rPr>
          <w:rFonts w:cs="Times New Roman"/>
          <w:b/>
          <w:color w:val="000000"/>
          <w:sz w:val="32"/>
          <w:szCs w:val="32"/>
          <w:shd w:val="clear" w:color="auto" w:fill="FFFFFF"/>
        </w:rPr>
        <w:t xml:space="preserve"> into HCOOH</w:t>
      </w:r>
    </w:p>
    <w:bookmarkEnd w:id="0"/>
    <w:p w14:paraId="47390627" w14:textId="77777777" w:rsidR="005620A2" w:rsidRDefault="005620A2">
      <w:pPr>
        <w:jc w:val="center"/>
        <w:rPr>
          <w:rFonts w:cs="Times New Roman"/>
          <w:b/>
          <w:color w:val="000000"/>
          <w:sz w:val="32"/>
          <w:szCs w:val="32"/>
          <w:shd w:val="clear" w:color="auto" w:fill="FFFFFF"/>
        </w:rPr>
      </w:pPr>
    </w:p>
    <w:p w14:paraId="68BC5591" w14:textId="53D8E8D8" w:rsidR="00E61FDB" w:rsidRPr="007324EE" w:rsidRDefault="00E61FDB" w:rsidP="00E61FDB">
      <w:pPr>
        <w:ind w:firstLine="480"/>
        <w:jc w:val="center"/>
        <w:rPr>
          <w:rFonts w:cs="Times New Roman"/>
          <w:szCs w:val="24"/>
        </w:rPr>
      </w:pPr>
      <w:r>
        <w:rPr>
          <w:rFonts w:cs="Times New Roman"/>
          <w:szCs w:val="24"/>
        </w:rPr>
        <w:t>Kun Liu</w:t>
      </w:r>
      <w:r>
        <w:rPr>
          <w:rFonts w:cs="Times New Roman" w:hint="eastAsia"/>
          <w:szCs w:val="24"/>
          <w:vertAlign w:val="superscript"/>
        </w:rPr>
        <w:t>1</w:t>
      </w:r>
      <w:r>
        <w:rPr>
          <w:rFonts w:cs="Times New Roman"/>
          <w:szCs w:val="24"/>
          <w:vertAlign w:val="superscript"/>
        </w:rPr>
        <w:t>,</w:t>
      </w:r>
      <w:r>
        <w:rPr>
          <w:rFonts w:cs="Times New Roman"/>
          <w:szCs w:val="22"/>
          <w:vertAlign w:val="superscript"/>
        </w:rPr>
        <w:footnoteReference w:customMarkFollows="1" w:id="1"/>
        <w:t>*</w:t>
      </w:r>
      <w:r>
        <w:rPr>
          <w:rFonts w:cs="Times New Roman" w:hint="eastAsia"/>
          <w:szCs w:val="22"/>
        </w:rPr>
        <w:t xml:space="preserve"> Anjie Shu</w:t>
      </w:r>
      <w:r>
        <w:rPr>
          <w:rFonts w:cs="Times New Roman" w:hint="eastAsia"/>
          <w:szCs w:val="24"/>
          <w:vertAlign w:val="superscript"/>
        </w:rPr>
        <w:t>1</w:t>
      </w:r>
      <w:r>
        <w:rPr>
          <w:rFonts w:cs="Times New Roman" w:hint="eastAsia"/>
          <w:szCs w:val="22"/>
        </w:rPr>
        <w:t>, Liang Zhao</w:t>
      </w:r>
      <w:r>
        <w:rPr>
          <w:rFonts w:cs="Times New Roman" w:hint="eastAsia"/>
          <w:szCs w:val="24"/>
          <w:vertAlign w:val="superscript"/>
        </w:rPr>
        <w:t>1</w:t>
      </w:r>
      <w:r>
        <w:rPr>
          <w:rFonts w:cs="Times New Roman" w:hint="eastAsia"/>
          <w:szCs w:val="22"/>
        </w:rPr>
        <w:t>, Bo Qiu</w:t>
      </w:r>
      <w:r>
        <w:rPr>
          <w:rFonts w:cs="Times New Roman" w:hint="eastAsia"/>
          <w:szCs w:val="24"/>
          <w:vertAlign w:val="superscript"/>
        </w:rPr>
        <w:t>1</w:t>
      </w:r>
      <w:r>
        <w:rPr>
          <w:rFonts w:cs="Times New Roman" w:hint="eastAsia"/>
          <w:szCs w:val="24"/>
        </w:rPr>
        <w:t xml:space="preserve">, </w:t>
      </w:r>
      <w:proofErr w:type="spellStart"/>
      <w:r w:rsidR="00532DE3">
        <w:rPr>
          <w:rFonts w:cs="Times New Roman" w:hint="eastAsia"/>
          <w:szCs w:val="24"/>
        </w:rPr>
        <w:t>J</w:t>
      </w:r>
      <w:r>
        <w:rPr>
          <w:rFonts w:cs="Times New Roman" w:hint="eastAsia"/>
          <w:szCs w:val="22"/>
        </w:rPr>
        <w:t>ie</w:t>
      </w:r>
      <w:r w:rsidR="00532DE3">
        <w:rPr>
          <w:rFonts w:cs="Times New Roman" w:hint="eastAsia"/>
          <w:szCs w:val="22"/>
        </w:rPr>
        <w:t>f</w:t>
      </w:r>
      <w:r>
        <w:rPr>
          <w:rFonts w:cs="Times New Roman" w:hint="eastAsia"/>
          <w:szCs w:val="22"/>
        </w:rPr>
        <w:t>eng</w:t>
      </w:r>
      <w:proofErr w:type="spellEnd"/>
      <w:r>
        <w:rPr>
          <w:rFonts w:cs="Times New Roman" w:hint="eastAsia"/>
          <w:szCs w:val="22"/>
        </w:rPr>
        <w:t xml:space="preserve"> Wang</w:t>
      </w:r>
      <w:r>
        <w:rPr>
          <w:rFonts w:cs="Times New Roman" w:hint="eastAsia"/>
          <w:szCs w:val="24"/>
          <w:vertAlign w:val="superscript"/>
        </w:rPr>
        <w:t>1</w:t>
      </w:r>
    </w:p>
    <w:p w14:paraId="1C2B7D29" w14:textId="77777777" w:rsidR="00E61FDB" w:rsidRDefault="00E61FDB" w:rsidP="00E61FDB">
      <w:pPr>
        <w:ind w:firstLine="480"/>
        <w:jc w:val="center"/>
        <w:rPr>
          <w:rFonts w:cs="Times New Roman"/>
          <w:vertAlign w:val="superscript"/>
        </w:rPr>
      </w:pPr>
      <w:r>
        <w:rPr>
          <w:rFonts w:cs="Times New Roman" w:hint="eastAsia"/>
          <w:vertAlign w:val="superscript"/>
        </w:rPr>
        <w:t>1</w:t>
      </w:r>
      <w:r>
        <w:rPr>
          <w:rFonts w:cs="Times New Roman" w:hint="eastAsia"/>
          <w:szCs w:val="22"/>
        </w:rPr>
        <w:t xml:space="preserve">China Huaneng Group Energy Research Institute, </w:t>
      </w:r>
      <w:proofErr w:type="spellStart"/>
      <w:r>
        <w:rPr>
          <w:rFonts w:cs="Times New Roman" w:hint="eastAsia"/>
          <w:szCs w:val="22"/>
        </w:rPr>
        <w:t>Xiong</w:t>
      </w:r>
      <w:r>
        <w:rPr>
          <w:rFonts w:cs="Times New Roman"/>
        </w:rPr>
        <w:t>'a</w:t>
      </w:r>
      <w:r>
        <w:rPr>
          <w:rFonts w:cs="Times New Roman" w:hint="eastAsia"/>
          <w:szCs w:val="22"/>
        </w:rPr>
        <w:t>n</w:t>
      </w:r>
      <w:proofErr w:type="spellEnd"/>
      <w:r>
        <w:rPr>
          <w:rFonts w:cs="Times New Roman" w:hint="eastAsia"/>
          <w:szCs w:val="22"/>
        </w:rPr>
        <w:t>, Hebei, China</w:t>
      </w:r>
    </w:p>
    <w:p w14:paraId="10A30218" w14:textId="77777777" w:rsidR="005620A2" w:rsidRPr="00E61FDB" w:rsidRDefault="005620A2">
      <w:pPr>
        <w:jc w:val="center"/>
      </w:pPr>
    </w:p>
    <w:p w14:paraId="58940B70" w14:textId="77777777" w:rsidR="005620A2" w:rsidRDefault="005620A2">
      <w:pPr>
        <w:jc w:val="center"/>
        <w:sectPr w:rsidR="005620A2">
          <w:pgSz w:w="11906" w:h="16838"/>
          <w:pgMar w:top="1440" w:right="1800" w:bottom="1440" w:left="1800" w:header="851" w:footer="992" w:gutter="0"/>
          <w:cols w:space="425"/>
          <w:docGrid w:type="lines" w:linePitch="312"/>
        </w:sectPr>
      </w:pPr>
    </w:p>
    <w:p w14:paraId="4287B4C9" w14:textId="77777777" w:rsidR="005620A2" w:rsidRDefault="00000000">
      <w:pPr>
        <w:jc w:val="center"/>
      </w:pPr>
      <w:r>
        <w:rPr>
          <w:noProof/>
        </w:rPr>
        <w:lastRenderedPageBreak/>
        <w:drawing>
          <wp:inline distT="0" distB="0" distL="0" distR="0" wp14:anchorId="4273A794" wp14:editId="69F0B2E7">
            <wp:extent cx="3909060" cy="29946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09060" cy="2994660"/>
                    </a:xfrm>
                    <a:prstGeom prst="rect">
                      <a:avLst/>
                    </a:prstGeom>
                    <a:noFill/>
                    <a:ln>
                      <a:noFill/>
                    </a:ln>
                  </pic:spPr>
                </pic:pic>
              </a:graphicData>
            </a:graphic>
          </wp:inline>
        </w:drawing>
      </w:r>
    </w:p>
    <w:p w14:paraId="6B2F487A" w14:textId="77777777" w:rsidR="005620A2" w:rsidRDefault="00000000">
      <w:pPr>
        <w:jc w:val="left"/>
      </w:pPr>
      <w:r>
        <w:rPr>
          <w:rFonts w:hint="eastAsia"/>
        </w:rPr>
        <w:t>Fig</w:t>
      </w:r>
      <w:r>
        <w:t>.</w:t>
      </w:r>
      <w:r>
        <w:rPr>
          <w:rFonts w:hint="eastAsia"/>
        </w:rPr>
        <w:t>S</w:t>
      </w:r>
      <w:r>
        <w:t>1 Temperature changes in a slurry photocatalytic reactor under full spectrum irradiation.</w:t>
      </w:r>
    </w:p>
    <w:p w14:paraId="0FFC58C6" w14:textId="77777777" w:rsidR="005620A2" w:rsidRDefault="00000000">
      <w:pPr>
        <w:spacing w:line="480" w:lineRule="auto"/>
        <w:ind w:firstLineChars="200" w:firstLine="480"/>
        <w:sectPr w:rsidR="005620A2">
          <w:pgSz w:w="11906" w:h="16838"/>
          <w:pgMar w:top="1440" w:right="1800" w:bottom="1440" w:left="1800" w:header="851" w:footer="992" w:gutter="0"/>
          <w:cols w:space="425"/>
          <w:docGrid w:type="lines" w:linePitch="312"/>
        </w:sectPr>
      </w:pPr>
      <w:r>
        <w:t>The top and bottom interfaces of the slurry photocatalytic reactor have similar temperatures due to the ease of photon penetration into the solution and the simultaneous photothermal conversion. In addition, the loss of a large number of photons as well as the heating of a large amount of solution leads to a loss of heat, resulting in a decrease in the reaction temperature. However, the increased photothermal interaction of the carbon substrate of TiO</w:t>
      </w:r>
      <w:r>
        <w:rPr>
          <w:vertAlign w:val="subscript"/>
        </w:rPr>
        <w:t>2</w:t>
      </w:r>
      <w:r>
        <w:t>/</w:t>
      </w:r>
      <w:proofErr w:type="spellStart"/>
      <w:r>
        <w:t>MXene</w:t>
      </w:r>
      <w:proofErr w:type="spellEnd"/>
      <w:r>
        <w:t xml:space="preserve"> could not compensate for the huge heat loss.</w:t>
      </w:r>
    </w:p>
    <w:p w14:paraId="5EE65F7F" w14:textId="77777777" w:rsidR="005620A2" w:rsidRDefault="00000000">
      <w:pPr>
        <w:jc w:val="center"/>
      </w:pPr>
      <w:r>
        <w:rPr>
          <w:noProof/>
        </w:rPr>
        <w:lastRenderedPageBreak/>
        <w:drawing>
          <wp:inline distT="0" distB="0" distL="0" distR="0" wp14:anchorId="520C3576" wp14:editId="396BDF23">
            <wp:extent cx="3909060" cy="29946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909060" cy="2994660"/>
                    </a:xfrm>
                    <a:prstGeom prst="rect">
                      <a:avLst/>
                    </a:prstGeom>
                    <a:noFill/>
                    <a:ln>
                      <a:noFill/>
                    </a:ln>
                  </pic:spPr>
                </pic:pic>
              </a:graphicData>
            </a:graphic>
          </wp:inline>
        </w:drawing>
      </w:r>
    </w:p>
    <w:p w14:paraId="46EA747C" w14:textId="77777777" w:rsidR="005620A2" w:rsidRDefault="00000000">
      <w:pPr>
        <w:jc w:val="left"/>
      </w:pPr>
      <w:r>
        <w:rPr>
          <w:rFonts w:hint="eastAsia"/>
        </w:rPr>
        <w:t>Fig</w:t>
      </w:r>
      <w:r>
        <w:t>.</w:t>
      </w:r>
      <w:r>
        <w:rPr>
          <w:rFonts w:hint="eastAsia"/>
        </w:rPr>
        <w:t>S</w:t>
      </w:r>
      <w:r>
        <w:t>2 Temperature changes in a slurry photocatalytic reactor under UV spectral irradiation.</w:t>
      </w:r>
    </w:p>
    <w:p w14:paraId="2B83A1B9" w14:textId="77777777" w:rsidR="005620A2" w:rsidRDefault="00000000">
      <w:pPr>
        <w:spacing w:line="480" w:lineRule="auto"/>
        <w:ind w:firstLineChars="200" w:firstLine="480"/>
      </w:pPr>
      <w:r>
        <w:t>The temperature variation of the slurry reactor in the UV light was significantly reduced in comparison with the full spectrum. Also, the close proximity of the solution surface to the bottom surface temperature again proves that the slurry photocatalytic reactor is a complete heating of the whole solution, which tends to trigger excessive heat loss.</w:t>
      </w:r>
    </w:p>
    <w:p w14:paraId="73E00687" w14:textId="77777777" w:rsidR="005620A2" w:rsidRDefault="005620A2">
      <w:pPr>
        <w:jc w:val="center"/>
        <w:sectPr w:rsidR="005620A2">
          <w:pgSz w:w="11906" w:h="16838"/>
          <w:pgMar w:top="1440" w:right="1800" w:bottom="1440" w:left="1800" w:header="851" w:footer="992" w:gutter="0"/>
          <w:cols w:space="425"/>
          <w:docGrid w:type="lines" w:linePitch="312"/>
        </w:sectPr>
      </w:pPr>
    </w:p>
    <w:p w14:paraId="74675E74" w14:textId="77777777" w:rsidR="005620A2" w:rsidRDefault="00000000">
      <w:pPr>
        <w:jc w:val="center"/>
      </w:pPr>
      <w:r>
        <w:rPr>
          <w:noProof/>
        </w:rPr>
        <w:lastRenderedPageBreak/>
        <w:drawing>
          <wp:inline distT="0" distB="0" distL="0" distR="0" wp14:anchorId="7A5C116F" wp14:editId="3915D9B8">
            <wp:extent cx="3909060" cy="29946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09060" cy="2994660"/>
                    </a:xfrm>
                    <a:prstGeom prst="rect">
                      <a:avLst/>
                    </a:prstGeom>
                    <a:noFill/>
                    <a:ln>
                      <a:noFill/>
                    </a:ln>
                  </pic:spPr>
                </pic:pic>
              </a:graphicData>
            </a:graphic>
          </wp:inline>
        </w:drawing>
      </w:r>
    </w:p>
    <w:p w14:paraId="3C9F7A42" w14:textId="77777777" w:rsidR="005620A2" w:rsidRDefault="00000000">
      <w:pPr>
        <w:jc w:val="left"/>
      </w:pPr>
      <w:r>
        <w:rPr>
          <w:rFonts w:hint="eastAsia"/>
        </w:rPr>
        <w:t>Fig</w:t>
      </w:r>
      <w:r>
        <w:t>.</w:t>
      </w:r>
      <w:r>
        <w:rPr>
          <w:rFonts w:hint="eastAsia"/>
        </w:rPr>
        <w:t>S</w:t>
      </w:r>
      <w:r>
        <w:t xml:space="preserve">3 Temperature response of </w:t>
      </w:r>
      <w:r>
        <w:rPr>
          <w:rFonts w:hint="eastAsia"/>
        </w:rPr>
        <w:t>TiO</w:t>
      </w:r>
      <w:r>
        <w:rPr>
          <w:vertAlign w:val="subscript"/>
        </w:rPr>
        <w:t>2</w:t>
      </w:r>
      <w:r>
        <w:t>/</w:t>
      </w:r>
      <w:proofErr w:type="spellStart"/>
      <w:r>
        <w:t>MXene</w:t>
      </w:r>
      <w:proofErr w:type="spellEnd"/>
      <w:r>
        <w:t>-MF at different interfaces under UV spectroscopy.</w:t>
      </w:r>
    </w:p>
    <w:p w14:paraId="4D220207" w14:textId="77777777" w:rsidR="005620A2" w:rsidRDefault="00000000">
      <w:pPr>
        <w:spacing w:line="480" w:lineRule="auto"/>
        <w:ind w:firstLineChars="200" w:firstLine="480"/>
        <w:sectPr w:rsidR="005620A2">
          <w:pgSz w:w="11906" w:h="16838"/>
          <w:pgMar w:top="1440" w:right="1800" w:bottom="1440" w:left="1800" w:header="851" w:footer="992" w:gutter="0"/>
          <w:cols w:space="425"/>
          <w:docGrid w:type="lines" w:linePitch="312"/>
        </w:sectPr>
      </w:pPr>
      <w:r>
        <w:t>The temperatures in the UV spectrum are significantly lower than in the full spectrum and there is a clear constant yield between the different sectors, which also suggests the existence of a temperature gradient between the interfaces. In addition, the temperature difference between the interfaces will contribute to the transfer of matter, also confirming that the presence of interfaces will reduce heat loss.</w:t>
      </w:r>
    </w:p>
    <w:p w14:paraId="2CB4AE65" w14:textId="77777777" w:rsidR="005620A2" w:rsidRDefault="00000000">
      <w:pPr>
        <w:jc w:val="center"/>
      </w:pPr>
      <w:r>
        <w:rPr>
          <w:noProof/>
        </w:rPr>
        <w:lastRenderedPageBreak/>
        <w:drawing>
          <wp:inline distT="0" distB="0" distL="0" distR="0" wp14:anchorId="164E2E34" wp14:editId="504F49DF">
            <wp:extent cx="3907790" cy="2993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2A932917" w14:textId="77777777" w:rsidR="005620A2" w:rsidRDefault="00000000">
      <w:pPr>
        <w:jc w:val="left"/>
      </w:pPr>
      <w:r>
        <w:rPr>
          <w:rFonts w:hint="eastAsia"/>
        </w:rPr>
        <w:t>Fig</w:t>
      </w:r>
      <w:r>
        <w:t>.</w:t>
      </w:r>
      <w:r>
        <w:rPr>
          <w:rFonts w:hint="eastAsia"/>
        </w:rPr>
        <w:t>S</w:t>
      </w:r>
      <w:r>
        <w:t>4 Temperature response of TiO</w:t>
      </w:r>
      <w:r>
        <w:rPr>
          <w:vertAlign w:val="subscript"/>
        </w:rPr>
        <w:t>2</w:t>
      </w:r>
      <w:r>
        <w:t>/</w:t>
      </w:r>
      <w:proofErr w:type="spellStart"/>
      <w:r>
        <w:t>MXene</w:t>
      </w:r>
      <w:proofErr w:type="spellEnd"/>
      <w:r>
        <w:t>-CMF in the UV spectrum.</w:t>
      </w:r>
    </w:p>
    <w:p w14:paraId="6A9C2D5F" w14:textId="77777777" w:rsidR="005620A2" w:rsidRDefault="00000000">
      <w:pPr>
        <w:spacing w:line="480" w:lineRule="auto"/>
        <w:ind w:firstLineChars="200" w:firstLine="480"/>
      </w:pPr>
      <w:r>
        <w:t>The CMF substrate extends the absorption of the spectrum and also increases the light absorption. The photothermal temperature response can be completed in a very short time even under UV spectral irradiation, and at the same time it has an efficient photothermal conversion effect.</w:t>
      </w:r>
    </w:p>
    <w:p w14:paraId="0485836F" w14:textId="77777777" w:rsidR="005620A2" w:rsidRDefault="005620A2">
      <w:pPr>
        <w:jc w:val="center"/>
        <w:sectPr w:rsidR="005620A2">
          <w:pgSz w:w="11906" w:h="16838"/>
          <w:pgMar w:top="1440" w:right="1800" w:bottom="1440" w:left="1800" w:header="851" w:footer="992" w:gutter="0"/>
          <w:cols w:space="425"/>
          <w:docGrid w:type="lines" w:linePitch="312"/>
        </w:sectPr>
      </w:pPr>
    </w:p>
    <w:p w14:paraId="110FFEB6" w14:textId="77777777" w:rsidR="005620A2" w:rsidRDefault="00000000">
      <w:pPr>
        <w:jc w:val="center"/>
      </w:pPr>
      <w:r>
        <w:rPr>
          <w:noProof/>
        </w:rPr>
        <w:lastRenderedPageBreak/>
        <w:drawing>
          <wp:inline distT="0" distB="0" distL="0" distR="0" wp14:anchorId="0CD1C6B5" wp14:editId="66C0C74C">
            <wp:extent cx="3907790" cy="29933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2DAB473D" w14:textId="77777777" w:rsidR="005620A2" w:rsidRDefault="00000000">
      <w:pPr>
        <w:jc w:val="left"/>
      </w:pPr>
      <w:r>
        <w:rPr>
          <w:rFonts w:hint="eastAsia"/>
        </w:rPr>
        <w:t>Fig</w:t>
      </w:r>
      <w:r>
        <w:t>.</w:t>
      </w:r>
      <w:r>
        <w:rPr>
          <w:rFonts w:hint="eastAsia"/>
        </w:rPr>
        <w:t>S</w:t>
      </w:r>
      <w:r>
        <w:t>5 Quality change of TiO</w:t>
      </w:r>
      <w:r>
        <w:rPr>
          <w:vertAlign w:val="subscript"/>
        </w:rPr>
        <w:t>2</w:t>
      </w:r>
      <w:r>
        <w:t>/</w:t>
      </w:r>
      <w:proofErr w:type="spellStart"/>
      <w:r>
        <w:t>MXene</w:t>
      </w:r>
      <w:proofErr w:type="spellEnd"/>
      <w:r>
        <w:t>-CMF in different working conditions.</w:t>
      </w:r>
    </w:p>
    <w:p w14:paraId="1ED8AEB4" w14:textId="77777777" w:rsidR="005620A2" w:rsidRDefault="00000000">
      <w:pPr>
        <w:spacing w:line="480" w:lineRule="auto"/>
        <w:ind w:firstLineChars="200" w:firstLine="480"/>
      </w:pPr>
      <w:r>
        <w:t>There was a significant increase in mass change after replacing the MF substrate with a CMF substrate. And the mass change in the full spectrum was greater than that in the UV spectrum, and the mass change in seawater was greater than that in pure water.</w:t>
      </w:r>
    </w:p>
    <w:p w14:paraId="79B2E410" w14:textId="77777777" w:rsidR="005620A2" w:rsidRDefault="005620A2">
      <w:pPr>
        <w:jc w:val="center"/>
        <w:sectPr w:rsidR="005620A2">
          <w:pgSz w:w="11906" w:h="16838"/>
          <w:pgMar w:top="1440" w:right="1800" w:bottom="1440" w:left="1800" w:header="851" w:footer="992" w:gutter="0"/>
          <w:cols w:space="425"/>
          <w:docGrid w:type="lines" w:linePitch="312"/>
        </w:sectPr>
      </w:pPr>
    </w:p>
    <w:p w14:paraId="5EE42E40" w14:textId="77777777" w:rsidR="005620A2" w:rsidRDefault="00000000">
      <w:pPr>
        <w:jc w:val="center"/>
      </w:pPr>
      <w:r>
        <w:rPr>
          <w:noProof/>
        </w:rPr>
        <w:lastRenderedPageBreak/>
        <w:drawing>
          <wp:inline distT="0" distB="0" distL="0" distR="0" wp14:anchorId="0CAA9BA2" wp14:editId="08215458">
            <wp:extent cx="3907790" cy="299339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72CF3194" w14:textId="77777777" w:rsidR="005620A2" w:rsidRDefault="00000000">
      <w:pPr>
        <w:jc w:val="left"/>
      </w:pPr>
      <w:r>
        <w:rPr>
          <w:rFonts w:hint="eastAsia"/>
        </w:rPr>
        <w:t>Fig</w:t>
      </w:r>
      <w:r>
        <w:t>.</w:t>
      </w:r>
      <w:r>
        <w:rPr>
          <w:rFonts w:hint="eastAsia"/>
        </w:rPr>
        <w:t>S</w:t>
      </w:r>
      <w:r>
        <w:t xml:space="preserve">6 </w:t>
      </w:r>
      <w:proofErr w:type="spellStart"/>
      <w:r>
        <w:rPr>
          <w:rFonts w:eastAsia="仿宋"/>
          <w:szCs w:val="24"/>
        </w:rPr>
        <w:t>Tauc</w:t>
      </w:r>
      <w:proofErr w:type="spellEnd"/>
      <w:r>
        <w:rPr>
          <w:rFonts w:eastAsia="仿宋"/>
          <w:szCs w:val="24"/>
        </w:rPr>
        <w:t xml:space="preserve"> spectra of TiO</w:t>
      </w:r>
      <w:r>
        <w:rPr>
          <w:rFonts w:eastAsia="仿宋"/>
          <w:szCs w:val="24"/>
          <w:vertAlign w:val="subscript"/>
        </w:rPr>
        <w:t>2</w:t>
      </w:r>
      <w:r>
        <w:rPr>
          <w:rFonts w:eastAsia="仿宋"/>
          <w:szCs w:val="24"/>
        </w:rPr>
        <w:t>/</w:t>
      </w:r>
      <w:proofErr w:type="spellStart"/>
      <w:r>
        <w:rPr>
          <w:rFonts w:eastAsia="仿宋"/>
          <w:szCs w:val="24"/>
        </w:rPr>
        <w:t>MXene</w:t>
      </w:r>
      <w:proofErr w:type="spellEnd"/>
      <w:r>
        <w:rPr>
          <w:rFonts w:eastAsia="仿宋"/>
          <w:szCs w:val="24"/>
        </w:rPr>
        <w:t>.</w:t>
      </w:r>
    </w:p>
    <w:p w14:paraId="11ADDCED" w14:textId="77777777" w:rsidR="005620A2" w:rsidRDefault="005620A2">
      <w:pPr>
        <w:sectPr w:rsidR="005620A2">
          <w:pgSz w:w="11906" w:h="16838"/>
          <w:pgMar w:top="1440" w:right="1800" w:bottom="1440" w:left="1800" w:header="851" w:footer="992" w:gutter="0"/>
          <w:cols w:space="425"/>
          <w:docGrid w:type="lines" w:linePitch="312"/>
        </w:sectPr>
      </w:pPr>
    </w:p>
    <w:p w14:paraId="560121C6" w14:textId="77777777" w:rsidR="005620A2" w:rsidRDefault="00000000">
      <w:pPr>
        <w:jc w:val="center"/>
      </w:pPr>
      <w:r>
        <w:rPr>
          <w:noProof/>
        </w:rPr>
        <w:lastRenderedPageBreak/>
        <w:drawing>
          <wp:inline distT="0" distB="0" distL="0" distR="0" wp14:anchorId="01AD7A2E" wp14:editId="7734F1C0">
            <wp:extent cx="3907790" cy="29933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0479932F" w14:textId="77777777" w:rsidR="005620A2" w:rsidRDefault="00000000">
      <w:pPr>
        <w:jc w:val="left"/>
        <w:rPr>
          <w:rFonts w:eastAsia="仿宋"/>
          <w:szCs w:val="24"/>
        </w:rPr>
      </w:pPr>
      <w:r>
        <w:rPr>
          <w:rFonts w:hint="eastAsia"/>
        </w:rPr>
        <w:t>Fig</w:t>
      </w:r>
      <w:r>
        <w:t>.</w:t>
      </w:r>
      <w:r>
        <w:rPr>
          <w:rFonts w:hint="eastAsia"/>
        </w:rPr>
        <w:t>S</w:t>
      </w:r>
      <w:r>
        <w:t xml:space="preserve">7 </w:t>
      </w:r>
      <w:r>
        <w:rPr>
          <w:rFonts w:eastAsia="仿宋"/>
          <w:szCs w:val="24"/>
        </w:rPr>
        <w:t>Mott-Schottky spectra of TiO</w:t>
      </w:r>
      <w:r>
        <w:rPr>
          <w:rFonts w:eastAsia="仿宋"/>
          <w:szCs w:val="24"/>
          <w:vertAlign w:val="subscript"/>
        </w:rPr>
        <w:t>2</w:t>
      </w:r>
      <w:r>
        <w:rPr>
          <w:rFonts w:eastAsia="仿宋"/>
          <w:szCs w:val="24"/>
        </w:rPr>
        <w:t>/</w:t>
      </w:r>
      <w:proofErr w:type="spellStart"/>
      <w:r>
        <w:rPr>
          <w:rFonts w:eastAsia="仿宋"/>
          <w:szCs w:val="24"/>
        </w:rPr>
        <w:t>MXene</w:t>
      </w:r>
      <w:proofErr w:type="spellEnd"/>
      <w:r>
        <w:rPr>
          <w:rFonts w:eastAsia="仿宋"/>
          <w:szCs w:val="24"/>
        </w:rPr>
        <w:t>.</w:t>
      </w:r>
    </w:p>
    <w:p w14:paraId="471014EA" w14:textId="77777777" w:rsidR="005620A2" w:rsidRDefault="005620A2">
      <w:pPr>
        <w:jc w:val="center"/>
        <w:sectPr w:rsidR="005620A2">
          <w:pgSz w:w="11906" w:h="16838"/>
          <w:pgMar w:top="1440" w:right="1800" w:bottom="1440" w:left="1800" w:header="851" w:footer="992" w:gutter="0"/>
          <w:cols w:space="425"/>
          <w:docGrid w:type="lines" w:linePitch="312"/>
        </w:sectPr>
      </w:pPr>
    </w:p>
    <w:p w14:paraId="4EFF409B" w14:textId="77777777" w:rsidR="005620A2" w:rsidRDefault="00000000">
      <w:pPr>
        <w:jc w:val="center"/>
      </w:pPr>
      <w:r>
        <w:rPr>
          <w:noProof/>
        </w:rPr>
        <w:lastRenderedPageBreak/>
        <w:drawing>
          <wp:inline distT="0" distB="0" distL="0" distR="0" wp14:anchorId="452B580D" wp14:editId="2ADDBA86">
            <wp:extent cx="3907790" cy="29933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315E4DDB" w14:textId="77777777" w:rsidR="005620A2" w:rsidRDefault="00000000">
      <w:pPr>
        <w:jc w:val="left"/>
      </w:pPr>
      <w:r>
        <w:rPr>
          <w:rFonts w:hint="eastAsia"/>
        </w:rPr>
        <w:t>Fig</w:t>
      </w:r>
      <w:r>
        <w:t>.</w:t>
      </w:r>
      <w:r>
        <w:rPr>
          <w:rFonts w:hint="eastAsia"/>
        </w:rPr>
        <w:t>S</w:t>
      </w:r>
      <w:r>
        <w:t xml:space="preserve">8 </w:t>
      </w:r>
      <w:r>
        <w:rPr>
          <w:rFonts w:eastAsia="仿宋"/>
          <w:szCs w:val="24"/>
        </w:rPr>
        <w:t>EIS spectra of TiO</w:t>
      </w:r>
      <w:r>
        <w:rPr>
          <w:rFonts w:eastAsia="仿宋"/>
          <w:szCs w:val="24"/>
          <w:vertAlign w:val="subscript"/>
        </w:rPr>
        <w:t>2</w:t>
      </w:r>
      <w:r>
        <w:rPr>
          <w:rFonts w:eastAsia="仿宋"/>
          <w:szCs w:val="24"/>
        </w:rPr>
        <w:t>/</w:t>
      </w:r>
      <w:proofErr w:type="spellStart"/>
      <w:r>
        <w:rPr>
          <w:rFonts w:eastAsia="仿宋"/>
          <w:szCs w:val="24"/>
        </w:rPr>
        <w:t>MXene</w:t>
      </w:r>
      <w:proofErr w:type="spellEnd"/>
      <w:r>
        <w:rPr>
          <w:rFonts w:eastAsia="仿宋"/>
          <w:szCs w:val="24"/>
        </w:rPr>
        <w:t>.</w:t>
      </w:r>
    </w:p>
    <w:p w14:paraId="09DD9258" w14:textId="77777777" w:rsidR="005620A2" w:rsidRDefault="005620A2">
      <w:pPr>
        <w:jc w:val="center"/>
        <w:sectPr w:rsidR="005620A2">
          <w:pgSz w:w="11906" w:h="16838"/>
          <w:pgMar w:top="1440" w:right="1800" w:bottom="1440" w:left="1800" w:header="851" w:footer="992" w:gutter="0"/>
          <w:cols w:space="425"/>
          <w:docGrid w:type="lines" w:linePitch="312"/>
        </w:sectPr>
      </w:pPr>
    </w:p>
    <w:p w14:paraId="1443EDE6" w14:textId="77777777" w:rsidR="005620A2" w:rsidRDefault="00000000">
      <w:pPr>
        <w:jc w:val="center"/>
      </w:pPr>
      <w:r>
        <w:rPr>
          <w:noProof/>
        </w:rPr>
        <w:lastRenderedPageBreak/>
        <w:drawing>
          <wp:inline distT="0" distB="0" distL="0" distR="0" wp14:anchorId="17496B51" wp14:editId="76A6C496">
            <wp:extent cx="3907790" cy="29933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0D0A3F50" w14:textId="77777777" w:rsidR="005620A2" w:rsidRDefault="00000000">
      <w:pPr>
        <w:jc w:val="left"/>
      </w:pPr>
      <w:r>
        <w:rPr>
          <w:rFonts w:hint="eastAsia"/>
        </w:rPr>
        <w:t>Fig</w:t>
      </w:r>
      <w:r>
        <w:t>.</w:t>
      </w:r>
      <w:r>
        <w:rPr>
          <w:rFonts w:hint="eastAsia"/>
        </w:rPr>
        <w:t>S</w:t>
      </w:r>
      <w:r>
        <w:t xml:space="preserve">9 </w:t>
      </w:r>
      <w:r>
        <w:rPr>
          <w:rFonts w:eastAsia="仿宋"/>
          <w:szCs w:val="24"/>
        </w:rPr>
        <w:t>XRD pattern of TiO</w:t>
      </w:r>
      <w:r>
        <w:rPr>
          <w:rFonts w:eastAsia="仿宋"/>
          <w:szCs w:val="24"/>
          <w:vertAlign w:val="subscript"/>
        </w:rPr>
        <w:t>2</w:t>
      </w:r>
      <w:r>
        <w:rPr>
          <w:rFonts w:eastAsia="仿宋"/>
          <w:szCs w:val="24"/>
        </w:rPr>
        <w:t>/</w:t>
      </w:r>
      <w:proofErr w:type="spellStart"/>
      <w:r>
        <w:rPr>
          <w:rFonts w:eastAsia="仿宋"/>
          <w:szCs w:val="24"/>
        </w:rPr>
        <w:t>MXene</w:t>
      </w:r>
      <w:proofErr w:type="spellEnd"/>
      <w:r>
        <w:rPr>
          <w:rFonts w:eastAsia="仿宋"/>
          <w:szCs w:val="24"/>
        </w:rPr>
        <w:t>.</w:t>
      </w:r>
    </w:p>
    <w:p w14:paraId="5D2BA0B9" w14:textId="77777777" w:rsidR="005620A2" w:rsidRDefault="005620A2">
      <w:pPr>
        <w:jc w:val="center"/>
        <w:sectPr w:rsidR="005620A2">
          <w:pgSz w:w="11906" w:h="16838"/>
          <w:pgMar w:top="1440" w:right="1800" w:bottom="1440" w:left="1800" w:header="851" w:footer="992" w:gutter="0"/>
          <w:cols w:space="425"/>
          <w:docGrid w:type="lines" w:linePitch="312"/>
        </w:sectPr>
      </w:pPr>
    </w:p>
    <w:p w14:paraId="6DC1D00A" w14:textId="77777777" w:rsidR="005620A2" w:rsidRDefault="00000000">
      <w:pPr>
        <w:jc w:val="center"/>
      </w:pPr>
      <w:r>
        <w:rPr>
          <w:noProof/>
        </w:rPr>
        <w:lastRenderedPageBreak/>
        <w:drawing>
          <wp:inline distT="0" distB="0" distL="0" distR="0" wp14:anchorId="76D0973D" wp14:editId="3B46FCF7">
            <wp:extent cx="3907790" cy="299339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3F5712FC" w14:textId="77777777" w:rsidR="005620A2" w:rsidRDefault="00000000">
      <w:pPr>
        <w:jc w:val="left"/>
        <w:rPr>
          <w:rFonts w:eastAsia="仿宋"/>
          <w:szCs w:val="24"/>
        </w:rPr>
        <w:sectPr w:rsidR="005620A2">
          <w:pgSz w:w="11906" w:h="16838"/>
          <w:pgMar w:top="1440" w:right="1800" w:bottom="1440" w:left="1800" w:header="851" w:footer="992" w:gutter="0"/>
          <w:cols w:space="425"/>
          <w:docGrid w:type="lines" w:linePitch="312"/>
        </w:sectPr>
      </w:pPr>
      <w:r>
        <w:rPr>
          <w:rFonts w:hint="eastAsia"/>
        </w:rPr>
        <w:t>Fig</w:t>
      </w:r>
      <w:r>
        <w:t>.</w:t>
      </w:r>
      <w:r>
        <w:rPr>
          <w:rFonts w:hint="eastAsia"/>
        </w:rPr>
        <w:t>S</w:t>
      </w:r>
      <w:r>
        <w:t xml:space="preserve">10 </w:t>
      </w:r>
      <w:r>
        <w:rPr>
          <w:rFonts w:eastAsia="仿宋"/>
          <w:szCs w:val="24"/>
        </w:rPr>
        <w:t>C-element XPS spectra of TiO</w:t>
      </w:r>
      <w:r>
        <w:rPr>
          <w:rFonts w:eastAsia="仿宋"/>
          <w:szCs w:val="24"/>
          <w:vertAlign w:val="subscript"/>
        </w:rPr>
        <w:t>2</w:t>
      </w:r>
      <w:r>
        <w:rPr>
          <w:rFonts w:eastAsia="仿宋"/>
          <w:szCs w:val="24"/>
        </w:rPr>
        <w:t>/</w:t>
      </w:r>
      <w:proofErr w:type="spellStart"/>
      <w:r>
        <w:rPr>
          <w:rFonts w:eastAsia="仿宋"/>
          <w:szCs w:val="24"/>
        </w:rPr>
        <w:t>MXene</w:t>
      </w:r>
      <w:proofErr w:type="spellEnd"/>
      <w:r>
        <w:rPr>
          <w:rFonts w:eastAsia="仿宋"/>
          <w:szCs w:val="24"/>
        </w:rPr>
        <w:t>.</w:t>
      </w:r>
    </w:p>
    <w:p w14:paraId="0A801110" w14:textId="77777777" w:rsidR="005620A2" w:rsidRDefault="00000000">
      <w:pPr>
        <w:jc w:val="center"/>
      </w:pPr>
      <w:r>
        <w:rPr>
          <w:noProof/>
        </w:rPr>
        <w:lastRenderedPageBreak/>
        <w:drawing>
          <wp:inline distT="0" distB="0" distL="0" distR="0" wp14:anchorId="2D6368AC" wp14:editId="59B35943">
            <wp:extent cx="3907790" cy="29933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6E1B392C" w14:textId="77777777" w:rsidR="005620A2" w:rsidRDefault="00000000">
      <w:pPr>
        <w:jc w:val="left"/>
        <w:sectPr w:rsidR="005620A2">
          <w:pgSz w:w="11906" w:h="16838"/>
          <w:pgMar w:top="1440" w:right="1800" w:bottom="1440" w:left="1800" w:header="851" w:footer="992" w:gutter="0"/>
          <w:cols w:space="425"/>
          <w:docGrid w:type="lines" w:linePitch="312"/>
        </w:sectPr>
      </w:pPr>
      <w:r>
        <w:rPr>
          <w:rFonts w:hint="eastAsia"/>
        </w:rPr>
        <w:t>Fig</w:t>
      </w:r>
      <w:r>
        <w:t>.</w:t>
      </w:r>
      <w:r>
        <w:rPr>
          <w:rFonts w:hint="eastAsia"/>
        </w:rPr>
        <w:t>S</w:t>
      </w:r>
      <w:r>
        <w:t xml:space="preserve">11 </w:t>
      </w:r>
      <w:r>
        <w:rPr>
          <w:vertAlign w:val="superscript"/>
        </w:rPr>
        <w:t>1</w:t>
      </w:r>
      <w:r>
        <w:t>H NMR spectra of the reaction solution.</w:t>
      </w:r>
    </w:p>
    <w:p w14:paraId="256D4D30" w14:textId="77777777" w:rsidR="005620A2" w:rsidRDefault="00000000">
      <w:pPr>
        <w:jc w:val="center"/>
      </w:pPr>
      <w:r>
        <w:rPr>
          <w:noProof/>
        </w:rPr>
        <w:lastRenderedPageBreak/>
        <w:drawing>
          <wp:inline distT="0" distB="0" distL="0" distR="0" wp14:anchorId="507443D1" wp14:editId="175A9905">
            <wp:extent cx="3907790" cy="299339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907790" cy="2993390"/>
                    </a:xfrm>
                    <a:prstGeom prst="rect">
                      <a:avLst/>
                    </a:prstGeom>
                    <a:noFill/>
                    <a:ln>
                      <a:noFill/>
                    </a:ln>
                  </pic:spPr>
                </pic:pic>
              </a:graphicData>
            </a:graphic>
          </wp:inline>
        </w:drawing>
      </w:r>
    </w:p>
    <w:p w14:paraId="6D36FC2F" w14:textId="77777777" w:rsidR="005620A2" w:rsidRDefault="00000000">
      <w:pPr>
        <w:spacing w:line="480" w:lineRule="auto"/>
        <w:jc w:val="left"/>
      </w:pPr>
      <w:r>
        <w:rPr>
          <w:rFonts w:hint="eastAsia"/>
        </w:rPr>
        <w:t>Fig</w:t>
      </w:r>
      <w:r>
        <w:t>.</w:t>
      </w:r>
      <w:r>
        <w:rPr>
          <w:rFonts w:hint="eastAsia"/>
        </w:rPr>
        <w:t>S</w:t>
      </w:r>
      <w:r>
        <w:t>12 CO</w:t>
      </w:r>
      <w:r>
        <w:rPr>
          <w:vertAlign w:val="subscript"/>
        </w:rPr>
        <w:t>2</w:t>
      </w:r>
      <w:r>
        <w:t xml:space="preserve"> reduction rate with different substrate loadings.</w:t>
      </w:r>
    </w:p>
    <w:p w14:paraId="7175776E" w14:textId="77777777" w:rsidR="005620A2" w:rsidRDefault="00000000">
      <w:pPr>
        <w:spacing w:line="480" w:lineRule="auto"/>
      </w:pPr>
      <w:r>
        <w:t>First, the CO</w:t>
      </w:r>
      <w:r>
        <w:rPr>
          <w:vertAlign w:val="subscript"/>
        </w:rPr>
        <w:t>2</w:t>
      </w:r>
      <w:r>
        <w:t xml:space="preserve"> reduction performance of TiO</w:t>
      </w:r>
      <w:r>
        <w:rPr>
          <w:vertAlign w:val="subscript"/>
        </w:rPr>
        <w:t>2</w:t>
      </w:r>
      <w:r>
        <w:t>-MXene/MF and TiO</w:t>
      </w:r>
      <w:r>
        <w:rPr>
          <w:vertAlign w:val="subscript"/>
        </w:rPr>
        <w:t>2</w:t>
      </w:r>
      <w:r>
        <w:t>-MXene/CMF was comparatively tested. As shown in Fig.S12, MF as well as CMF did not exhibit catalytic performance even with a contactless photocatalytic reactor. Therefore, loading the catalyst is the key to achieve the catalytic performance. Finally, the catalytic rates of TiO</w:t>
      </w:r>
      <w:r>
        <w:rPr>
          <w:vertAlign w:val="subscript"/>
        </w:rPr>
        <w:t>2</w:t>
      </w:r>
      <w:r>
        <w:t>-MXene/MF and TiO</w:t>
      </w:r>
      <w:r>
        <w:rPr>
          <w:vertAlign w:val="subscript"/>
        </w:rPr>
        <w:t>2</w:t>
      </w:r>
      <w:r>
        <w:t xml:space="preserve">-MXene/CMF were 161.3 </w:t>
      </w:r>
      <w:proofErr w:type="spellStart"/>
      <w:r>
        <w:t>umol</w:t>
      </w:r>
      <w:proofErr w:type="spellEnd"/>
      <w:r>
        <w:t xml:space="preserve"> g</w:t>
      </w:r>
      <w:r>
        <w:rPr>
          <w:vertAlign w:val="superscript"/>
        </w:rPr>
        <w:t>-1</w:t>
      </w:r>
      <w:r>
        <w:t xml:space="preserve"> h</w:t>
      </w:r>
      <w:r>
        <w:rPr>
          <w:vertAlign w:val="superscript"/>
        </w:rPr>
        <w:t>-1</w:t>
      </w:r>
      <w:r>
        <w:t xml:space="preserve"> and 680.7 </w:t>
      </w:r>
      <w:proofErr w:type="spellStart"/>
      <w:r>
        <w:t>umol</w:t>
      </w:r>
      <w:proofErr w:type="spellEnd"/>
      <w:r>
        <w:t xml:space="preserve"> g</w:t>
      </w:r>
      <w:r>
        <w:rPr>
          <w:vertAlign w:val="superscript"/>
        </w:rPr>
        <w:t>-1</w:t>
      </w:r>
      <w:r>
        <w:t xml:space="preserve"> h</w:t>
      </w:r>
      <w:r>
        <w:rPr>
          <w:vertAlign w:val="superscript"/>
        </w:rPr>
        <w:t>-1</w:t>
      </w:r>
      <w:r>
        <w:t>, respectively, when pure water was employed as the reactant. The comparison of the two revealed that stronger photothermal effect leads to better photocatalytic performance, i.e., good utilization of photothermal heat helps to inhibit the photogenerated electron-hole pair complexation. Therefore, improving the efficiency of the utilization of photothermal conversion is also one of the important paths to enhance photocatalysis.</w:t>
      </w:r>
    </w:p>
    <w:sectPr w:rsidR="005620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715C" w14:textId="77777777" w:rsidR="00AB6C06" w:rsidRDefault="00AB6C06">
      <w:r>
        <w:separator/>
      </w:r>
    </w:p>
  </w:endnote>
  <w:endnote w:type="continuationSeparator" w:id="0">
    <w:p w14:paraId="205D199C" w14:textId="77777777" w:rsidR="00AB6C06" w:rsidRDefault="00AB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EB09" w14:textId="77777777" w:rsidR="00AB6C06" w:rsidRDefault="00AB6C06">
      <w:r>
        <w:separator/>
      </w:r>
    </w:p>
  </w:footnote>
  <w:footnote w:type="continuationSeparator" w:id="0">
    <w:p w14:paraId="44EA6815" w14:textId="77777777" w:rsidR="00AB6C06" w:rsidRDefault="00AB6C06">
      <w:r>
        <w:continuationSeparator/>
      </w:r>
    </w:p>
  </w:footnote>
  <w:footnote w:id="1">
    <w:p w14:paraId="4B6D4D6F" w14:textId="77777777" w:rsidR="00E61FDB" w:rsidRDefault="00E61FDB" w:rsidP="00E61FDB">
      <w:pPr>
        <w:pStyle w:val="a4"/>
        <w:ind w:firstLine="480"/>
        <w:rPr>
          <w:rFonts w:cs="Times New Roman"/>
        </w:rPr>
      </w:pPr>
      <w:r>
        <w:rPr>
          <w:rStyle w:val="aa"/>
        </w:rPr>
        <w:t>*</w:t>
      </w:r>
      <w:r>
        <w:rPr>
          <w:rFonts w:cs="Times New Roman"/>
        </w:rPr>
        <w:t>Corresponding author.</w:t>
      </w:r>
    </w:p>
    <w:p w14:paraId="3B40765D" w14:textId="77777777" w:rsidR="00E61FDB" w:rsidRDefault="00E61FDB" w:rsidP="00E61FDB">
      <w:pPr>
        <w:pStyle w:val="a4"/>
        <w:ind w:firstLine="480"/>
      </w:pPr>
      <w:r>
        <w:rPr>
          <w:rFonts w:cs="Times New Roman"/>
        </w:rPr>
        <w:t xml:space="preserve">E-mail addresses: </w:t>
      </w:r>
      <w:r w:rsidRPr="007324EE">
        <w:rPr>
          <w:rFonts w:cs="Times New Roman"/>
        </w:rPr>
        <w:t>kun_liu@chng.com.cn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04027"/>
    <w:multiLevelType w:val="multilevel"/>
    <w:tmpl w:val="2C004027"/>
    <w:lvl w:ilvl="0">
      <w:start w:val="1"/>
      <w:numFmt w:val="decimal"/>
      <w:pStyle w:val="a"/>
      <w:lvlText w:val="（%1）"/>
      <w:lvlJc w:val="righ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16cid:durableId="26288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D2"/>
    <w:rsid w:val="000031D3"/>
    <w:rsid w:val="00017777"/>
    <w:rsid w:val="00017F47"/>
    <w:rsid w:val="00025052"/>
    <w:rsid w:val="00031AC7"/>
    <w:rsid w:val="000B31EE"/>
    <w:rsid w:val="000B32E1"/>
    <w:rsid w:val="00126F7D"/>
    <w:rsid w:val="0013372F"/>
    <w:rsid w:val="00152F8D"/>
    <w:rsid w:val="00170F13"/>
    <w:rsid w:val="001D45F8"/>
    <w:rsid w:val="001D5D6D"/>
    <w:rsid w:val="002271AD"/>
    <w:rsid w:val="00261408"/>
    <w:rsid w:val="002826FA"/>
    <w:rsid w:val="00286403"/>
    <w:rsid w:val="00293AE5"/>
    <w:rsid w:val="003317B7"/>
    <w:rsid w:val="00351FC2"/>
    <w:rsid w:val="00371609"/>
    <w:rsid w:val="003A3627"/>
    <w:rsid w:val="004175BC"/>
    <w:rsid w:val="004559C2"/>
    <w:rsid w:val="004603B7"/>
    <w:rsid w:val="00532DE3"/>
    <w:rsid w:val="00536474"/>
    <w:rsid w:val="005620A2"/>
    <w:rsid w:val="00566B7A"/>
    <w:rsid w:val="005A1573"/>
    <w:rsid w:val="005F3B5E"/>
    <w:rsid w:val="007A466E"/>
    <w:rsid w:val="007C7B84"/>
    <w:rsid w:val="007F3EB3"/>
    <w:rsid w:val="00856108"/>
    <w:rsid w:val="00870040"/>
    <w:rsid w:val="008A42B2"/>
    <w:rsid w:val="008B7512"/>
    <w:rsid w:val="00973FEF"/>
    <w:rsid w:val="009D568F"/>
    <w:rsid w:val="00A359E8"/>
    <w:rsid w:val="00A40186"/>
    <w:rsid w:val="00AB6C06"/>
    <w:rsid w:val="00AF7426"/>
    <w:rsid w:val="00B1417A"/>
    <w:rsid w:val="00C00EAA"/>
    <w:rsid w:val="00C011A3"/>
    <w:rsid w:val="00C031F4"/>
    <w:rsid w:val="00C13C71"/>
    <w:rsid w:val="00C204B9"/>
    <w:rsid w:val="00C77BF9"/>
    <w:rsid w:val="00CB63CD"/>
    <w:rsid w:val="00CD5BB3"/>
    <w:rsid w:val="00CF4C55"/>
    <w:rsid w:val="00D37AE6"/>
    <w:rsid w:val="00E13355"/>
    <w:rsid w:val="00E330F6"/>
    <w:rsid w:val="00E465B3"/>
    <w:rsid w:val="00E61FDB"/>
    <w:rsid w:val="00E95290"/>
    <w:rsid w:val="00EA4EDF"/>
    <w:rsid w:val="00F15187"/>
    <w:rsid w:val="00F255C4"/>
    <w:rsid w:val="00F842DD"/>
    <w:rsid w:val="00FA5035"/>
    <w:rsid w:val="00FB0CD2"/>
    <w:rsid w:val="00FC4182"/>
    <w:rsid w:val="3F6C5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C348F"/>
  <w15:docId w15:val="{2819065A-6AE3-46E0-8011-4C3661C4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imes New Roman" w:hAnsi="Times New Roman"/>
      <w:kern w:val="2"/>
      <w:sz w:val="24"/>
      <w:szCs w:val="21"/>
    </w:rPr>
  </w:style>
  <w:style w:type="paragraph" w:styleId="1">
    <w:name w:val="heading 1"/>
    <w:basedOn w:val="a0"/>
    <w:link w:val="10"/>
    <w:uiPriority w:val="9"/>
    <w:qFormat/>
    <w:pPr>
      <w:autoSpaceDE w:val="0"/>
      <w:autoSpaceDN w:val="0"/>
      <w:spacing w:before="80" w:line="787" w:lineRule="exact"/>
      <w:ind w:left="119" w:firstLine="238"/>
      <w:jc w:val="left"/>
      <w:outlineLvl w:val="0"/>
    </w:pPr>
    <w:rPr>
      <w:rFonts w:ascii="Tahoma" w:eastAsia="Gill Sans MT" w:hAnsi="Tahoma" w:cs="Gill Sans MT"/>
      <w:b/>
      <w:bCs/>
      <w:kern w:val="0"/>
      <w:sz w:val="32"/>
      <w:szCs w:val="35"/>
      <w:lang w:eastAsia="en-US"/>
    </w:rPr>
  </w:style>
  <w:style w:type="paragraph" w:styleId="2">
    <w:name w:val="heading 2"/>
    <w:basedOn w:val="a0"/>
    <w:next w:val="a0"/>
    <w:link w:val="20"/>
    <w:uiPriority w:val="9"/>
    <w:unhideWhenUsed/>
    <w:qFormat/>
    <w:pPr>
      <w:keepNext/>
      <w:keepLines/>
      <w:spacing w:before="45"/>
      <w:ind w:left="822" w:hanging="709"/>
      <w:outlineLvl w:val="1"/>
    </w:pPr>
    <w:rPr>
      <w:rFonts w:ascii="Tahoma" w:eastAsiaTheme="majorEastAsia" w:hAnsi="Tahoma" w:cstheme="majorBidi"/>
      <w:b/>
      <w:bCs/>
      <w:sz w:val="23"/>
      <w:szCs w:val="32"/>
    </w:rPr>
  </w:style>
  <w:style w:type="paragraph" w:styleId="3">
    <w:name w:val="heading 3"/>
    <w:basedOn w:val="a0"/>
    <w:next w:val="a0"/>
    <w:link w:val="30"/>
    <w:uiPriority w:val="9"/>
    <w:unhideWhenUsed/>
    <w:qFormat/>
    <w:pPr>
      <w:keepNext/>
      <w:keepLines/>
      <w:spacing w:before="45" w:after="45"/>
      <w:ind w:left="822" w:hanging="709"/>
      <w:outlineLvl w:val="2"/>
    </w:pPr>
    <w:rPr>
      <w:rFonts w:ascii="Tahoma" w:hAnsi="Tahoma"/>
      <w:b/>
      <w:bCs/>
      <w:sz w:val="22"/>
      <w:szCs w:val="32"/>
    </w:rPr>
  </w:style>
  <w:style w:type="paragraph" w:styleId="4">
    <w:name w:val="heading 4"/>
    <w:basedOn w:val="a0"/>
    <w:next w:val="a0"/>
    <w:link w:val="40"/>
    <w:uiPriority w:val="9"/>
    <w:unhideWhenUsed/>
    <w:qFormat/>
    <w:pPr>
      <w:keepNext/>
      <w:keepLines/>
      <w:spacing w:before="45" w:after="45"/>
      <w:ind w:left="822" w:hanging="709"/>
      <w:outlineLvl w:val="3"/>
    </w:pPr>
    <w:rPr>
      <w:rFonts w:ascii="Tahoma" w:eastAsiaTheme="majorEastAsia" w:hAnsi="Tahoma" w:cstheme="majorBidi"/>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semiHidden/>
    <w:unhideWhenUsed/>
    <w:pPr>
      <w:spacing w:after="120"/>
    </w:pPr>
  </w:style>
  <w:style w:type="paragraph" w:styleId="a6">
    <w:name w:val="footer"/>
    <w:basedOn w:val="a0"/>
    <w:link w:val="a7"/>
    <w:uiPriority w:val="99"/>
    <w:unhideWhenUsed/>
    <w:pPr>
      <w:tabs>
        <w:tab w:val="center" w:pos="4153"/>
        <w:tab w:val="right" w:pos="8306"/>
      </w:tabs>
      <w:snapToGrid w:val="0"/>
      <w:jc w:val="left"/>
    </w:pPr>
    <w:rPr>
      <w:sz w:val="18"/>
      <w:szCs w:val="18"/>
    </w:rPr>
  </w:style>
  <w:style w:type="paragraph" w:styleId="a8">
    <w:name w:val="header"/>
    <w:basedOn w:val="a0"/>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footnote reference"/>
    <w:semiHidden/>
    <w:qFormat/>
    <w:rPr>
      <w:vertAlign w:val="superscript"/>
    </w:rPr>
  </w:style>
  <w:style w:type="paragraph" w:customStyle="1" w:styleId="a">
    <w:name w:val="公式居中"/>
    <w:basedOn w:val="a0"/>
    <w:next w:val="a0"/>
    <w:autoRedefine/>
    <w:qFormat/>
    <w:pPr>
      <w:numPr>
        <w:numId w:val="1"/>
      </w:numPr>
      <w:tabs>
        <w:tab w:val="center" w:pos="4150"/>
        <w:tab w:val="center" w:pos="10104"/>
      </w:tabs>
      <w:spacing w:line="360" w:lineRule="auto"/>
      <w:ind w:firstLineChars="200" w:firstLine="200"/>
      <w:jc w:val="right"/>
    </w:pPr>
    <w:rPr>
      <w:sz w:val="28"/>
      <w:szCs w:val="28"/>
    </w:rPr>
  </w:style>
  <w:style w:type="character" w:customStyle="1" w:styleId="10">
    <w:name w:val="标题 1 字符"/>
    <w:basedOn w:val="a1"/>
    <w:link w:val="1"/>
    <w:uiPriority w:val="9"/>
    <w:qFormat/>
    <w:rPr>
      <w:rFonts w:ascii="Tahoma" w:eastAsia="Gill Sans MT" w:hAnsi="Tahoma" w:cs="Gill Sans MT"/>
      <w:b/>
      <w:bCs/>
      <w:kern w:val="0"/>
      <w:sz w:val="32"/>
      <w:szCs w:val="35"/>
      <w:lang w:eastAsia="en-US"/>
    </w:rPr>
  </w:style>
  <w:style w:type="character" w:customStyle="1" w:styleId="20">
    <w:name w:val="标题 2 字符"/>
    <w:basedOn w:val="a1"/>
    <w:link w:val="2"/>
    <w:uiPriority w:val="9"/>
    <w:rPr>
      <w:rFonts w:ascii="Tahoma" w:eastAsiaTheme="majorEastAsia" w:hAnsi="Tahoma" w:cstheme="majorBidi"/>
      <w:b/>
      <w:bCs/>
      <w:sz w:val="23"/>
      <w:szCs w:val="32"/>
    </w:rPr>
  </w:style>
  <w:style w:type="character" w:customStyle="1" w:styleId="30">
    <w:name w:val="标题 3 字符"/>
    <w:basedOn w:val="a1"/>
    <w:link w:val="3"/>
    <w:uiPriority w:val="9"/>
    <w:rPr>
      <w:rFonts w:ascii="Tahoma" w:hAnsi="Tahoma"/>
      <w:b/>
      <w:bCs/>
      <w:sz w:val="22"/>
      <w:szCs w:val="32"/>
    </w:rPr>
  </w:style>
  <w:style w:type="character" w:customStyle="1" w:styleId="40">
    <w:name w:val="标题 4 字符"/>
    <w:basedOn w:val="a1"/>
    <w:link w:val="4"/>
    <w:uiPriority w:val="9"/>
    <w:rPr>
      <w:rFonts w:ascii="Tahoma" w:eastAsiaTheme="majorEastAsia" w:hAnsi="Tahoma" w:cstheme="majorBidi"/>
      <w:b/>
      <w:bCs/>
      <w:szCs w:val="28"/>
    </w:rPr>
  </w:style>
  <w:style w:type="paragraph" w:customStyle="1" w:styleId="ab">
    <w:name w:val="公式"/>
    <w:basedOn w:val="a0"/>
    <w:next w:val="a0"/>
    <w:autoRedefine/>
    <w:qFormat/>
    <w:pPr>
      <w:tabs>
        <w:tab w:val="center" w:pos="4150"/>
        <w:tab w:val="center" w:pos="10104"/>
      </w:tabs>
      <w:spacing w:line="480" w:lineRule="auto"/>
    </w:pPr>
    <w:rPr>
      <w:rFonts w:cs="Times New Roman"/>
      <w:szCs w:val="24"/>
    </w:rPr>
  </w:style>
  <w:style w:type="character" w:customStyle="1" w:styleId="a9">
    <w:name w:val="页眉 字符"/>
    <w:basedOn w:val="a1"/>
    <w:link w:val="a8"/>
    <w:uiPriority w:val="99"/>
    <w:rPr>
      <w:sz w:val="18"/>
      <w:szCs w:val="18"/>
    </w:rPr>
  </w:style>
  <w:style w:type="character" w:customStyle="1" w:styleId="a7">
    <w:name w:val="页脚 字符"/>
    <w:basedOn w:val="a1"/>
    <w:link w:val="a6"/>
    <w:uiPriority w:val="99"/>
    <w:rPr>
      <w:sz w:val="18"/>
      <w:szCs w:val="18"/>
    </w:rPr>
  </w:style>
  <w:style w:type="character" w:customStyle="1" w:styleId="a5">
    <w:name w:val="正文文本 字符"/>
    <w:basedOn w:val="a1"/>
    <w:link w:val="a4"/>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FF0DDC0D-3039-457F-8DD5-582621FC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548</Words>
  <Characters>3171</Characters>
  <Application>Microsoft Office Word</Application>
  <DocSecurity>0</DocSecurity>
  <Lines>85</Lines>
  <Paragraphs>26</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Kun</dc:creator>
  <cp:lastModifiedBy>Kun Liu</cp:lastModifiedBy>
  <cp:revision>19</cp:revision>
  <dcterms:created xsi:type="dcterms:W3CDTF">2025-01-14T06:39:00Z</dcterms:created>
  <dcterms:modified xsi:type="dcterms:W3CDTF">2026-06-15T00:26:00Z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eyJoZGlkIjoiMjUyZmExY2M2ODgyYmEyYmRkMTM1ZmFlOTc5ZTA5MDUiLCJ1c2VySWQiOiIxNzg2MzYyNDgyIn0=</vt:lpwstr>
  </property>
  <property fmtid="{D5CDD505-2E9C-101B-9397-08002B2CF9AE}" pid="3" name="KSOProductBuildVer">
    <vt:lpwstr>2052-12.1.0.23542</vt:lpwstr>
  </property>
  <property fmtid="{D5CDD505-2E9C-101B-9397-08002B2CF9AE}" pid="4" name="ICV">
    <vt:lpwstr>EE4AC0ED43D5413097E0065CE0CA8D0C_12</vt:lpwstr>
  </property>
</Properties>
</file>