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B7F28" w14:textId="4279AFCC" w:rsidR="00EA672E" w:rsidRDefault="000D1299" w:rsidP="00EA672E">
      <w:pPr>
        <w:widowControl/>
        <w:spacing w:line="48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EA672E">
        <w:rPr>
          <w:rFonts w:ascii="Times New Roman" w:hAnsi="Times New Roman" w:cs="Times New Roman" w:hint="eastAsia"/>
          <w:b/>
          <w:bCs/>
          <w:sz w:val="28"/>
          <w:szCs w:val="28"/>
        </w:rPr>
        <w:t>S</w:t>
      </w:r>
      <w:r w:rsidR="00EA672E" w:rsidRPr="00E02E14">
        <w:rPr>
          <w:rFonts w:ascii="Times New Roman" w:hAnsi="Times New Roman" w:cs="Times New Roman"/>
          <w:b/>
          <w:bCs/>
          <w:sz w:val="28"/>
          <w:szCs w:val="28"/>
        </w:rPr>
        <w:t xml:space="preserve">upplementary </w:t>
      </w:r>
      <w:r w:rsidR="00EA672E" w:rsidRPr="00175757">
        <w:rPr>
          <w:rFonts w:ascii="Times New Roman" w:hAnsi="Times New Roman" w:cs="Times New Roman" w:hint="eastAsia"/>
          <w:b/>
          <w:bCs/>
          <w:sz w:val="28"/>
          <w:szCs w:val="28"/>
        </w:rPr>
        <w:t>Figures</w:t>
      </w:r>
    </w:p>
    <w:p w14:paraId="53C9DD2C" w14:textId="77777777" w:rsidR="00EA672E" w:rsidRDefault="00EA672E" w:rsidP="00EA672E">
      <w:pPr>
        <w:widowControl/>
        <w:spacing w:line="48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236D14E" w14:textId="77777777" w:rsidR="00EA672E" w:rsidRDefault="00EA672E" w:rsidP="00EA672E">
      <w:pPr>
        <w:widowControl/>
        <w:spacing w:line="48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121E3D">
        <w:rPr>
          <w:rFonts w:ascii="Times New Roman" w:hAnsi="Times New Roman" w:cs="Times New Roman" w:hint="eastAsia"/>
          <w:b/>
          <w:bCs/>
          <w:sz w:val="28"/>
          <w:szCs w:val="28"/>
        </w:rPr>
        <w:t>S</w:t>
      </w:r>
      <w:r w:rsidRPr="00121E3D">
        <w:rPr>
          <w:rFonts w:ascii="Times New Roman" w:hAnsi="Times New Roman" w:cs="Times New Roman"/>
          <w:b/>
          <w:bCs/>
          <w:sz w:val="28"/>
          <w:szCs w:val="28"/>
        </w:rPr>
        <w:t>Fig</w:t>
      </w:r>
      <w:proofErr w:type="spellEnd"/>
      <w:r w:rsidRPr="00121E3D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1</w:t>
      </w:r>
      <w:r w:rsidRPr="00121E3D">
        <w:rPr>
          <w:rFonts w:ascii="Times New Roman" w:hAnsi="Times New Roman" w:cs="Times New Roman" w:hint="eastAsia"/>
          <w:b/>
          <w:bCs/>
          <w:sz w:val="28"/>
          <w:szCs w:val="28"/>
        </w:rPr>
        <w:t>:</w:t>
      </w:r>
      <w:r w:rsidRPr="00121E3D">
        <w:rPr>
          <w:rFonts w:ascii="Times New Roman" w:hAnsi="Times New Roman" w:cs="Times New Roman"/>
          <w:b/>
          <w:bCs/>
          <w:sz w:val="28"/>
          <w:szCs w:val="28"/>
        </w:rPr>
        <w:t xml:space="preserve"> Body weight monitoring during treatment in naturally aged rats.</w:t>
      </w:r>
    </w:p>
    <w:p w14:paraId="0C085B88" w14:textId="186236AD" w:rsidR="00EA672E" w:rsidRPr="00121E3D" w:rsidRDefault="00AA2E5B" w:rsidP="00EA672E">
      <w:pPr>
        <w:widowControl/>
        <w:spacing w:line="48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kern w:val="0"/>
          <w14:ligatures w14:val="none"/>
        </w:rPr>
        <w:drawing>
          <wp:inline distT="0" distB="0" distL="0" distR="0" wp14:anchorId="6F157411" wp14:editId="72A6DA59">
            <wp:extent cx="4973320" cy="2644775"/>
            <wp:effectExtent l="0" t="0" r="0" b="3175"/>
            <wp:docPr id="133939465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3320" cy="264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AC1ABE" w14:textId="262938D3" w:rsidR="00EA672E" w:rsidRDefault="00EA672E" w:rsidP="00EA672E">
      <w:pPr>
        <w:widowControl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E3D">
        <w:rPr>
          <w:rFonts w:ascii="Times New Roman" w:hAnsi="Times New Roman" w:cs="Times New Roman"/>
          <w:sz w:val="28"/>
          <w:szCs w:val="28"/>
        </w:rPr>
        <w:t>Body weight was recorded weekly from 40 to 4</w:t>
      </w:r>
      <w:r w:rsidR="00AA2E5B">
        <w:rPr>
          <w:rFonts w:ascii="Times New Roman" w:hAnsi="Times New Roman" w:cs="Times New Roman" w:hint="eastAsia"/>
          <w:sz w:val="28"/>
          <w:szCs w:val="28"/>
        </w:rPr>
        <w:t>8</w:t>
      </w:r>
      <w:r w:rsidRPr="00121E3D">
        <w:rPr>
          <w:rFonts w:ascii="Times New Roman" w:hAnsi="Times New Roman" w:cs="Times New Roman"/>
          <w:sz w:val="28"/>
          <w:szCs w:val="28"/>
        </w:rPr>
        <w:t xml:space="preserve"> weeks of age in aged control rats and rats treated with young female PRP, old female PRP, or </w:t>
      </w:r>
      <w:r>
        <w:rPr>
          <w:rFonts w:ascii="Times New Roman" w:hAnsi="Times New Roman" w:cs="Times New Roman"/>
          <w:sz w:val="28"/>
          <w:szCs w:val="28"/>
        </w:rPr>
        <w:t>GH</w:t>
      </w:r>
      <w:r w:rsidRPr="00121E3D">
        <w:rPr>
          <w:rFonts w:ascii="Times New Roman" w:hAnsi="Times New Roman" w:cs="Times New Roman"/>
          <w:sz w:val="28"/>
          <w:szCs w:val="28"/>
        </w:rPr>
        <w:t>. Body weights remained broadly comparable among groups throughout the observation period, indicating that the treatments did not produce overt changes in overall body weight. Data are presented as mean ± SEM.</w:t>
      </w:r>
    </w:p>
    <w:p w14:paraId="608ACD8B" w14:textId="77777777" w:rsidR="00EA672E" w:rsidRDefault="00EA672E" w:rsidP="00EA672E">
      <w:pPr>
        <w:widowControl/>
        <w:spacing w:line="480" w:lineRule="auto"/>
        <w:ind w:leftChars="177" w:left="425" w:firstLine="1"/>
        <w:jc w:val="both"/>
        <w:rPr>
          <w:rFonts w:ascii="Times New Roman" w:hAnsi="Times New Roman" w:cs="Times New Roman"/>
          <w:sz w:val="28"/>
          <w:szCs w:val="28"/>
        </w:rPr>
      </w:pPr>
    </w:p>
    <w:p w14:paraId="47FC38F1" w14:textId="77777777" w:rsidR="00EA672E" w:rsidRDefault="00EA672E" w:rsidP="00EA672E">
      <w:pPr>
        <w:widowControl/>
        <w:spacing w:line="48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18288E">
        <w:rPr>
          <w:rFonts w:ascii="Times New Roman" w:hAnsi="Times New Roman" w:cs="Times New Roman" w:hint="eastAsia"/>
          <w:b/>
          <w:bCs/>
          <w:sz w:val="28"/>
          <w:szCs w:val="28"/>
        </w:rPr>
        <w:lastRenderedPageBreak/>
        <w:t>S</w:t>
      </w:r>
      <w:r w:rsidRPr="0018288E">
        <w:rPr>
          <w:rFonts w:ascii="Times New Roman" w:hAnsi="Times New Roman" w:cs="Times New Roman"/>
          <w:b/>
          <w:bCs/>
          <w:sz w:val="28"/>
          <w:szCs w:val="28"/>
        </w:rPr>
        <w:t>Fig</w:t>
      </w:r>
      <w:proofErr w:type="spellEnd"/>
      <w:r w:rsidRPr="0018288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2</w:t>
      </w:r>
      <w:r w:rsidRPr="0018288E">
        <w:rPr>
          <w:rFonts w:ascii="Times New Roman" w:hAnsi="Times New Roman" w:cs="Times New Roman" w:hint="eastAsia"/>
          <w:b/>
          <w:bCs/>
          <w:sz w:val="28"/>
          <w:szCs w:val="28"/>
        </w:rPr>
        <w:t>:</w:t>
      </w:r>
      <w:r w:rsidRPr="0018288E">
        <w:rPr>
          <w:rFonts w:ascii="Times New Roman" w:hAnsi="Times New Roman" w:cs="Times New Roman"/>
          <w:b/>
          <w:bCs/>
          <w:sz w:val="28"/>
          <w:szCs w:val="28"/>
        </w:rPr>
        <w:t xml:space="preserve"> Food intake monitoring during treatment in naturally aged rats.</w:t>
      </w:r>
    </w:p>
    <w:p w14:paraId="32216186" w14:textId="0CD965FA" w:rsidR="00EA672E" w:rsidRPr="0018288E" w:rsidRDefault="00AA2E5B" w:rsidP="00EA672E">
      <w:pPr>
        <w:widowControl/>
        <w:spacing w:line="48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kern w:val="0"/>
          <w14:ligatures w14:val="none"/>
        </w:rPr>
        <w:drawing>
          <wp:inline distT="0" distB="0" distL="0" distR="0" wp14:anchorId="6CD2D1B2" wp14:editId="6D18FCCB">
            <wp:extent cx="4900930" cy="2651125"/>
            <wp:effectExtent l="0" t="0" r="0" b="0"/>
            <wp:docPr id="554671227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0930" cy="265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A721B4" w14:textId="5F44CA7D" w:rsidR="00EA672E" w:rsidRPr="004A0377" w:rsidRDefault="00EA672E" w:rsidP="00EA672E">
      <w:pPr>
        <w:widowControl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288E">
        <w:rPr>
          <w:rFonts w:ascii="Times New Roman" w:hAnsi="Times New Roman" w:cs="Times New Roman"/>
          <w:sz w:val="28"/>
          <w:szCs w:val="28"/>
        </w:rPr>
        <w:t>Daily food intake was recorded weekly from 40 to 4</w:t>
      </w:r>
      <w:r w:rsidR="00AA2E5B">
        <w:rPr>
          <w:rFonts w:ascii="Times New Roman" w:hAnsi="Times New Roman" w:cs="Times New Roman" w:hint="eastAsia"/>
          <w:sz w:val="28"/>
          <w:szCs w:val="28"/>
        </w:rPr>
        <w:t>8</w:t>
      </w:r>
      <w:r w:rsidRPr="0018288E">
        <w:rPr>
          <w:rFonts w:ascii="Times New Roman" w:hAnsi="Times New Roman" w:cs="Times New Roman"/>
          <w:sz w:val="28"/>
          <w:szCs w:val="28"/>
        </w:rPr>
        <w:t xml:space="preserve"> weeks of age in aged control rats and rats treated with young female PRP, old female PRP, or </w:t>
      </w:r>
      <w:r>
        <w:rPr>
          <w:rFonts w:ascii="Times New Roman" w:hAnsi="Times New Roman" w:cs="Times New Roman"/>
          <w:sz w:val="28"/>
          <w:szCs w:val="28"/>
        </w:rPr>
        <w:t>GH</w:t>
      </w:r>
      <w:r w:rsidRPr="0018288E">
        <w:rPr>
          <w:rFonts w:ascii="Times New Roman" w:hAnsi="Times New Roman" w:cs="Times New Roman"/>
          <w:sz w:val="28"/>
          <w:szCs w:val="28"/>
        </w:rPr>
        <w:t>. Food intake remained broadly comparable among groups throughout the observation period, indicating that the treatments did not produce overt changes in feeding behavior. Data are presented as mean ± SEM.</w:t>
      </w:r>
    </w:p>
    <w:p w14:paraId="37C4CFEE" w14:textId="77777777" w:rsidR="00EA672E" w:rsidRDefault="00EA672E" w:rsidP="00EA672E">
      <w:pPr>
        <w:widowControl/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469B9A0" w14:textId="77777777" w:rsidR="00EA672E" w:rsidRDefault="00EA672E" w:rsidP="00EA672E">
      <w:pPr>
        <w:widowControl/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 w:hint="eastAsia"/>
          <w:b/>
          <w:bCs/>
          <w:sz w:val="28"/>
          <w:szCs w:val="28"/>
        </w:rPr>
        <w:t>SFig</w:t>
      </w:r>
      <w:proofErr w:type="spellEnd"/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. 3: </w:t>
      </w:r>
      <w:r w:rsidRPr="002A15FD">
        <w:rPr>
          <w:rFonts w:ascii="Times New Roman" w:hAnsi="Times New Roman" w:cs="Times New Roman"/>
          <w:b/>
          <w:bCs/>
          <w:sz w:val="28"/>
          <w:szCs w:val="28"/>
        </w:rPr>
        <w:t>Individual estrous-stage trajectories before and after treatment in naturally aged rats.</w:t>
      </w:r>
    </w:p>
    <w:p w14:paraId="3702F2A3" w14:textId="77777777" w:rsidR="00EA672E" w:rsidRDefault="00EA672E" w:rsidP="00EA672E">
      <w:pPr>
        <w:widowControl/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7734D794" wp14:editId="413F5003">
            <wp:extent cx="5276850" cy="7181850"/>
            <wp:effectExtent l="0" t="0" r="0" b="0"/>
            <wp:docPr id="1122223496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718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34ED57AF" wp14:editId="1049B130">
            <wp:extent cx="5276850" cy="6686550"/>
            <wp:effectExtent l="0" t="0" r="0" b="0"/>
            <wp:docPr id="951435008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668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2323F2" w14:textId="77777777" w:rsidR="00EA672E" w:rsidRDefault="00EA672E" w:rsidP="00EA672E">
      <w:pPr>
        <w:widowControl/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761F4564" wp14:editId="28B60E0F">
            <wp:extent cx="5276850" cy="6686550"/>
            <wp:effectExtent l="0" t="0" r="0" b="0"/>
            <wp:docPr id="602915558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668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26AE63" w14:textId="77777777" w:rsidR="00EA672E" w:rsidRPr="00EE5E48" w:rsidRDefault="00EA672E" w:rsidP="00EA672E">
      <w:pPr>
        <w:widowControl/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6B460B52" wp14:editId="792D39A1">
            <wp:extent cx="5276850" cy="4533900"/>
            <wp:effectExtent l="0" t="0" r="0" b="0"/>
            <wp:docPr id="1429281461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8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803AF">
        <w:rPr>
          <w:rFonts w:ascii="Times New Roman" w:hAnsi="Times New Roman" w:cs="Times New Roman"/>
          <w:b/>
          <w:bCs/>
          <w:sz w:val="28"/>
          <w:szCs w:val="28"/>
        </w:rPr>
        <w:t>a–d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.</w:t>
      </w:r>
      <w:r w:rsidRPr="006803AF">
        <w:rPr>
          <w:rFonts w:ascii="Times New Roman" w:hAnsi="Times New Roman" w:cs="Times New Roman"/>
          <w:sz w:val="28"/>
          <w:szCs w:val="28"/>
        </w:rPr>
        <w:t xml:space="preserve"> Individual estrous-stage trajectories are shown for a, aged control rats, b, young female PRP-treated rats, c, old female PRP-treated rats, and d, GH-treated rats over the 8-day monitoring period. Each small plot represents one animal, with observation days displayed on the x-axis and estrous stages displayed on the y-axis. D, diestrus; M, metestrus; O, estrus; P, proestrus. Dashed and solid lines indicate estrous-stage patterns before and after the corresponding treatment, respectively. The # symbol denotes animals showing complete estrous cyclicity. Complete estrous cyclicity was observed in 1 of 14 aged control rats, 1 of 12 young female </w:t>
      </w:r>
      <w:r w:rsidRPr="006803AF">
        <w:rPr>
          <w:rFonts w:ascii="Times New Roman" w:hAnsi="Times New Roman" w:cs="Times New Roman"/>
          <w:sz w:val="28"/>
          <w:szCs w:val="28"/>
        </w:rPr>
        <w:lastRenderedPageBreak/>
        <w:t>PRP-treated rats, 0 of 12 old female PRP-treated rats, and 0 of 8 GH-treated rats. Overall, complete estrous cyclicity was not reproducibly restored by young female PRP, old female PRP, or GH treatment in naturally aged rats.</w:t>
      </w:r>
    </w:p>
    <w:p w14:paraId="68E392FC" w14:textId="77777777" w:rsidR="00EA672E" w:rsidRPr="00EA672E" w:rsidRDefault="00EA672E"/>
    <w:sectPr w:rsidR="00EA672E" w:rsidRPr="00EA672E" w:rsidSect="00EA672E">
      <w:footerReference w:type="default" r:id="rId12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D89C8" w14:textId="77777777" w:rsidR="00ED6D97" w:rsidRDefault="00ED6D97">
      <w:pPr>
        <w:spacing w:after="0" w:line="240" w:lineRule="auto"/>
      </w:pPr>
      <w:r>
        <w:separator/>
      </w:r>
    </w:p>
  </w:endnote>
  <w:endnote w:type="continuationSeparator" w:id="0">
    <w:p w14:paraId="25EE6F6F" w14:textId="77777777" w:rsidR="00ED6D97" w:rsidRDefault="00ED6D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3909899"/>
      <w:docPartObj>
        <w:docPartGallery w:val="Page Numbers (Bottom of Page)"/>
        <w:docPartUnique/>
      </w:docPartObj>
    </w:sdtPr>
    <w:sdtContent>
      <w:p w14:paraId="5708C49B" w14:textId="77777777" w:rsidR="00EA672E" w:rsidRDefault="00EA672E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066B568A" w14:textId="77777777" w:rsidR="00EA672E" w:rsidRDefault="00EA672E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B153F" w14:textId="77777777" w:rsidR="00ED6D97" w:rsidRDefault="00ED6D97">
      <w:pPr>
        <w:spacing w:after="0" w:line="240" w:lineRule="auto"/>
      </w:pPr>
      <w:r>
        <w:separator/>
      </w:r>
    </w:p>
  </w:footnote>
  <w:footnote w:type="continuationSeparator" w:id="0">
    <w:p w14:paraId="135EC2BA" w14:textId="77777777" w:rsidR="00ED6D97" w:rsidRDefault="00ED6D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72E"/>
    <w:rsid w:val="000D1299"/>
    <w:rsid w:val="00501238"/>
    <w:rsid w:val="007869E4"/>
    <w:rsid w:val="00921EEB"/>
    <w:rsid w:val="00AA2E5B"/>
    <w:rsid w:val="00BD28B1"/>
    <w:rsid w:val="00EA672E"/>
    <w:rsid w:val="00ED6D97"/>
    <w:rsid w:val="00F83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A1B24D"/>
  <w15:chartTrackingRefBased/>
  <w15:docId w15:val="{195D3D7B-22D9-4A95-BB90-7E7D2DDF1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672E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A672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67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672E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672E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67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672E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672E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672E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672E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EA672E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EA67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EA672E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EA67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EA672E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EA672E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EA672E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EA672E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EA672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A672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EA67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A672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EA672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A67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EA672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A672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A672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A67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EA672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A672E"/>
    <w:rPr>
      <w:b/>
      <w:bCs/>
      <w:smallCaps/>
      <w:color w:val="2F5496" w:themeColor="accent1" w:themeShade="BF"/>
      <w:spacing w:val="5"/>
    </w:rPr>
  </w:style>
  <w:style w:type="paragraph" w:styleId="ae">
    <w:name w:val="footer"/>
    <w:basedOn w:val="a"/>
    <w:link w:val="af"/>
    <w:uiPriority w:val="99"/>
    <w:unhideWhenUsed/>
    <w:rsid w:val="00EA67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EA672E"/>
    <w:rPr>
      <w:sz w:val="20"/>
      <w:szCs w:val="20"/>
    </w:rPr>
  </w:style>
  <w:style w:type="paragraph" w:styleId="af0">
    <w:name w:val="header"/>
    <w:basedOn w:val="a"/>
    <w:link w:val="af1"/>
    <w:uiPriority w:val="99"/>
    <w:unhideWhenUsed/>
    <w:rsid w:val="000D12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首 字元"/>
    <w:basedOn w:val="a0"/>
    <w:link w:val="af0"/>
    <w:uiPriority w:val="99"/>
    <w:rsid w:val="000D129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7</Pages>
  <Words>278</Words>
  <Characters>1589</Characters>
  <Application>Microsoft Office Word</Application>
  <DocSecurity>0</DocSecurity>
  <Lines>13</Lines>
  <Paragraphs>3</Paragraphs>
  <ScaleCrop>false</ScaleCrop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LININ CHIU</dc:creator>
  <cp:keywords/>
  <dc:description/>
  <cp:lastModifiedBy>LININ CHIU</cp:lastModifiedBy>
  <cp:revision>3</cp:revision>
  <dcterms:created xsi:type="dcterms:W3CDTF">2026-07-08T02:07:00Z</dcterms:created>
  <dcterms:modified xsi:type="dcterms:W3CDTF">2026-07-09T01:10:00Z</dcterms:modified>
</cp:coreProperties>
</file>