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5889E" w14:textId="18DCA06C" w:rsidR="00530CC7" w:rsidRPr="007B3317" w:rsidRDefault="00530CC7" w:rsidP="00FF47C4">
      <w:pPr>
        <w:spacing w:line="360" w:lineRule="auto"/>
        <w:jc w:val="center"/>
        <w:rPr>
          <w:rFonts w:ascii="Times New Roman" w:hAnsi="Times New Roman" w:cs="Times New Roman"/>
          <w:bCs/>
          <w:color w:val="000000" w:themeColor="text1"/>
          <w:sz w:val="24"/>
          <w:szCs w:val="24"/>
        </w:rPr>
      </w:pPr>
    </w:p>
    <w:p w14:paraId="5F78F5C0" w14:textId="77777777" w:rsidR="00FF47C4" w:rsidRDefault="00FF47C4" w:rsidP="00530CC7">
      <w:pPr>
        <w:spacing w:line="360" w:lineRule="auto"/>
        <w:jc w:val="center"/>
        <w:rPr>
          <w:rFonts w:ascii="Times New Roman" w:hAnsi="Times New Roman" w:cs="Times New Roman"/>
          <w:b/>
          <w:color w:val="000000" w:themeColor="text1"/>
          <w:sz w:val="28"/>
          <w:szCs w:val="28"/>
        </w:rPr>
      </w:pPr>
    </w:p>
    <w:p w14:paraId="10C6EC3E" w14:textId="4070ADD4" w:rsidR="00530CC7" w:rsidRDefault="00632E52" w:rsidP="00530CC7">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Figures and Graphs</w:t>
      </w:r>
    </w:p>
    <w:p w14:paraId="35336FFA" w14:textId="77777777" w:rsidR="002B6593" w:rsidRDefault="002B6593" w:rsidP="00530CC7">
      <w:pPr>
        <w:spacing w:line="360" w:lineRule="auto"/>
        <w:jc w:val="center"/>
        <w:rPr>
          <w:rFonts w:ascii="Times New Roman" w:hAnsi="Times New Roman" w:cs="Times New Roman"/>
          <w:b/>
          <w:color w:val="000000" w:themeColor="text1"/>
          <w:sz w:val="28"/>
          <w:szCs w:val="28"/>
        </w:rPr>
      </w:pPr>
    </w:p>
    <w:p w14:paraId="7F750C2C" w14:textId="77777777" w:rsidR="002B6593" w:rsidRPr="007B3317" w:rsidRDefault="002B6593" w:rsidP="00530CC7">
      <w:pPr>
        <w:spacing w:line="360" w:lineRule="auto"/>
        <w:jc w:val="center"/>
        <w:rPr>
          <w:rFonts w:ascii="Times New Roman" w:hAnsi="Times New Roman" w:cs="Times New Roman"/>
          <w:b/>
          <w:color w:val="000000" w:themeColor="text1"/>
          <w:sz w:val="28"/>
          <w:szCs w:val="28"/>
        </w:rPr>
      </w:pPr>
    </w:p>
    <w:p w14:paraId="7BE15D77" w14:textId="77777777" w:rsidR="00997CEA" w:rsidRPr="00997CEA" w:rsidRDefault="00997CEA" w:rsidP="00997CEA">
      <w:pPr>
        <w:pStyle w:val="01PaperTitle"/>
        <w:rPr>
          <w:b/>
          <w:bCs/>
          <w:sz w:val="32"/>
          <w:szCs w:val="32"/>
        </w:rPr>
      </w:pPr>
      <w:r w:rsidRPr="00997CEA">
        <w:rPr>
          <w:b/>
          <w:bCs/>
          <w:sz w:val="32"/>
          <w:szCs w:val="32"/>
        </w:rPr>
        <w:t>An Interactive Decision Support Dashboard for Monitoring and Forecasting UAC Care System Operations Using Streamlit and Power BI</w:t>
      </w:r>
    </w:p>
    <w:p w14:paraId="1C5207AF" w14:textId="2E7467E1" w:rsidR="00530CC7" w:rsidRPr="007B3317" w:rsidRDefault="00530CC7" w:rsidP="00EC3F8E">
      <w:pPr>
        <w:spacing w:line="360" w:lineRule="auto"/>
        <w:jc w:val="center"/>
        <w:rPr>
          <w:rFonts w:ascii="Times New Roman" w:hAnsi="Times New Roman" w:cs="Times New Roman"/>
          <w:bCs/>
          <w:color w:val="000000" w:themeColor="text1"/>
          <w:sz w:val="24"/>
          <w:szCs w:val="24"/>
        </w:rPr>
      </w:pPr>
    </w:p>
    <w:tbl>
      <w:tblPr>
        <w:tblStyle w:val="TableGrid"/>
        <w:tblW w:w="0" w:type="auto"/>
        <w:tblInd w:w="2252" w:type="dxa"/>
        <w:tblLook w:val="04A0" w:firstRow="1" w:lastRow="0" w:firstColumn="1" w:lastColumn="0" w:noHBand="0" w:noVBand="1"/>
      </w:tblPr>
      <w:tblGrid>
        <w:gridCol w:w="4508"/>
      </w:tblGrid>
      <w:tr w:rsidR="008656B3" w:rsidRPr="007B3317" w14:paraId="2C86A0EE" w14:textId="77777777" w:rsidTr="008656B3">
        <w:tc>
          <w:tcPr>
            <w:tcW w:w="4508" w:type="dxa"/>
            <w:vAlign w:val="center"/>
          </w:tcPr>
          <w:p w14:paraId="0A85F607" w14:textId="4375E27C" w:rsidR="008656B3" w:rsidRPr="007B3317" w:rsidRDefault="008656B3" w:rsidP="00A60CC9">
            <w:pPr>
              <w:spacing w:line="360" w:lineRule="auto"/>
              <w:jc w:val="center"/>
              <w:rPr>
                <w:rFonts w:ascii="Times New Roman" w:hAnsi="Times New Roman" w:cs="Times New Roman"/>
                <w:bCs/>
                <w:color w:val="000000" w:themeColor="text1"/>
                <w:sz w:val="24"/>
                <w:szCs w:val="24"/>
              </w:rPr>
            </w:pPr>
            <w:r w:rsidRPr="007B3317">
              <w:rPr>
                <w:rFonts w:ascii="Times New Roman" w:hAnsi="Times New Roman" w:cs="Times New Roman"/>
                <w:b/>
                <w:color w:val="000000" w:themeColor="text1"/>
                <w:sz w:val="24"/>
                <w:szCs w:val="24"/>
              </w:rPr>
              <w:t>Submitted by:</w:t>
            </w:r>
          </w:p>
        </w:tc>
      </w:tr>
      <w:tr w:rsidR="008656B3" w:rsidRPr="007B3317" w14:paraId="28BF69D8" w14:textId="77777777" w:rsidTr="008656B3">
        <w:tc>
          <w:tcPr>
            <w:tcW w:w="4508" w:type="dxa"/>
            <w:vAlign w:val="center"/>
          </w:tcPr>
          <w:p w14:paraId="43D89DC8" w14:textId="33F8A7C1" w:rsidR="008656B3" w:rsidRPr="007B3317" w:rsidRDefault="008656B3" w:rsidP="00A60CC9">
            <w:pPr>
              <w:spacing w:line="360" w:lineRule="auto"/>
              <w:jc w:val="center"/>
              <w:rPr>
                <w:rFonts w:ascii="Times New Roman" w:hAnsi="Times New Roman" w:cs="Times New Roman"/>
                <w:bCs/>
                <w:color w:val="000000" w:themeColor="text1"/>
                <w:sz w:val="24"/>
                <w:szCs w:val="24"/>
              </w:rPr>
            </w:pPr>
            <w:r w:rsidRPr="007B3317">
              <w:rPr>
                <w:rFonts w:ascii="Times New Roman" w:hAnsi="Times New Roman" w:cs="Times New Roman"/>
                <w:b/>
                <w:color w:val="000000" w:themeColor="text1"/>
                <w:sz w:val="24"/>
                <w:szCs w:val="24"/>
              </w:rPr>
              <w:t>Gunjan Sahoo</w:t>
            </w:r>
          </w:p>
        </w:tc>
      </w:tr>
    </w:tbl>
    <w:p w14:paraId="2E2702DA" w14:textId="77777777" w:rsidR="004F43B1" w:rsidRPr="007B3317" w:rsidRDefault="004F43B1" w:rsidP="009E69F1">
      <w:pPr>
        <w:spacing w:line="360" w:lineRule="auto"/>
        <w:rPr>
          <w:rFonts w:ascii="Times New Roman" w:hAnsi="Times New Roman" w:cs="Times New Roman"/>
          <w:b/>
          <w:color w:val="000000" w:themeColor="text1"/>
          <w:sz w:val="24"/>
          <w:szCs w:val="24"/>
        </w:rPr>
      </w:pPr>
    </w:p>
    <w:p w14:paraId="3B5BE757" w14:textId="1F85877C" w:rsidR="0004090A" w:rsidRDefault="0004090A" w:rsidP="00593CBD">
      <w:pPr>
        <w:spacing w:line="360" w:lineRule="auto"/>
        <w:jc w:val="both"/>
        <w:rPr>
          <w:rFonts w:ascii="Times New Roman" w:hAnsi="Times New Roman" w:cs="Times New Roman"/>
          <w:b/>
          <w:bCs/>
          <w:sz w:val="28"/>
          <w:szCs w:val="28"/>
        </w:rPr>
      </w:pPr>
    </w:p>
    <w:p w14:paraId="19AB546C" w14:textId="77777777" w:rsidR="0004090A" w:rsidRDefault="0004090A" w:rsidP="00B55D9A">
      <w:pPr>
        <w:spacing w:line="360" w:lineRule="auto"/>
        <w:jc w:val="both"/>
        <w:rPr>
          <w:rFonts w:ascii="Times New Roman" w:hAnsi="Times New Roman" w:cs="Times New Roman"/>
          <w:b/>
          <w:bCs/>
          <w:sz w:val="28"/>
          <w:szCs w:val="28"/>
        </w:rPr>
      </w:pPr>
    </w:p>
    <w:p w14:paraId="1347516A" w14:textId="77777777" w:rsidR="0004090A" w:rsidRDefault="0004090A" w:rsidP="00B55D9A">
      <w:pPr>
        <w:spacing w:line="360" w:lineRule="auto"/>
        <w:jc w:val="both"/>
        <w:rPr>
          <w:rFonts w:ascii="Times New Roman" w:hAnsi="Times New Roman" w:cs="Times New Roman"/>
          <w:b/>
          <w:bCs/>
          <w:sz w:val="28"/>
          <w:szCs w:val="28"/>
        </w:rPr>
      </w:pPr>
    </w:p>
    <w:p w14:paraId="6E444F46" w14:textId="77777777" w:rsidR="0004090A" w:rsidRDefault="0004090A" w:rsidP="00B55D9A">
      <w:pPr>
        <w:spacing w:line="360" w:lineRule="auto"/>
        <w:jc w:val="both"/>
        <w:rPr>
          <w:rFonts w:ascii="Times New Roman" w:hAnsi="Times New Roman" w:cs="Times New Roman"/>
          <w:b/>
          <w:bCs/>
          <w:sz w:val="28"/>
          <w:szCs w:val="28"/>
        </w:rPr>
      </w:pPr>
    </w:p>
    <w:p w14:paraId="5F0E8C9B" w14:textId="77777777" w:rsidR="0004090A" w:rsidRDefault="0004090A" w:rsidP="00B55D9A">
      <w:pPr>
        <w:spacing w:line="360" w:lineRule="auto"/>
        <w:jc w:val="both"/>
        <w:rPr>
          <w:rFonts w:ascii="Times New Roman" w:hAnsi="Times New Roman" w:cs="Times New Roman"/>
          <w:b/>
          <w:bCs/>
          <w:sz w:val="28"/>
          <w:szCs w:val="28"/>
        </w:rPr>
      </w:pPr>
    </w:p>
    <w:p w14:paraId="25B15632" w14:textId="77777777" w:rsidR="0004090A" w:rsidRDefault="0004090A" w:rsidP="00B55D9A">
      <w:pPr>
        <w:spacing w:line="360" w:lineRule="auto"/>
        <w:jc w:val="both"/>
        <w:rPr>
          <w:rFonts w:ascii="Times New Roman" w:hAnsi="Times New Roman" w:cs="Times New Roman"/>
          <w:b/>
          <w:bCs/>
          <w:sz w:val="28"/>
          <w:szCs w:val="28"/>
        </w:rPr>
      </w:pPr>
    </w:p>
    <w:p w14:paraId="20E30816" w14:textId="77777777" w:rsidR="0004090A" w:rsidRDefault="0004090A" w:rsidP="00B55D9A">
      <w:pPr>
        <w:spacing w:line="360" w:lineRule="auto"/>
        <w:jc w:val="both"/>
        <w:rPr>
          <w:rFonts w:ascii="Times New Roman" w:hAnsi="Times New Roman" w:cs="Times New Roman"/>
          <w:b/>
          <w:bCs/>
          <w:sz w:val="28"/>
          <w:szCs w:val="28"/>
        </w:rPr>
      </w:pPr>
    </w:p>
    <w:p w14:paraId="3A2AB326" w14:textId="77777777" w:rsidR="0004090A" w:rsidRDefault="0004090A" w:rsidP="00B55D9A">
      <w:pPr>
        <w:spacing w:line="360" w:lineRule="auto"/>
        <w:jc w:val="both"/>
        <w:rPr>
          <w:rFonts w:ascii="Times New Roman" w:hAnsi="Times New Roman" w:cs="Times New Roman"/>
          <w:b/>
          <w:bCs/>
          <w:sz w:val="28"/>
          <w:szCs w:val="28"/>
        </w:rPr>
      </w:pPr>
    </w:p>
    <w:p w14:paraId="711A6B23" w14:textId="77777777" w:rsidR="0004090A" w:rsidRDefault="0004090A" w:rsidP="00B55D9A">
      <w:pPr>
        <w:spacing w:line="360" w:lineRule="auto"/>
        <w:jc w:val="both"/>
        <w:rPr>
          <w:rFonts w:ascii="Times New Roman" w:hAnsi="Times New Roman" w:cs="Times New Roman"/>
          <w:b/>
          <w:bCs/>
          <w:sz w:val="28"/>
          <w:szCs w:val="28"/>
        </w:rPr>
      </w:pPr>
    </w:p>
    <w:p w14:paraId="45A86166" w14:textId="77777777" w:rsidR="0004090A" w:rsidRDefault="0004090A" w:rsidP="00B55D9A">
      <w:pPr>
        <w:spacing w:line="360" w:lineRule="auto"/>
        <w:jc w:val="both"/>
        <w:rPr>
          <w:rFonts w:ascii="Times New Roman" w:hAnsi="Times New Roman" w:cs="Times New Roman"/>
          <w:b/>
          <w:bCs/>
          <w:sz w:val="28"/>
          <w:szCs w:val="28"/>
        </w:rPr>
      </w:pPr>
    </w:p>
    <w:p w14:paraId="7EBDE2F5" w14:textId="77777777" w:rsidR="0004090A" w:rsidRDefault="0004090A" w:rsidP="00B55D9A">
      <w:pPr>
        <w:spacing w:line="360" w:lineRule="auto"/>
        <w:jc w:val="both"/>
        <w:rPr>
          <w:rFonts w:ascii="Times New Roman" w:hAnsi="Times New Roman" w:cs="Times New Roman"/>
          <w:b/>
          <w:bCs/>
          <w:sz w:val="28"/>
          <w:szCs w:val="28"/>
        </w:rPr>
      </w:pPr>
    </w:p>
    <w:p w14:paraId="2F278574" w14:textId="77777777" w:rsidR="0004090A" w:rsidRDefault="0004090A" w:rsidP="00B55D9A">
      <w:pPr>
        <w:spacing w:line="360" w:lineRule="auto"/>
        <w:jc w:val="both"/>
        <w:rPr>
          <w:rFonts w:ascii="Times New Roman" w:hAnsi="Times New Roman" w:cs="Times New Roman"/>
          <w:b/>
          <w:bCs/>
          <w:sz w:val="28"/>
          <w:szCs w:val="28"/>
        </w:rPr>
      </w:pPr>
    </w:p>
    <w:p w14:paraId="5C0F1A0F" w14:textId="2A8AB5A3" w:rsidR="0004090A" w:rsidRDefault="00273D1F" w:rsidP="00B55D9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System Design and Architecture</w:t>
      </w:r>
    </w:p>
    <w:p w14:paraId="418DE908" w14:textId="77777777" w:rsidR="007978CB" w:rsidRDefault="007978CB" w:rsidP="00B55D9A">
      <w:pPr>
        <w:spacing w:line="360" w:lineRule="auto"/>
        <w:jc w:val="both"/>
        <w:rPr>
          <w:rFonts w:ascii="Times New Roman" w:hAnsi="Times New Roman" w:cs="Times New Roman"/>
          <w:b/>
          <w:bCs/>
          <w:sz w:val="28"/>
          <w:szCs w:val="28"/>
        </w:rPr>
      </w:pPr>
    </w:p>
    <w:p w14:paraId="2BC4E447" w14:textId="5366E8D0" w:rsidR="0004090A" w:rsidRDefault="0004090A" w:rsidP="0004090A">
      <w:pPr>
        <w:spacing w:line="360" w:lineRule="auto"/>
        <w:jc w:val="both"/>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2DFE459C" wp14:editId="01BBD987">
            <wp:extent cx="3005738" cy="5234448"/>
            <wp:effectExtent l="57150" t="57150" r="252095" b="252095"/>
            <wp:docPr id="1713636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36004" name="Picture 17136360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9176" cy="52578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DE05B1" w14:textId="1D598A22" w:rsidR="0004090A" w:rsidRPr="00D010DF" w:rsidRDefault="0004090A" w:rsidP="00632E52">
      <w:pPr>
        <w:spacing w:line="360" w:lineRule="auto"/>
        <w:jc w:val="center"/>
        <w:rPr>
          <w:rFonts w:ascii="Times New Roman" w:hAnsi="Times New Roman" w:cs="Times New Roman"/>
          <w:sz w:val="20"/>
          <w:szCs w:val="20"/>
        </w:rPr>
      </w:pPr>
      <w:r w:rsidRPr="00F21468">
        <w:rPr>
          <w:rFonts w:ascii="Times New Roman" w:hAnsi="Times New Roman" w:cs="Times New Roman"/>
          <w:noProof/>
          <w:sz w:val="20"/>
          <w:szCs w:val="20"/>
        </w:rPr>
        <w:t>Figure 1. Proposed System Architecture of the UAC Operations Command Center</w:t>
      </w:r>
    </w:p>
    <w:p w14:paraId="0F330890" w14:textId="48ED0D64" w:rsidR="000333AD" w:rsidRDefault="000333AD" w:rsidP="00292ADF">
      <w:pPr>
        <w:spacing w:line="360" w:lineRule="auto"/>
        <w:jc w:val="both"/>
        <w:rPr>
          <w:rFonts w:ascii="Times New Roman" w:hAnsi="Times New Roman" w:cs="Times New Roman"/>
          <w:b/>
          <w:bCs/>
          <w:sz w:val="28"/>
          <w:szCs w:val="28"/>
        </w:rPr>
      </w:pPr>
    </w:p>
    <w:p w14:paraId="051940EE" w14:textId="5E65B8F8" w:rsidR="00CD41B4" w:rsidRDefault="00CD41B4" w:rsidP="00292ADF">
      <w:pPr>
        <w:spacing w:line="360" w:lineRule="auto"/>
        <w:jc w:val="both"/>
        <w:rPr>
          <w:rFonts w:ascii="Times New Roman" w:hAnsi="Times New Roman" w:cs="Times New Roman"/>
          <w:b/>
          <w:bCs/>
          <w:sz w:val="28"/>
          <w:szCs w:val="28"/>
        </w:rPr>
      </w:pPr>
      <w:r>
        <w:rPr>
          <w:noProof/>
        </w:rPr>
        <w:lastRenderedPageBreak/>
        <w:drawing>
          <wp:inline distT="0" distB="0" distL="0" distR="0" wp14:anchorId="2C5A7F86" wp14:editId="7915CC72">
            <wp:extent cx="4136923" cy="2757796"/>
            <wp:effectExtent l="0" t="0" r="0" b="5080"/>
            <wp:docPr id="172207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3937" cy="2775804"/>
                    </a:xfrm>
                    <a:prstGeom prst="rect">
                      <a:avLst/>
                    </a:prstGeom>
                    <a:noFill/>
                    <a:ln>
                      <a:noFill/>
                    </a:ln>
                  </pic:spPr>
                </pic:pic>
              </a:graphicData>
            </a:graphic>
          </wp:inline>
        </w:drawing>
      </w:r>
    </w:p>
    <w:p w14:paraId="7FDAB798" w14:textId="77777777" w:rsidR="00F21468" w:rsidRDefault="00F21468" w:rsidP="00632E52">
      <w:pPr>
        <w:spacing w:line="360" w:lineRule="auto"/>
        <w:jc w:val="center"/>
        <w:rPr>
          <w:rFonts w:ascii="Times New Roman" w:hAnsi="Times New Roman" w:cs="Times New Roman"/>
          <w:sz w:val="20"/>
          <w:szCs w:val="20"/>
        </w:rPr>
      </w:pPr>
      <w:r w:rsidRPr="00F21468">
        <w:rPr>
          <w:rFonts w:ascii="Times New Roman" w:hAnsi="Times New Roman" w:cs="Times New Roman"/>
          <w:sz w:val="20"/>
          <w:szCs w:val="20"/>
        </w:rPr>
        <w:t>Figure 2. Database Schema</w:t>
      </w:r>
    </w:p>
    <w:p w14:paraId="72F8602A" w14:textId="134592AF" w:rsidR="006F526E" w:rsidRPr="00F21468" w:rsidRDefault="00000000" w:rsidP="00F21468">
      <w:pPr>
        <w:spacing w:line="360" w:lineRule="auto"/>
        <w:jc w:val="both"/>
        <w:rPr>
          <w:rFonts w:ascii="Times New Roman" w:hAnsi="Times New Roman" w:cs="Times New Roman"/>
          <w:sz w:val="20"/>
          <w:szCs w:val="20"/>
        </w:rPr>
      </w:pPr>
      <w:r>
        <w:rPr>
          <w:rFonts w:ascii="Times New Roman" w:hAnsi="Times New Roman" w:cs="Times New Roman"/>
          <w:b/>
          <w:bCs/>
          <w:sz w:val="28"/>
          <w:szCs w:val="28"/>
        </w:rPr>
        <w:pict w14:anchorId="3D8E32F4">
          <v:rect id="_x0000_i1025" style="width:0;height:1.5pt" o:hralign="center" o:hrstd="t" o:hr="t" fillcolor="#a0a0a0" stroked="f"/>
        </w:pict>
      </w:r>
    </w:p>
    <w:p w14:paraId="6FC16410" w14:textId="2E07C124" w:rsidR="000333AD" w:rsidRDefault="00F21468" w:rsidP="00292ADF">
      <w:pPr>
        <w:spacing w:line="360" w:lineRule="auto"/>
        <w:jc w:val="both"/>
        <w:rPr>
          <w:rFonts w:ascii="Times New Roman" w:hAnsi="Times New Roman" w:cs="Times New Roman"/>
          <w:b/>
          <w:bCs/>
          <w:sz w:val="28"/>
          <w:szCs w:val="28"/>
        </w:rPr>
      </w:pPr>
      <w:r w:rsidRPr="00830EDB">
        <w:rPr>
          <w:rFonts w:ascii="Times New Roman" w:hAnsi="Times New Roman" w:cs="Times New Roman"/>
          <w:b/>
          <w:bCs/>
          <w:sz w:val="28"/>
          <w:szCs w:val="28"/>
        </w:rPr>
        <w:t>Dashboard Implementation</w:t>
      </w:r>
      <w:r>
        <w:rPr>
          <w:rFonts w:ascii="Times New Roman" w:hAnsi="Times New Roman" w:cs="Times New Roman"/>
          <w:b/>
          <w:bCs/>
          <w:sz w:val="28"/>
          <w:szCs w:val="28"/>
        </w:rPr>
        <w:t>:</w:t>
      </w:r>
    </w:p>
    <w:p w14:paraId="2175CA20" w14:textId="77777777" w:rsidR="00F21468" w:rsidRPr="00F21468" w:rsidRDefault="00F21468" w:rsidP="00593CBD">
      <w:pPr>
        <w:spacing w:line="276" w:lineRule="auto"/>
        <w:jc w:val="both"/>
        <w:rPr>
          <w:rFonts w:ascii="Times New Roman" w:hAnsi="Times New Roman" w:cs="Times New Roman"/>
          <w:sz w:val="24"/>
          <w:szCs w:val="24"/>
        </w:rPr>
      </w:pPr>
      <w:r w:rsidRPr="00F21468">
        <w:rPr>
          <w:rFonts w:ascii="Times New Roman" w:hAnsi="Times New Roman" w:cs="Times New Roman"/>
          <w:sz w:val="24"/>
          <w:szCs w:val="24"/>
        </w:rPr>
        <w:t xml:space="preserve">The UAC Operations Command </w:t>
      </w:r>
      <w:proofErr w:type="spellStart"/>
      <w:r w:rsidRPr="00F21468">
        <w:rPr>
          <w:rFonts w:ascii="Times New Roman" w:hAnsi="Times New Roman" w:cs="Times New Roman"/>
          <w:sz w:val="24"/>
          <w:szCs w:val="24"/>
        </w:rPr>
        <w:t>Center</w:t>
      </w:r>
      <w:proofErr w:type="spellEnd"/>
      <w:r w:rsidRPr="00F21468">
        <w:rPr>
          <w:rFonts w:ascii="Times New Roman" w:hAnsi="Times New Roman" w:cs="Times New Roman"/>
          <w:sz w:val="24"/>
          <w:szCs w:val="24"/>
        </w:rPr>
        <w:t xml:space="preserve"> was implemented as an interactive web-based analytical application using Python and </w:t>
      </w:r>
      <w:proofErr w:type="spellStart"/>
      <w:r w:rsidRPr="00F21468">
        <w:rPr>
          <w:rFonts w:ascii="Times New Roman" w:hAnsi="Times New Roman" w:cs="Times New Roman"/>
          <w:sz w:val="24"/>
          <w:szCs w:val="24"/>
        </w:rPr>
        <w:t>Streamlit</w:t>
      </w:r>
      <w:proofErr w:type="spellEnd"/>
      <w:r w:rsidRPr="00F21468">
        <w:rPr>
          <w:rFonts w:ascii="Times New Roman" w:hAnsi="Times New Roman" w:cs="Times New Roman"/>
          <w:sz w:val="24"/>
          <w:szCs w:val="24"/>
        </w:rPr>
        <w:t>. The dashboard was designed to provide operational managers with real-time visibility into system performance while supporting exploratory analysis, forecasting, and scenario-based decision-making. The implementation combines SQLite for data storage, Python for data processing, Plotly Express for visualization, and Power BI for advanced business intelligence reporting.</w:t>
      </w:r>
    </w:p>
    <w:p w14:paraId="3ED801EB" w14:textId="77777777" w:rsidR="00F21468" w:rsidRDefault="00F21468" w:rsidP="00593CBD">
      <w:pPr>
        <w:spacing w:line="276" w:lineRule="auto"/>
        <w:jc w:val="both"/>
        <w:rPr>
          <w:rFonts w:ascii="Times New Roman" w:hAnsi="Times New Roman" w:cs="Times New Roman"/>
          <w:sz w:val="24"/>
          <w:szCs w:val="24"/>
        </w:rPr>
      </w:pPr>
      <w:r w:rsidRPr="00F21468">
        <w:rPr>
          <w:rFonts w:ascii="Times New Roman" w:hAnsi="Times New Roman" w:cs="Times New Roman"/>
          <w:sz w:val="24"/>
          <w:szCs w:val="24"/>
        </w:rPr>
        <w:t>The dashboard follows a modular design consisting of multiple functional tabs, each addressing a specific operational objective. A common filter panel allows users to select the reporting year, date range, trend frequency, and primary analytical metric. These global filters dynamically update all visualizations, ensuring consistent analysis across different dashboard components.</w:t>
      </w:r>
    </w:p>
    <w:p w14:paraId="73436F73" w14:textId="77777777" w:rsidR="00F21468" w:rsidRDefault="00F21468" w:rsidP="00F21468">
      <w:pPr>
        <w:spacing w:line="360" w:lineRule="auto"/>
        <w:jc w:val="both"/>
        <w:rPr>
          <w:rFonts w:ascii="Times New Roman" w:hAnsi="Times New Roman" w:cs="Times New Roman"/>
          <w:sz w:val="24"/>
          <w:szCs w:val="24"/>
        </w:rPr>
      </w:pPr>
    </w:p>
    <w:p w14:paraId="7E2E0C5D" w14:textId="77777777" w:rsidR="00F21468" w:rsidRPr="00F21468" w:rsidRDefault="00F21468" w:rsidP="00F21468">
      <w:pPr>
        <w:spacing w:line="360" w:lineRule="auto"/>
        <w:jc w:val="both"/>
        <w:rPr>
          <w:rFonts w:ascii="Times New Roman" w:hAnsi="Times New Roman" w:cs="Times New Roman"/>
          <w:b/>
          <w:bCs/>
          <w:sz w:val="24"/>
          <w:szCs w:val="24"/>
        </w:rPr>
      </w:pPr>
      <w:r w:rsidRPr="00F21468">
        <w:rPr>
          <w:rFonts w:ascii="Times New Roman" w:hAnsi="Times New Roman" w:cs="Times New Roman"/>
          <w:b/>
          <w:bCs/>
          <w:sz w:val="24"/>
          <w:szCs w:val="24"/>
        </w:rPr>
        <w:t>Executive Summary Dashboard</w:t>
      </w:r>
    </w:p>
    <w:p w14:paraId="2CA5ED88" w14:textId="4F020CE6" w:rsidR="00F21468" w:rsidRPr="00F21468" w:rsidRDefault="00F21468" w:rsidP="00593CBD">
      <w:pPr>
        <w:spacing w:line="276" w:lineRule="auto"/>
        <w:jc w:val="both"/>
        <w:rPr>
          <w:rFonts w:ascii="Times New Roman" w:hAnsi="Times New Roman" w:cs="Times New Roman"/>
          <w:sz w:val="24"/>
          <w:szCs w:val="24"/>
        </w:rPr>
      </w:pPr>
      <w:r w:rsidRPr="00F21468">
        <w:rPr>
          <w:rFonts w:ascii="Times New Roman" w:hAnsi="Times New Roman" w:cs="Times New Roman"/>
          <w:sz w:val="24"/>
          <w:szCs w:val="24"/>
        </w:rPr>
        <w:t>The Executive Summary provides a consolidated overview of the current operational status of the UAC care system. Key Performance Indicators (KPIs), including Total System Load, Net Intake Pressure, 14-Day Backlog Accumulation, and Discharge Offset Ratio, are presented using metric cards that display both current values and percentage changes from the previous reporting period. A Composite Operational Risk Score summarizes overall system conditions, while the Risk Driver Intensity chart identifies the operational factors contributing most significantly to organizational risk. This dashboard enables senior decision-makers to rapidly assess system performance without examining detailed operational reports.</w:t>
      </w:r>
    </w:p>
    <w:p w14:paraId="46554352" w14:textId="33CDC7C6" w:rsidR="000333AD" w:rsidRDefault="00F21468" w:rsidP="00292ADF">
      <w:pPr>
        <w:spacing w:line="360" w:lineRule="auto"/>
        <w:jc w:val="both"/>
        <w:rPr>
          <w:rFonts w:ascii="Times New Roman" w:hAnsi="Times New Roman" w:cs="Times New Roman"/>
          <w:b/>
          <w:bCs/>
          <w:sz w:val="28"/>
          <w:szCs w:val="28"/>
        </w:rPr>
      </w:pPr>
      <w:r>
        <w:rPr>
          <w:rFonts w:ascii="Times New Roman" w:hAnsi="Times New Roman" w:cs="Times New Roman"/>
          <w:noProof/>
          <w:sz w:val="24"/>
          <w:szCs w:val="24"/>
        </w:rPr>
        <w:lastRenderedPageBreak/>
        <w:drawing>
          <wp:inline distT="0" distB="0" distL="0" distR="0" wp14:anchorId="7875D915" wp14:editId="5C15F8E2">
            <wp:extent cx="4014575" cy="2504995"/>
            <wp:effectExtent l="0" t="0" r="5080" b="0"/>
            <wp:docPr id="1918431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431127" name="Picture 1918431127"/>
                    <pic:cNvPicPr/>
                  </pic:nvPicPr>
                  <pic:blipFill>
                    <a:blip r:embed="rId10">
                      <a:extLst>
                        <a:ext uri="{28A0092B-C50C-407E-A947-70E740481C1C}">
                          <a14:useLocalDpi xmlns:a14="http://schemas.microsoft.com/office/drawing/2010/main" val="0"/>
                        </a:ext>
                      </a:extLst>
                    </a:blip>
                    <a:stretch>
                      <a:fillRect/>
                    </a:stretch>
                  </pic:blipFill>
                  <pic:spPr>
                    <a:xfrm>
                      <a:off x="0" y="0"/>
                      <a:ext cx="4030515" cy="2514941"/>
                    </a:xfrm>
                    <a:prstGeom prst="rect">
                      <a:avLst/>
                    </a:prstGeom>
                  </pic:spPr>
                </pic:pic>
              </a:graphicData>
            </a:graphic>
          </wp:inline>
        </w:drawing>
      </w:r>
      <w:r w:rsidR="000333AD">
        <w:rPr>
          <w:rFonts w:ascii="Times New Roman" w:hAnsi="Times New Roman" w:cs="Times New Roman"/>
          <w:noProof/>
          <w:sz w:val="24"/>
          <w:szCs w:val="24"/>
        </w:rPr>
        <w:drawing>
          <wp:inline distT="0" distB="0" distL="0" distR="0" wp14:anchorId="69F74B0F" wp14:editId="0FD69FE9">
            <wp:extent cx="5731510" cy="2898775"/>
            <wp:effectExtent l="0" t="0" r="2540" b="0"/>
            <wp:docPr id="319290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0116" name="Picture 3192901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98775"/>
                    </a:xfrm>
                    <a:prstGeom prst="rect">
                      <a:avLst/>
                    </a:prstGeom>
                  </pic:spPr>
                </pic:pic>
              </a:graphicData>
            </a:graphic>
          </wp:inline>
        </w:drawing>
      </w:r>
    </w:p>
    <w:p w14:paraId="7493198A" w14:textId="6B71349A" w:rsidR="000333AD" w:rsidRDefault="000333AD" w:rsidP="00292ADF">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77D37BE" wp14:editId="56163E39">
            <wp:extent cx="4808220" cy="2015233"/>
            <wp:effectExtent l="0" t="0" r="0" b="4445"/>
            <wp:docPr id="1305652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52184" name="Picture 1305652184"/>
                    <pic:cNvPicPr/>
                  </pic:nvPicPr>
                  <pic:blipFill>
                    <a:blip r:embed="rId12">
                      <a:extLst>
                        <a:ext uri="{28A0092B-C50C-407E-A947-70E740481C1C}">
                          <a14:useLocalDpi xmlns:a14="http://schemas.microsoft.com/office/drawing/2010/main" val="0"/>
                        </a:ext>
                      </a:extLst>
                    </a:blip>
                    <a:stretch>
                      <a:fillRect/>
                    </a:stretch>
                  </pic:blipFill>
                  <pic:spPr>
                    <a:xfrm>
                      <a:off x="0" y="0"/>
                      <a:ext cx="4820434" cy="2020352"/>
                    </a:xfrm>
                    <a:prstGeom prst="rect">
                      <a:avLst/>
                    </a:prstGeom>
                  </pic:spPr>
                </pic:pic>
              </a:graphicData>
            </a:graphic>
          </wp:inline>
        </w:drawing>
      </w:r>
    </w:p>
    <w:p w14:paraId="27D0B427" w14:textId="4B094784" w:rsidR="00F21468" w:rsidRPr="00F21468" w:rsidRDefault="00F21468" w:rsidP="00632E52">
      <w:pPr>
        <w:spacing w:line="360" w:lineRule="auto"/>
        <w:jc w:val="center"/>
        <w:rPr>
          <w:rFonts w:ascii="Times New Roman" w:hAnsi="Times New Roman" w:cs="Times New Roman"/>
          <w:sz w:val="20"/>
          <w:szCs w:val="20"/>
        </w:rPr>
      </w:pPr>
      <w:r w:rsidRPr="00F21468">
        <w:rPr>
          <w:rFonts w:ascii="Times New Roman" w:hAnsi="Times New Roman" w:cs="Times New Roman"/>
          <w:sz w:val="20"/>
          <w:szCs w:val="20"/>
        </w:rPr>
        <w:t>Figure 3. Executive Summary Tab</w:t>
      </w:r>
    </w:p>
    <w:p w14:paraId="3F72E05F" w14:textId="77777777" w:rsidR="00F21468" w:rsidRPr="00F21468" w:rsidRDefault="00F21468" w:rsidP="00F21468">
      <w:pPr>
        <w:spacing w:line="360" w:lineRule="auto"/>
        <w:jc w:val="both"/>
        <w:rPr>
          <w:rFonts w:ascii="Times New Roman" w:hAnsi="Times New Roman" w:cs="Times New Roman"/>
          <w:b/>
          <w:bCs/>
          <w:sz w:val="24"/>
          <w:szCs w:val="24"/>
        </w:rPr>
      </w:pPr>
      <w:r w:rsidRPr="00F21468">
        <w:rPr>
          <w:rFonts w:ascii="Times New Roman" w:hAnsi="Times New Roman" w:cs="Times New Roman"/>
          <w:b/>
          <w:bCs/>
          <w:sz w:val="24"/>
          <w:szCs w:val="24"/>
        </w:rPr>
        <w:t>Operations Monitoring Dashboard</w:t>
      </w:r>
    </w:p>
    <w:p w14:paraId="1AE88F7A" w14:textId="77777777" w:rsidR="00563686" w:rsidRDefault="00F21468" w:rsidP="00593CBD">
      <w:pPr>
        <w:spacing w:line="276" w:lineRule="auto"/>
        <w:jc w:val="both"/>
        <w:rPr>
          <w:rFonts w:ascii="Times New Roman" w:hAnsi="Times New Roman" w:cs="Times New Roman"/>
          <w:sz w:val="24"/>
          <w:szCs w:val="24"/>
        </w:rPr>
      </w:pPr>
      <w:r w:rsidRPr="00F21468">
        <w:rPr>
          <w:rFonts w:ascii="Times New Roman" w:hAnsi="Times New Roman" w:cs="Times New Roman"/>
          <w:sz w:val="24"/>
          <w:szCs w:val="24"/>
        </w:rPr>
        <w:lastRenderedPageBreak/>
        <w:t>The Operations Monitor provides continuous visibility into daily, weekly, and monthly operational activities. Interactive time-series visualizations present trends in CBP apprehensions, transfers, HHS discharges, and Total System Load, allowing managers to identify changes in operational workload over time. Comparative charts facilitate performance assessment across reporting periods and support the identification of seasonal or recurring operational patterns. By consolidating multiple operational indicators within a single interface, the dashboard improves situational awareness and assists managers in detecting emerging capacity constraints.</w:t>
      </w:r>
    </w:p>
    <w:p w14:paraId="144F5D76" w14:textId="77777777" w:rsidR="00563686" w:rsidRDefault="00563686" w:rsidP="00593CBD">
      <w:pPr>
        <w:spacing w:line="276" w:lineRule="auto"/>
        <w:jc w:val="both"/>
        <w:rPr>
          <w:rFonts w:ascii="Times New Roman" w:hAnsi="Times New Roman" w:cs="Times New Roman"/>
          <w:sz w:val="24"/>
          <w:szCs w:val="24"/>
        </w:rPr>
      </w:pPr>
    </w:p>
    <w:p w14:paraId="351671EE" w14:textId="66D4FF34" w:rsidR="00F21468" w:rsidRPr="00F21468" w:rsidRDefault="00D010DF" w:rsidP="00593CBD">
      <w:pPr>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79555F" wp14:editId="65B2C497">
            <wp:extent cx="5731510" cy="2907665"/>
            <wp:effectExtent l="0" t="0" r="2540" b="6985"/>
            <wp:docPr id="16761419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141936" name="Picture 16761419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907665"/>
                    </a:xfrm>
                    <a:prstGeom prst="rect">
                      <a:avLst/>
                    </a:prstGeom>
                  </pic:spPr>
                </pic:pic>
              </a:graphicData>
            </a:graphic>
          </wp:inline>
        </w:drawing>
      </w:r>
    </w:p>
    <w:p w14:paraId="32D380B3" w14:textId="2C77B840" w:rsidR="00F21468" w:rsidRDefault="006F526E" w:rsidP="00292A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E44AF7" wp14:editId="5C1CA5CB">
            <wp:extent cx="5273918" cy="2662084"/>
            <wp:effectExtent l="0" t="0" r="3175" b="5080"/>
            <wp:docPr id="5232359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35993" name="Picture 5232359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4662" cy="2667507"/>
                    </a:xfrm>
                    <a:prstGeom prst="rect">
                      <a:avLst/>
                    </a:prstGeom>
                  </pic:spPr>
                </pic:pic>
              </a:graphicData>
            </a:graphic>
          </wp:inline>
        </w:drawing>
      </w:r>
    </w:p>
    <w:p w14:paraId="7DA9F55B" w14:textId="4805F288" w:rsidR="000333AD" w:rsidRDefault="000333AD" w:rsidP="00292A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BCFDA36" wp14:editId="74992D8E">
            <wp:extent cx="3466262" cy="2573957"/>
            <wp:effectExtent l="0" t="0" r="1270" b="0"/>
            <wp:docPr id="15587877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87797" name="Picture 1558787797"/>
                    <pic:cNvPicPr/>
                  </pic:nvPicPr>
                  <pic:blipFill>
                    <a:blip r:embed="rId15">
                      <a:extLst>
                        <a:ext uri="{28A0092B-C50C-407E-A947-70E740481C1C}">
                          <a14:useLocalDpi xmlns:a14="http://schemas.microsoft.com/office/drawing/2010/main" val="0"/>
                        </a:ext>
                      </a:extLst>
                    </a:blip>
                    <a:stretch>
                      <a:fillRect/>
                    </a:stretch>
                  </pic:blipFill>
                  <pic:spPr>
                    <a:xfrm>
                      <a:off x="0" y="0"/>
                      <a:ext cx="3482269" cy="2585843"/>
                    </a:xfrm>
                    <a:prstGeom prst="rect">
                      <a:avLst/>
                    </a:prstGeom>
                  </pic:spPr>
                </pic:pic>
              </a:graphicData>
            </a:graphic>
          </wp:inline>
        </w:drawing>
      </w:r>
    </w:p>
    <w:p w14:paraId="073C6531" w14:textId="0A2AF3C9" w:rsidR="000870BC" w:rsidRPr="00F21468" w:rsidRDefault="000870BC" w:rsidP="00632E52">
      <w:pPr>
        <w:spacing w:line="360" w:lineRule="auto"/>
        <w:jc w:val="center"/>
        <w:rPr>
          <w:rFonts w:ascii="Times New Roman" w:hAnsi="Times New Roman" w:cs="Times New Roman"/>
          <w:sz w:val="20"/>
          <w:szCs w:val="20"/>
        </w:rPr>
      </w:pPr>
      <w:r w:rsidRPr="00F21468">
        <w:rPr>
          <w:rFonts w:ascii="Times New Roman" w:hAnsi="Times New Roman" w:cs="Times New Roman"/>
          <w:sz w:val="20"/>
          <w:szCs w:val="20"/>
        </w:rPr>
        <w:t xml:space="preserve">Figure </w:t>
      </w:r>
      <w:r>
        <w:rPr>
          <w:rFonts w:ascii="Times New Roman" w:hAnsi="Times New Roman" w:cs="Times New Roman"/>
          <w:sz w:val="20"/>
          <w:szCs w:val="20"/>
        </w:rPr>
        <w:t>4</w:t>
      </w:r>
      <w:r w:rsidRPr="00F21468">
        <w:rPr>
          <w:rFonts w:ascii="Times New Roman" w:hAnsi="Times New Roman" w:cs="Times New Roman"/>
          <w:sz w:val="20"/>
          <w:szCs w:val="20"/>
        </w:rPr>
        <w:t xml:space="preserve">. </w:t>
      </w:r>
      <w:r>
        <w:rPr>
          <w:rFonts w:ascii="Times New Roman" w:hAnsi="Times New Roman" w:cs="Times New Roman"/>
          <w:sz w:val="20"/>
          <w:szCs w:val="20"/>
        </w:rPr>
        <w:t>Operation Monitor</w:t>
      </w:r>
      <w:r w:rsidRPr="00F21468">
        <w:rPr>
          <w:rFonts w:ascii="Times New Roman" w:hAnsi="Times New Roman" w:cs="Times New Roman"/>
          <w:sz w:val="20"/>
          <w:szCs w:val="20"/>
        </w:rPr>
        <w:t xml:space="preserve"> Tab</w:t>
      </w:r>
    </w:p>
    <w:p w14:paraId="5D61C546" w14:textId="2D886F3B" w:rsidR="00B47F89" w:rsidRPr="00B47F89" w:rsidRDefault="00BE0572" w:rsidP="00B47F89">
      <w:pPr>
        <w:spacing w:line="360" w:lineRule="auto"/>
        <w:jc w:val="both"/>
        <w:rPr>
          <w:rFonts w:ascii="Times New Roman" w:hAnsi="Times New Roman" w:cs="Times New Roman"/>
          <w:b/>
          <w:bCs/>
          <w:sz w:val="24"/>
          <w:szCs w:val="24"/>
        </w:rPr>
      </w:pPr>
      <w:r w:rsidRPr="00BE0572">
        <w:rPr>
          <w:rFonts w:ascii="Times New Roman" w:hAnsi="Times New Roman" w:cs="Times New Roman"/>
          <w:b/>
          <w:bCs/>
          <w:sz w:val="24"/>
          <w:szCs w:val="24"/>
        </w:rPr>
        <w:t>Backlog and Risk Dashboard</w:t>
      </w:r>
    </w:p>
    <w:p w14:paraId="0AD9E859" w14:textId="77777777" w:rsidR="00B47F89" w:rsidRPr="00B47F89" w:rsidRDefault="00B47F89" w:rsidP="00593CBD">
      <w:pPr>
        <w:spacing w:line="276" w:lineRule="auto"/>
        <w:jc w:val="both"/>
        <w:rPr>
          <w:rFonts w:ascii="Times New Roman" w:hAnsi="Times New Roman" w:cs="Times New Roman"/>
          <w:sz w:val="24"/>
          <w:szCs w:val="24"/>
        </w:rPr>
      </w:pPr>
      <w:r w:rsidRPr="00B47F89">
        <w:rPr>
          <w:rFonts w:ascii="Times New Roman" w:hAnsi="Times New Roman" w:cs="Times New Roman"/>
          <w:sz w:val="24"/>
          <w:szCs w:val="24"/>
        </w:rPr>
        <w:t xml:space="preserve">The Backlog and Risk Dashboard </w:t>
      </w:r>
      <w:proofErr w:type="gramStart"/>
      <w:r w:rsidRPr="00B47F89">
        <w:rPr>
          <w:rFonts w:ascii="Times New Roman" w:hAnsi="Times New Roman" w:cs="Times New Roman"/>
          <w:sz w:val="24"/>
          <w:szCs w:val="24"/>
        </w:rPr>
        <w:t>provides</w:t>
      </w:r>
      <w:proofErr w:type="gramEnd"/>
      <w:r w:rsidRPr="00B47F89">
        <w:rPr>
          <w:rFonts w:ascii="Times New Roman" w:hAnsi="Times New Roman" w:cs="Times New Roman"/>
          <w:sz w:val="24"/>
          <w:szCs w:val="24"/>
        </w:rPr>
        <w:t xml:space="preserve"> a focused assessment of operational stability by monitoring key backlog and risk indicators. Summary cards display the </w:t>
      </w:r>
      <w:r w:rsidRPr="00B47F89">
        <w:rPr>
          <w:rFonts w:ascii="Times New Roman" w:hAnsi="Times New Roman" w:cs="Times New Roman"/>
          <w:b/>
          <w:bCs/>
          <w:sz w:val="24"/>
          <w:szCs w:val="24"/>
        </w:rPr>
        <w:t>Composite Risk Score</w:t>
      </w:r>
      <w:r w:rsidRPr="00B47F89">
        <w:rPr>
          <w:rFonts w:ascii="Times New Roman" w:hAnsi="Times New Roman" w:cs="Times New Roman"/>
          <w:sz w:val="24"/>
          <w:szCs w:val="24"/>
        </w:rPr>
        <w:t xml:space="preserve">, </w:t>
      </w:r>
      <w:r w:rsidRPr="00B47F89">
        <w:rPr>
          <w:rFonts w:ascii="Times New Roman" w:hAnsi="Times New Roman" w:cs="Times New Roman"/>
          <w:b/>
          <w:bCs/>
          <w:sz w:val="24"/>
          <w:szCs w:val="24"/>
        </w:rPr>
        <w:t>Top Risk Driver</w:t>
      </w:r>
      <w:r w:rsidRPr="00B47F89">
        <w:rPr>
          <w:rFonts w:ascii="Times New Roman" w:hAnsi="Times New Roman" w:cs="Times New Roman"/>
          <w:sz w:val="24"/>
          <w:szCs w:val="24"/>
        </w:rPr>
        <w:t xml:space="preserve">, and the number of </w:t>
      </w:r>
      <w:r w:rsidRPr="00B47F89">
        <w:rPr>
          <w:rFonts w:ascii="Times New Roman" w:hAnsi="Times New Roman" w:cs="Times New Roman"/>
          <w:b/>
          <w:bCs/>
          <w:sz w:val="24"/>
          <w:szCs w:val="24"/>
        </w:rPr>
        <w:t>Selected Daily Rows</w:t>
      </w:r>
      <w:r w:rsidRPr="00B47F89">
        <w:rPr>
          <w:rFonts w:ascii="Times New Roman" w:hAnsi="Times New Roman" w:cs="Times New Roman"/>
          <w:sz w:val="24"/>
          <w:szCs w:val="24"/>
        </w:rPr>
        <w:t>, offering managers a quick overview of the current operational condition.</w:t>
      </w:r>
    </w:p>
    <w:p w14:paraId="64B3509B" w14:textId="77777777" w:rsidR="00B47F89" w:rsidRPr="00B47F89" w:rsidRDefault="00B47F89" w:rsidP="00593CBD">
      <w:pPr>
        <w:spacing w:line="276" w:lineRule="auto"/>
        <w:jc w:val="both"/>
        <w:rPr>
          <w:rFonts w:ascii="Times New Roman" w:hAnsi="Times New Roman" w:cs="Times New Roman"/>
          <w:sz w:val="24"/>
          <w:szCs w:val="24"/>
        </w:rPr>
      </w:pPr>
      <w:r w:rsidRPr="00B47F89">
        <w:rPr>
          <w:rFonts w:ascii="Times New Roman" w:hAnsi="Times New Roman" w:cs="Times New Roman"/>
          <w:sz w:val="24"/>
          <w:szCs w:val="24"/>
        </w:rPr>
        <w:t xml:space="preserve">The dashboard includes visualizations of the </w:t>
      </w:r>
      <w:r w:rsidRPr="00B47F89">
        <w:rPr>
          <w:rFonts w:ascii="Times New Roman" w:hAnsi="Times New Roman" w:cs="Times New Roman"/>
          <w:b/>
          <w:bCs/>
          <w:sz w:val="24"/>
          <w:szCs w:val="24"/>
        </w:rPr>
        <w:t>Average Discharge Offset Ratio by Month</w:t>
      </w:r>
      <w:r w:rsidRPr="00B47F89">
        <w:rPr>
          <w:rFonts w:ascii="Times New Roman" w:hAnsi="Times New Roman" w:cs="Times New Roman"/>
          <w:sz w:val="24"/>
          <w:szCs w:val="24"/>
        </w:rPr>
        <w:t xml:space="preserve">, </w:t>
      </w:r>
      <w:r w:rsidRPr="00B47F89">
        <w:rPr>
          <w:rFonts w:ascii="Times New Roman" w:hAnsi="Times New Roman" w:cs="Times New Roman"/>
          <w:b/>
          <w:bCs/>
          <w:sz w:val="24"/>
          <w:szCs w:val="24"/>
        </w:rPr>
        <w:t>Monthly Apprehension-to-Transfer Gap</w:t>
      </w:r>
      <w:r w:rsidRPr="00B47F89">
        <w:rPr>
          <w:rFonts w:ascii="Times New Roman" w:hAnsi="Times New Roman" w:cs="Times New Roman"/>
          <w:sz w:val="24"/>
          <w:szCs w:val="24"/>
        </w:rPr>
        <w:t xml:space="preserve">, and </w:t>
      </w:r>
      <w:r w:rsidRPr="00B47F89">
        <w:rPr>
          <w:rFonts w:ascii="Times New Roman" w:hAnsi="Times New Roman" w:cs="Times New Roman"/>
          <w:b/>
          <w:bCs/>
          <w:sz w:val="24"/>
          <w:szCs w:val="24"/>
        </w:rPr>
        <w:t>14-Day Backlog Accumulation</w:t>
      </w:r>
      <w:r w:rsidRPr="00B47F89">
        <w:rPr>
          <w:rFonts w:ascii="Times New Roman" w:hAnsi="Times New Roman" w:cs="Times New Roman"/>
          <w:sz w:val="24"/>
          <w:szCs w:val="24"/>
        </w:rPr>
        <w:t>. These charts help identify imbalances between apprehensions, transfers, and discharges, enabling users to detect periods where operational demand exceeds system capacity. By combining risk indicators with backlog trends, the dashboard supports early identification of potential bottlenecks and facilitates proactive planning and resource allocation.</w:t>
      </w:r>
    </w:p>
    <w:p w14:paraId="58D7FE2F" w14:textId="0618C727" w:rsidR="000333AD" w:rsidRDefault="006F526E" w:rsidP="00292A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15B8BB" wp14:editId="0B5CE70E">
            <wp:extent cx="5546622" cy="2979174"/>
            <wp:effectExtent l="0" t="0" r="0" b="0"/>
            <wp:docPr id="1070842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84274" name="Picture 1070842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76281" cy="2995104"/>
                    </a:xfrm>
                    <a:prstGeom prst="rect">
                      <a:avLst/>
                    </a:prstGeom>
                  </pic:spPr>
                </pic:pic>
              </a:graphicData>
            </a:graphic>
          </wp:inline>
        </w:drawing>
      </w:r>
    </w:p>
    <w:p w14:paraId="07CB00C2" w14:textId="109CA0A4" w:rsidR="00A60E11" w:rsidRDefault="00A60E11" w:rsidP="00292A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3CB7896" wp14:editId="46FCDC36">
            <wp:extent cx="5563705" cy="2802194"/>
            <wp:effectExtent l="0" t="0" r="0" b="0"/>
            <wp:docPr id="17830454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45405" name="Picture 17830454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7653" cy="2804182"/>
                    </a:xfrm>
                    <a:prstGeom prst="rect">
                      <a:avLst/>
                    </a:prstGeom>
                  </pic:spPr>
                </pic:pic>
              </a:graphicData>
            </a:graphic>
          </wp:inline>
        </w:drawing>
      </w:r>
    </w:p>
    <w:p w14:paraId="754C31D9" w14:textId="742D2DBD" w:rsidR="00B47F89" w:rsidRPr="00F21468" w:rsidRDefault="00B47F89" w:rsidP="00632E52">
      <w:pPr>
        <w:spacing w:line="360" w:lineRule="auto"/>
        <w:jc w:val="center"/>
        <w:rPr>
          <w:rFonts w:ascii="Times New Roman" w:hAnsi="Times New Roman" w:cs="Times New Roman"/>
          <w:sz w:val="20"/>
          <w:szCs w:val="20"/>
        </w:rPr>
      </w:pPr>
      <w:r w:rsidRPr="00F21468">
        <w:rPr>
          <w:rFonts w:ascii="Times New Roman" w:hAnsi="Times New Roman" w:cs="Times New Roman"/>
          <w:sz w:val="20"/>
          <w:szCs w:val="20"/>
        </w:rPr>
        <w:t xml:space="preserve">Figure </w:t>
      </w:r>
      <w:r>
        <w:rPr>
          <w:rFonts w:ascii="Times New Roman" w:hAnsi="Times New Roman" w:cs="Times New Roman"/>
          <w:sz w:val="20"/>
          <w:szCs w:val="20"/>
        </w:rPr>
        <w:t>5</w:t>
      </w:r>
      <w:r w:rsidRPr="00F21468">
        <w:rPr>
          <w:rFonts w:ascii="Times New Roman" w:hAnsi="Times New Roman" w:cs="Times New Roman"/>
          <w:sz w:val="20"/>
          <w:szCs w:val="20"/>
        </w:rPr>
        <w:t xml:space="preserve">. </w:t>
      </w:r>
      <w:r>
        <w:rPr>
          <w:rFonts w:ascii="Times New Roman" w:hAnsi="Times New Roman" w:cs="Times New Roman"/>
          <w:sz w:val="20"/>
          <w:szCs w:val="20"/>
        </w:rPr>
        <w:t xml:space="preserve">Backlog and risk </w:t>
      </w:r>
      <w:r w:rsidRPr="00F21468">
        <w:rPr>
          <w:rFonts w:ascii="Times New Roman" w:hAnsi="Times New Roman" w:cs="Times New Roman"/>
          <w:sz w:val="20"/>
          <w:szCs w:val="20"/>
        </w:rPr>
        <w:t>Tab</w:t>
      </w:r>
    </w:p>
    <w:p w14:paraId="7350940A" w14:textId="77777777" w:rsidR="00B47F89" w:rsidRDefault="00B47F89" w:rsidP="000870BC">
      <w:pPr>
        <w:spacing w:line="360" w:lineRule="auto"/>
        <w:jc w:val="both"/>
        <w:rPr>
          <w:rFonts w:ascii="Times New Roman" w:hAnsi="Times New Roman" w:cs="Times New Roman"/>
          <w:b/>
          <w:bCs/>
          <w:sz w:val="24"/>
          <w:szCs w:val="24"/>
        </w:rPr>
      </w:pPr>
    </w:p>
    <w:p w14:paraId="6C748918" w14:textId="0A166DC3" w:rsidR="000870BC" w:rsidRPr="000870BC" w:rsidRDefault="000870BC" w:rsidP="000870BC">
      <w:pPr>
        <w:spacing w:line="360" w:lineRule="auto"/>
        <w:jc w:val="both"/>
        <w:rPr>
          <w:rFonts w:ascii="Times New Roman" w:hAnsi="Times New Roman" w:cs="Times New Roman"/>
          <w:b/>
          <w:bCs/>
          <w:sz w:val="24"/>
          <w:szCs w:val="24"/>
        </w:rPr>
      </w:pPr>
      <w:r w:rsidRPr="000870BC">
        <w:rPr>
          <w:rFonts w:ascii="Times New Roman" w:hAnsi="Times New Roman" w:cs="Times New Roman"/>
          <w:b/>
          <w:bCs/>
          <w:sz w:val="24"/>
          <w:szCs w:val="24"/>
        </w:rPr>
        <w:t>Forecast and Anomaly Analysis</w:t>
      </w:r>
    </w:p>
    <w:p w14:paraId="4DBC5A66" w14:textId="77777777" w:rsidR="000870BC" w:rsidRPr="000870BC" w:rsidRDefault="000870BC" w:rsidP="00593CBD">
      <w:pPr>
        <w:spacing w:line="276" w:lineRule="auto"/>
        <w:jc w:val="both"/>
        <w:rPr>
          <w:rFonts w:ascii="Times New Roman" w:hAnsi="Times New Roman" w:cs="Times New Roman"/>
          <w:sz w:val="24"/>
          <w:szCs w:val="24"/>
        </w:rPr>
      </w:pPr>
      <w:r w:rsidRPr="000870BC">
        <w:rPr>
          <w:rFonts w:ascii="Times New Roman" w:hAnsi="Times New Roman" w:cs="Times New Roman"/>
          <w:sz w:val="24"/>
          <w:szCs w:val="24"/>
        </w:rPr>
        <w:t>To support proactive planning, the dashboard incorporates forecasting and anomaly detection capabilities based on historical operational trends. Users can adjust parameters including anomaly sensitivity, baseline observation window, forecasting horizon, and model training period through interactive controls. Forecasted values of Total System Load are presented together with confidence intervals, while anomaly detection highlights observations that deviate significantly from expected operational behaviour. These analytical features enable managers to anticipate increasing operational pressure and evaluate potential intervention strategies before critical thresholds are reached.</w:t>
      </w:r>
    </w:p>
    <w:p w14:paraId="50C3A849" w14:textId="5B712DF9" w:rsidR="000870BC" w:rsidRDefault="000870BC" w:rsidP="00292ADF">
      <w:pPr>
        <w:spacing w:line="360" w:lineRule="auto"/>
        <w:jc w:val="both"/>
        <w:rPr>
          <w:rFonts w:ascii="Times New Roman" w:hAnsi="Times New Roman" w:cs="Times New Roman"/>
          <w:sz w:val="24"/>
          <w:szCs w:val="24"/>
        </w:rPr>
      </w:pPr>
    </w:p>
    <w:p w14:paraId="621FF369" w14:textId="7F655CCB" w:rsidR="00563686" w:rsidRDefault="00563686" w:rsidP="000870BC">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4B41CD02" wp14:editId="366297C6">
            <wp:extent cx="5260866" cy="2647336"/>
            <wp:effectExtent l="0" t="0" r="0" b="635"/>
            <wp:docPr id="19075162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6262" name="Picture 19075162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85800" cy="2659883"/>
                    </a:xfrm>
                    <a:prstGeom prst="rect">
                      <a:avLst/>
                    </a:prstGeom>
                  </pic:spPr>
                </pic:pic>
              </a:graphicData>
            </a:graphic>
          </wp:inline>
        </w:drawing>
      </w:r>
    </w:p>
    <w:p w14:paraId="673E3F9E" w14:textId="77777777" w:rsidR="00563686" w:rsidRDefault="00563686" w:rsidP="000870BC">
      <w:pPr>
        <w:spacing w:line="360" w:lineRule="auto"/>
        <w:jc w:val="both"/>
        <w:rPr>
          <w:rFonts w:ascii="Times New Roman" w:hAnsi="Times New Roman" w:cs="Times New Roman"/>
          <w:noProof/>
          <w:sz w:val="24"/>
          <w:szCs w:val="24"/>
        </w:rPr>
      </w:pPr>
    </w:p>
    <w:p w14:paraId="61064A51" w14:textId="12B5E5D1" w:rsidR="000870BC" w:rsidRDefault="000333AD" w:rsidP="000870BC">
      <w:pPr>
        <w:spacing w:line="360" w:lineRule="auto"/>
        <w:jc w:val="both"/>
        <w:rPr>
          <w:rFonts w:ascii="Times New Roman" w:hAnsi="Times New Roman" w:cs="Times New Roman"/>
          <w:b/>
          <w:bCs/>
        </w:rPr>
      </w:pPr>
      <w:r>
        <w:rPr>
          <w:rFonts w:ascii="Times New Roman" w:hAnsi="Times New Roman" w:cs="Times New Roman"/>
          <w:noProof/>
          <w:sz w:val="24"/>
          <w:szCs w:val="24"/>
        </w:rPr>
        <w:drawing>
          <wp:inline distT="0" distB="0" distL="0" distR="0" wp14:anchorId="69B66EAE" wp14:editId="6333E96A">
            <wp:extent cx="5286892" cy="2676833"/>
            <wp:effectExtent l="0" t="0" r="0" b="9525"/>
            <wp:docPr id="2048738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38185" name="Picture 20487381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9520" cy="2683227"/>
                    </a:xfrm>
                    <a:prstGeom prst="rect">
                      <a:avLst/>
                    </a:prstGeom>
                  </pic:spPr>
                </pic:pic>
              </a:graphicData>
            </a:graphic>
          </wp:inline>
        </w:drawing>
      </w:r>
    </w:p>
    <w:p w14:paraId="312493BA" w14:textId="686C98F7" w:rsidR="00B47F89" w:rsidRPr="00B47F89" w:rsidRDefault="00B47F89" w:rsidP="00563686">
      <w:pPr>
        <w:spacing w:line="360" w:lineRule="auto"/>
        <w:ind w:left="2160" w:firstLine="720"/>
        <w:rPr>
          <w:rFonts w:ascii="Times New Roman" w:hAnsi="Times New Roman" w:cs="Times New Roman"/>
          <w:sz w:val="20"/>
          <w:szCs w:val="20"/>
        </w:rPr>
      </w:pPr>
      <w:r w:rsidRPr="00F21468">
        <w:rPr>
          <w:rFonts w:ascii="Times New Roman" w:hAnsi="Times New Roman" w:cs="Times New Roman"/>
          <w:sz w:val="20"/>
          <w:szCs w:val="20"/>
        </w:rPr>
        <w:t xml:space="preserve">Figure </w:t>
      </w:r>
      <w:r>
        <w:rPr>
          <w:rFonts w:ascii="Times New Roman" w:hAnsi="Times New Roman" w:cs="Times New Roman"/>
          <w:sz w:val="20"/>
          <w:szCs w:val="20"/>
        </w:rPr>
        <w:t>5</w:t>
      </w:r>
      <w:r w:rsidRPr="00F21468">
        <w:rPr>
          <w:rFonts w:ascii="Times New Roman" w:hAnsi="Times New Roman" w:cs="Times New Roman"/>
          <w:sz w:val="20"/>
          <w:szCs w:val="20"/>
        </w:rPr>
        <w:t xml:space="preserve">. </w:t>
      </w:r>
      <w:r>
        <w:rPr>
          <w:rFonts w:ascii="Times New Roman" w:hAnsi="Times New Roman" w:cs="Times New Roman"/>
          <w:sz w:val="20"/>
          <w:szCs w:val="20"/>
        </w:rPr>
        <w:t>Forecast and anomaly</w:t>
      </w:r>
      <w:r w:rsidRPr="00F21468">
        <w:rPr>
          <w:rFonts w:ascii="Times New Roman" w:hAnsi="Times New Roman" w:cs="Times New Roman"/>
          <w:sz w:val="20"/>
          <w:szCs w:val="20"/>
        </w:rPr>
        <w:t xml:space="preserve"> Tab</w:t>
      </w:r>
    </w:p>
    <w:p w14:paraId="565446C7" w14:textId="167B3636" w:rsidR="000870BC" w:rsidRPr="00BE0572" w:rsidRDefault="000870BC" w:rsidP="000870BC">
      <w:pPr>
        <w:spacing w:line="360" w:lineRule="auto"/>
        <w:jc w:val="both"/>
        <w:rPr>
          <w:rFonts w:ascii="Times New Roman" w:hAnsi="Times New Roman" w:cs="Times New Roman"/>
          <w:b/>
          <w:bCs/>
          <w:sz w:val="24"/>
          <w:szCs w:val="24"/>
        </w:rPr>
      </w:pPr>
      <w:r w:rsidRPr="00BE0572">
        <w:rPr>
          <w:rFonts w:ascii="Times New Roman" w:hAnsi="Times New Roman" w:cs="Times New Roman"/>
          <w:b/>
          <w:bCs/>
          <w:sz w:val="24"/>
          <w:szCs w:val="24"/>
        </w:rPr>
        <w:t>Data Quality Dashboard</w:t>
      </w:r>
    </w:p>
    <w:p w14:paraId="7A2C36D4" w14:textId="789790B8" w:rsidR="000870BC" w:rsidRPr="000870BC" w:rsidRDefault="000870BC" w:rsidP="00593CBD">
      <w:pPr>
        <w:spacing w:line="276" w:lineRule="auto"/>
        <w:jc w:val="both"/>
        <w:rPr>
          <w:rFonts w:ascii="Times New Roman" w:hAnsi="Times New Roman" w:cs="Times New Roman"/>
          <w:sz w:val="24"/>
          <w:szCs w:val="24"/>
        </w:rPr>
      </w:pPr>
      <w:r w:rsidRPr="000870BC">
        <w:rPr>
          <w:rFonts w:ascii="Times New Roman" w:hAnsi="Times New Roman" w:cs="Times New Roman"/>
          <w:sz w:val="24"/>
          <w:szCs w:val="24"/>
        </w:rPr>
        <w:t>The Data Quality module improves transparency by providing information regarding dataset completeness and reporting coverage. Summary indicators display the number of records available within each analytical view together with reporting date ranges and monthly summary statistics. Additional validation views identify missing dates, duplicate records, and rule violations to ensure that dashboard outputs are generated from complete and reliable data. Providing visibility into data quality increases user confidence in analytical results and supports reliable managerial decision-making.</w:t>
      </w:r>
      <w:r w:rsidR="00273D1F">
        <w:rPr>
          <w:rFonts w:ascii="Times New Roman" w:hAnsi="Times New Roman" w:cs="Times New Roman"/>
          <w:noProof/>
          <w:sz w:val="24"/>
          <w:szCs w:val="24"/>
        </w:rPr>
        <w:drawing>
          <wp:inline distT="0" distB="0" distL="0" distR="0" wp14:anchorId="6997CA64" wp14:editId="7F3C5FBA">
            <wp:extent cx="5158067" cy="2610464"/>
            <wp:effectExtent l="0" t="0" r="5080" b="0"/>
            <wp:docPr id="890057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57939" name="Picture 8900579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82748" cy="2622955"/>
                    </a:xfrm>
                    <a:prstGeom prst="rect">
                      <a:avLst/>
                    </a:prstGeom>
                  </pic:spPr>
                </pic:pic>
              </a:graphicData>
            </a:graphic>
          </wp:inline>
        </w:drawing>
      </w:r>
    </w:p>
    <w:p w14:paraId="5D0DD4D8" w14:textId="57E8BAB1" w:rsidR="000333AD" w:rsidRDefault="000333AD" w:rsidP="00292AD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E329EB0" wp14:editId="261E2F39">
            <wp:extent cx="5198806" cy="2633386"/>
            <wp:effectExtent l="0" t="0" r="1905" b="0"/>
            <wp:docPr id="3999566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6621" name="Picture 3999566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04510" cy="2636275"/>
                    </a:xfrm>
                    <a:prstGeom prst="rect">
                      <a:avLst/>
                    </a:prstGeom>
                  </pic:spPr>
                </pic:pic>
              </a:graphicData>
            </a:graphic>
          </wp:inline>
        </w:drawing>
      </w:r>
    </w:p>
    <w:p w14:paraId="317BE32D" w14:textId="4D7C289F" w:rsidR="000870BC" w:rsidRPr="00B47F89" w:rsidRDefault="00B47F89" w:rsidP="00632E52">
      <w:pPr>
        <w:spacing w:line="360" w:lineRule="auto"/>
        <w:jc w:val="center"/>
        <w:rPr>
          <w:rFonts w:ascii="Times New Roman" w:hAnsi="Times New Roman" w:cs="Times New Roman"/>
          <w:sz w:val="20"/>
          <w:szCs w:val="20"/>
        </w:rPr>
      </w:pPr>
      <w:r w:rsidRPr="00F21468">
        <w:rPr>
          <w:rFonts w:ascii="Times New Roman" w:hAnsi="Times New Roman" w:cs="Times New Roman"/>
          <w:sz w:val="20"/>
          <w:szCs w:val="20"/>
        </w:rPr>
        <w:t xml:space="preserve">Figure </w:t>
      </w:r>
      <w:r>
        <w:rPr>
          <w:rFonts w:ascii="Times New Roman" w:hAnsi="Times New Roman" w:cs="Times New Roman"/>
          <w:sz w:val="20"/>
          <w:szCs w:val="20"/>
        </w:rPr>
        <w:t>6</w:t>
      </w:r>
      <w:r w:rsidRPr="00F21468">
        <w:rPr>
          <w:rFonts w:ascii="Times New Roman" w:hAnsi="Times New Roman" w:cs="Times New Roman"/>
          <w:sz w:val="20"/>
          <w:szCs w:val="20"/>
        </w:rPr>
        <w:t xml:space="preserve">. </w:t>
      </w:r>
      <w:r>
        <w:rPr>
          <w:rFonts w:ascii="Times New Roman" w:hAnsi="Times New Roman" w:cs="Times New Roman"/>
          <w:sz w:val="20"/>
          <w:szCs w:val="20"/>
        </w:rPr>
        <w:t>Data Quality</w:t>
      </w:r>
      <w:r w:rsidRPr="00F21468">
        <w:rPr>
          <w:rFonts w:ascii="Times New Roman" w:hAnsi="Times New Roman" w:cs="Times New Roman"/>
          <w:sz w:val="20"/>
          <w:szCs w:val="20"/>
        </w:rPr>
        <w:t xml:space="preserve"> Tab</w:t>
      </w:r>
    </w:p>
    <w:p w14:paraId="3035B72E" w14:textId="77777777" w:rsidR="000870BC" w:rsidRPr="000870BC" w:rsidRDefault="000870BC" w:rsidP="000870BC">
      <w:pPr>
        <w:spacing w:line="360" w:lineRule="auto"/>
        <w:jc w:val="both"/>
        <w:rPr>
          <w:rFonts w:ascii="Times New Roman" w:hAnsi="Times New Roman" w:cs="Times New Roman"/>
          <w:b/>
          <w:bCs/>
          <w:sz w:val="24"/>
          <w:szCs w:val="24"/>
        </w:rPr>
      </w:pPr>
      <w:r w:rsidRPr="000870BC">
        <w:rPr>
          <w:rFonts w:ascii="Times New Roman" w:hAnsi="Times New Roman" w:cs="Times New Roman"/>
          <w:b/>
          <w:bCs/>
          <w:sz w:val="24"/>
          <w:szCs w:val="24"/>
        </w:rPr>
        <w:t>Scenario Analysis Module</w:t>
      </w:r>
    </w:p>
    <w:p w14:paraId="17C11FB4" w14:textId="7109C231" w:rsidR="000870BC" w:rsidRDefault="000870BC" w:rsidP="00593CBD">
      <w:pPr>
        <w:spacing w:line="276" w:lineRule="auto"/>
        <w:jc w:val="both"/>
        <w:rPr>
          <w:rFonts w:ascii="Times New Roman" w:hAnsi="Times New Roman" w:cs="Times New Roman"/>
          <w:sz w:val="24"/>
          <w:szCs w:val="24"/>
        </w:rPr>
      </w:pPr>
      <w:r w:rsidRPr="000870BC">
        <w:rPr>
          <w:rFonts w:ascii="Times New Roman" w:hAnsi="Times New Roman" w:cs="Times New Roman"/>
          <w:sz w:val="24"/>
          <w:szCs w:val="24"/>
        </w:rPr>
        <w:t>The Scenario Lab extends the dashboard beyond descriptive analytics by incorporating interactive simulation capabilities. Users can modify operational assumptions, including the percentage change in CBP transfers and HHS discharges, using configurable slider controls. The application recalculates Net Intake Pressure under simulated conditions and compares projected outcomes against baseline operational performance. This functionality enables decision-makers to evaluate alternative operational strategies and assess their potential impact before implementation, thereby strengthening evidence-based planning and resource allocation.</w:t>
      </w:r>
      <w:r w:rsidR="006F526E">
        <w:rPr>
          <w:rFonts w:ascii="Times New Roman" w:hAnsi="Times New Roman" w:cs="Times New Roman"/>
          <w:noProof/>
          <w:sz w:val="24"/>
          <w:szCs w:val="24"/>
        </w:rPr>
        <w:drawing>
          <wp:inline distT="0" distB="0" distL="0" distR="0" wp14:anchorId="1E6BBBE7" wp14:editId="26144830">
            <wp:extent cx="5205198" cy="2632587"/>
            <wp:effectExtent l="0" t="0" r="0" b="0"/>
            <wp:docPr id="211802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024913" name="Picture 21180249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19413" cy="2639776"/>
                    </a:xfrm>
                    <a:prstGeom prst="rect">
                      <a:avLst/>
                    </a:prstGeom>
                  </pic:spPr>
                </pic:pic>
              </a:graphicData>
            </a:graphic>
          </wp:inline>
        </w:drawing>
      </w:r>
    </w:p>
    <w:p w14:paraId="65A8E580" w14:textId="77777777" w:rsidR="002B6593" w:rsidRDefault="00B47F89" w:rsidP="000870B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FD7623" wp14:editId="09A482DB">
            <wp:extent cx="5243052" cy="2631401"/>
            <wp:effectExtent l="0" t="0" r="0" b="0"/>
            <wp:docPr id="1410365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65537" name="Picture 14103655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43052" cy="2631401"/>
                    </a:xfrm>
                    <a:prstGeom prst="rect">
                      <a:avLst/>
                    </a:prstGeom>
                  </pic:spPr>
                </pic:pic>
              </a:graphicData>
            </a:graphic>
          </wp:inline>
        </w:drawing>
      </w:r>
    </w:p>
    <w:p w14:paraId="53A17857" w14:textId="1B793AC4" w:rsidR="00B47F89" w:rsidRPr="000870BC" w:rsidRDefault="00B47F89" w:rsidP="000870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Before changes </w:t>
      </w:r>
      <w:r>
        <w:rPr>
          <w:rFonts w:ascii="Times New Roman" w:hAnsi="Times New Roman" w:cs="Times New Roman"/>
          <w:noProof/>
          <w:sz w:val="24"/>
          <w:szCs w:val="24"/>
        </w:rPr>
        <w:drawing>
          <wp:inline distT="0" distB="0" distL="0" distR="0" wp14:anchorId="07A9DC3F" wp14:editId="7BC4A717">
            <wp:extent cx="5228303" cy="2625157"/>
            <wp:effectExtent l="0" t="0" r="0" b="3810"/>
            <wp:docPr id="17438449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44966" name="Picture 17438449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8303" cy="2625157"/>
                    </a:xfrm>
                    <a:prstGeom prst="rect">
                      <a:avLst/>
                    </a:prstGeom>
                  </pic:spPr>
                </pic:pic>
              </a:graphicData>
            </a:graphic>
          </wp:inline>
        </w:drawing>
      </w:r>
      <w:r>
        <w:rPr>
          <w:rFonts w:ascii="Times New Roman" w:hAnsi="Times New Roman" w:cs="Times New Roman"/>
          <w:noProof/>
          <w:sz w:val="24"/>
          <w:szCs w:val="24"/>
        </w:rPr>
        <w:drawing>
          <wp:inline distT="0" distB="0" distL="0" distR="0" wp14:anchorId="015C5B58" wp14:editId="312C9C79">
            <wp:extent cx="5316418" cy="3008671"/>
            <wp:effectExtent l="0" t="0" r="0" b="1270"/>
            <wp:docPr id="3798037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03719" name="Picture 3798037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16418" cy="3008671"/>
                    </a:xfrm>
                    <a:prstGeom prst="rect">
                      <a:avLst/>
                    </a:prstGeom>
                  </pic:spPr>
                </pic:pic>
              </a:graphicData>
            </a:graphic>
          </wp:inline>
        </w:drawing>
      </w:r>
    </w:p>
    <w:p w14:paraId="088D0B61" w14:textId="32327BFF" w:rsidR="000870BC" w:rsidRDefault="00B47F89" w:rsidP="00292AD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the changes </w:t>
      </w:r>
    </w:p>
    <w:p w14:paraId="347E0394" w14:textId="117AA91C" w:rsidR="00B47F89" w:rsidRPr="002B6593" w:rsidRDefault="00B47F89" w:rsidP="00632E52">
      <w:pPr>
        <w:spacing w:line="360" w:lineRule="auto"/>
        <w:jc w:val="center"/>
        <w:rPr>
          <w:rFonts w:ascii="Times New Roman" w:hAnsi="Times New Roman" w:cs="Times New Roman"/>
          <w:sz w:val="20"/>
          <w:szCs w:val="20"/>
        </w:rPr>
      </w:pPr>
      <w:r w:rsidRPr="00F21468">
        <w:rPr>
          <w:rFonts w:ascii="Times New Roman" w:hAnsi="Times New Roman" w:cs="Times New Roman"/>
          <w:sz w:val="20"/>
          <w:szCs w:val="20"/>
        </w:rPr>
        <w:t xml:space="preserve">Figure </w:t>
      </w:r>
      <w:r>
        <w:rPr>
          <w:rFonts w:ascii="Times New Roman" w:hAnsi="Times New Roman" w:cs="Times New Roman"/>
          <w:sz w:val="20"/>
          <w:szCs w:val="20"/>
        </w:rPr>
        <w:t>7</w:t>
      </w:r>
      <w:r w:rsidRPr="00F21468">
        <w:rPr>
          <w:rFonts w:ascii="Times New Roman" w:hAnsi="Times New Roman" w:cs="Times New Roman"/>
          <w:sz w:val="20"/>
          <w:szCs w:val="20"/>
        </w:rPr>
        <w:t xml:space="preserve">.  </w:t>
      </w:r>
      <w:r>
        <w:rPr>
          <w:rFonts w:ascii="Times New Roman" w:hAnsi="Times New Roman" w:cs="Times New Roman"/>
          <w:sz w:val="20"/>
          <w:szCs w:val="20"/>
        </w:rPr>
        <w:t xml:space="preserve">Scenario lab </w:t>
      </w:r>
      <w:r w:rsidRPr="00F21468">
        <w:rPr>
          <w:rFonts w:ascii="Times New Roman" w:hAnsi="Times New Roman" w:cs="Times New Roman"/>
          <w:sz w:val="20"/>
          <w:szCs w:val="20"/>
        </w:rPr>
        <w:t>Tab</w:t>
      </w:r>
    </w:p>
    <w:p w14:paraId="0911D584" w14:textId="53236CAF" w:rsidR="00F0524A" w:rsidRPr="00F0524A" w:rsidRDefault="00000000" w:rsidP="00F0524A">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pict w14:anchorId="4E719855">
          <v:rect id="_x0000_i1026" style="width:0;height:1.5pt" o:hralign="center" o:hrstd="t" o:hr="t" fillcolor="#a0a0a0" stroked="f"/>
        </w:pict>
      </w:r>
    </w:p>
    <w:p w14:paraId="4272E11B" w14:textId="77777777" w:rsidR="00BE0572" w:rsidRPr="00BE0572" w:rsidRDefault="00BE0572" w:rsidP="00BE0572">
      <w:pPr>
        <w:rPr>
          <w:rFonts w:ascii="Times New Roman" w:hAnsi="Times New Roman" w:cs="Times New Roman"/>
          <w:b/>
          <w:bCs/>
          <w:sz w:val="28"/>
          <w:szCs w:val="28"/>
        </w:rPr>
      </w:pPr>
      <w:r w:rsidRPr="00BE0572">
        <w:rPr>
          <w:rFonts w:ascii="Times New Roman" w:hAnsi="Times New Roman" w:cs="Times New Roman"/>
          <w:b/>
          <w:bCs/>
          <w:sz w:val="28"/>
          <w:szCs w:val="28"/>
        </w:rPr>
        <w:t>Power BI Analytical Dashboard</w:t>
      </w:r>
    </w:p>
    <w:p w14:paraId="4C329BE7" w14:textId="77777777" w:rsidR="00BE0572" w:rsidRPr="00BE0572" w:rsidRDefault="00BE0572" w:rsidP="00593CBD">
      <w:pPr>
        <w:spacing w:line="276" w:lineRule="auto"/>
        <w:rPr>
          <w:rFonts w:ascii="Times New Roman" w:hAnsi="Times New Roman" w:cs="Times New Roman"/>
          <w:sz w:val="24"/>
          <w:szCs w:val="24"/>
        </w:rPr>
      </w:pPr>
      <w:r w:rsidRPr="00BE0572">
        <w:rPr>
          <w:rFonts w:ascii="Times New Roman" w:hAnsi="Times New Roman" w:cs="Times New Roman"/>
          <w:sz w:val="24"/>
          <w:szCs w:val="24"/>
        </w:rPr>
        <w:t xml:space="preserve">In addition to the </w:t>
      </w:r>
      <w:proofErr w:type="spellStart"/>
      <w:r w:rsidRPr="00BE0572">
        <w:rPr>
          <w:rFonts w:ascii="Times New Roman" w:hAnsi="Times New Roman" w:cs="Times New Roman"/>
          <w:sz w:val="24"/>
          <w:szCs w:val="24"/>
        </w:rPr>
        <w:t>Streamlit</w:t>
      </w:r>
      <w:proofErr w:type="spellEnd"/>
      <w:r w:rsidRPr="00BE0572">
        <w:rPr>
          <w:rFonts w:ascii="Times New Roman" w:hAnsi="Times New Roman" w:cs="Times New Roman"/>
          <w:sz w:val="24"/>
          <w:szCs w:val="24"/>
        </w:rPr>
        <w:t xml:space="preserve"> application, a complementary Power BI dashboard was developed to support detailed business intelligence analysis. Connected to the same SQLite database through an ODBC interface, the Power BI report provides multi-year performance comparisons, drill-down analysis, backlog monitoring, throughput assessment, and operational trend visualization. Interactive filtering and hierarchical navigation allow users to move from annual summaries to quarterly, monthly, and weekly operational views without altering the underlying data model. This complementary analytical environment enables both executive monitoring and detailed operational investigation using a shared data source.</w:t>
      </w:r>
    </w:p>
    <w:p w14:paraId="4C93D79E" w14:textId="77777777" w:rsidR="00BE0572" w:rsidRPr="00BE0572" w:rsidRDefault="00BE0572" w:rsidP="00593CBD">
      <w:pPr>
        <w:spacing w:line="276" w:lineRule="auto"/>
        <w:rPr>
          <w:rFonts w:ascii="Times New Roman" w:hAnsi="Times New Roman" w:cs="Times New Roman"/>
          <w:sz w:val="24"/>
          <w:szCs w:val="24"/>
        </w:rPr>
      </w:pPr>
      <w:r w:rsidRPr="00BE0572">
        <w:rPr>
          <w:rFonts w:ascii="Times New Roman" w:hAnsi="Times New Roman" w:cs="Times New Roman"/>
          <w:sz w:val="24"/>
          <w:szCs w:val="24"/>
        </w:rPr>
        <w:t>Overall, the dashboard implementation demonstrates how lightweight analytical technologies can be integrated into a unified decision-support platform capable of supporting operational monitoring, forecasting, performance evaluation, and strategic planning. The modular architecture ensures flexibility for future extensions, including machine learning models, automated alert mechanisms, and cloud-based deployment.</w:t>
      </w:r>
    </w:p>
    <w:p w14:paraId="0EFE1436" w14:textId="58C95B33" w:rsidR="00FF07CB" w:rsidRDefault="00A60E11" w:rsidP="00A60E11">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16B372F" wp14:editId="73F1C0FE">
            <wp:extent cx="1824173" cy="2964426"/>
            <wp:effectExtent l="0" t="0" r="5080" b="7620"/>
            <wp:docPr id="6076537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53772" name="Picture 607653772"/>
                    <pic:cNvPicPr/>
                  </pic:nvPicPr>
                  <pic:blipFill rotWithShape="1">
                    <a:blip r:embed="rId26">
                      <a:extLst>
                        <a:ext uri="{28A0092B-C50C-407E-A947-70E740481C1C}">
                          <a14:useLocalDpi xmlns:a14="http://schemas.microsoft.com/office/drawing/2010/main" val="0"/>
                        </a:ext>
                      </a:extLst>
                    </a:blip>
                    <a:srcRect b="29258"/>
                    <a:stretch>
                      <a:fillRect/>
                    </a:stretch>
                  </pic:blipFill>
                  <pic:spPr bwMode="auto">
                    <a:xfrm>
                      <a:off x="0" y="0"/>
                      <a:ext cx="1835611" cy="2983013"/>
                    </a:xfrm>
                    <a:prstGeom prst="rect">
                      <a:avLst/>
                    </a:prstGeom>
                    <a:ln>
                      <a:noFill/>
                    </a:ln>
                    <a:extLst>
                      <a:ext uri="{53640926-AAD7-44D8-BBD7-CCE9431645EC}">
                        <a14:shadowObscured xmlns:a14="http://schemas.microsoft.com/office/drawing/2010/main"/>
                      </a:ext>
                    </a:extLst>
                  </pic:spPr>
                </pic:pic>
              </a:graphicData>
            </a:graphic>
          </wp:inline>
        </w:drawing>
      </w:r>
      <w:r w:rsidR="00FF07CB">
        <w:rPr>
          <w:rFonts w:ascii="Times New Roman" w:hAnsi="Times New Roman" w:cs="Times New Roman"/>
          <w:b/>
          <w:bCs/>
          <w:sz w:val="28"/>
          <w:szCs w:val="28"/>
        </w:rPr>
        <w:t xml:space="preserve">  </w:t>
      </w:r>
      <w:r>
        <w:rPr>
          <w:rFonts w:ascii="Times New Roman" w:hAnsi="Times New Roman" w:cs="Times New Roman"/>
          <w:b/>
          <w:bCs/>
          <w:noProof/>
          <w:sz w:val="28"/>
          <w:szCs w:val="28"/>
        </w:rPr>
        <w:drawing>
          <wp:inline distT="0" distB="0" distL="0" distR="0" wp14:anchorId="49A17BEA" wp14:editId="79A50425">
            <wp:extent cx="1684174" cy="2743200"/>
            <wp:effectExtent l="0" t="0" r="0" b="0"/>
            <wp:docPr id="36654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4146" name="Picture 36654146"/>
                    <pic:cNvPicPr/>
                  </pic:nvPicPr>
                  <pic:blipFill>
                    <a:blip r:embed="rId27">
                      <a:extLst>
                        <a:ext uri="{28A0092B-C50C-407E-A947-70E740481C1C}">
                          <a14:useLocalDpi xmlns:a14="http://schemas.microsoft.com/office/drawing/2010/main" val="0"/>
                        </a:ext>
                      </a:extLst>
                    </a:blip>
                    <a:stretch>
                      <a:fillRect/>
                    </a:stretch>
                  </pic:blipFill>
                  <pic:spPr>
                    <a:xfrm>
                      <a:off x="0" y="0"/>
                      <a:ext cx="1705276" cy="2777571"/>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26BFF733" wp14:editId="554F2849">
            <wp:extent cx="1969685" cy="3207775"/>
            <wp:effectExtent l="0" t="0" r="0" b="0"/>
            <wp:docPr id="72095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527" name="Picture 7209527"/>
                    <pic:cNvPicPr/>
                  </pic:nvPicPr>
                  <pic:blipFill>
                    <a:blip r:embed="rId28">
                      <a:extLst>
                        <a:ext uri="{28A0092B-C50C-407E-A947-70E740481C1C}">
                          <a14:useLocalDpi xmlns:a14="http://schemas.microsoft.com/office/drawing/2010/main" val="0"/>
                        </a:ext>
                      </a:extLst>
                    </a:blip>
                    <a:stretch>
                      <a:fillRect/>
                    </a:stretch>
                  </pic:blipFill>
                  <pic:spPr>
                    <a:xfrm>
                      <a:off x="0" y="0"/>
                      <a:ext cx="1977756" cy="3220920"/>
                    </a:xfrm>
                    <a:prstGeom prst="rect">
                      <a:avLst/>
                    </a:prstGeom>
                  </pic:spPr>
                </pic:pic>
              </a:graphicData>
            </a:graphic>
          </wp:inline>
        </w:drawing>
      </w:r>
    </w:p>
    <w:p w14:paraId="1B6BA3FE" w14:textId="52820DC6" w:rsidR="00632E52" w:rsidRPr="00632E52" w:rsidRDefault="00632E52" w:rsidP="00632E52">
      <w:pPr>
        <w:jc w:val="center"/>
        <w:rPr>
          <w:rFonts w:ascii="Times New Roman" w:hAnsi="Times New Roman" w:cs="Times New Roman"/>
          <w:sz w:val="20"/>
          <w:szCs w:val="20"/>
        </w:rPr>
      </w:pPr>
      <w:r w:rsidRPr="00632E52">
        <w:rPr>
          <w:rFonts w:ascii="Times New Roman" w:hAnsi="Times New Roman" w:cs="Times New Roman"/>
          <w:sz w:val="20"/>
          <w:szCs w:val="20"/>
        </w:rPr>
        <w:t xml:space="preserve">Figure 8. Power BI </w:t>
      </w:r>
      <w:r>
        <w:rPr>
          <w:rFonts w:ascii="Times New Roman" w:hAnsi="Times New Roman" w:cs="Times New Roman"/>
          <w:sz w:val="20"/>
          <w:szCs w:val="20"/>
        </w:rPr>
        <w:t xml:space="preserve">Data Populated </w:t>
      </w:r>
      <w:r w:rsidRPr="00632E52">
        <w:rPr>
          <w:rFonts w:ascii="Times New Roman" w:hAnsi="Times New Roman" w:cs="Times New Roman"/>
          <w:sz w:val="20"/>
          <w:szCs w:val="20"/>
        </w:rPr>
        <w:t>views</w:t>
      </w:r>
    </w:p>
    <w:p w14:paraId="4FBA4104" w14:textId="77777777" w:rsidR="00632E52" w:rsidRPr="00632E52" w:rsidRDefault="00632E52" w:rsidP="00632E52">
      <w:pPr>
        <w:rPr>
          <w:rFonts w:ascii="Times New Roman" w:hAnsi="Times New Roman" w:cs="Times New Roman"/>
          <w:sz w:val="24"/>
          <w:szCs w:val="24"/>
        </w:rPr>
      </w:pPr>
      <w:r w:rsidRPr="00632E52">
        <w:rPr>
          <w:rFonts w:ascii="Times New Roman" w:hAnsi="Times New Roman" w:cs="Times New Roman"/>
          <w:sz w:val="24"/>
          <w:szCs w:val="24"/>
        </w:rPr>
        <w:t>The Annual System Load and Net Intake Pressure visualization presents the contribution of each reporting year to the overall operational workload. The chart enables rapid comparison of annual system pressure and helps identify years that experienced relatively higher operational demand, supporting long-term performance assessment.</w:t>
      </w:r>
    </w:p>
    <w:p w14:paraId="375D0787" w14:textId="77777777" w:rsidR="00632E52" w:rsidRPr="00632E52" w:rsidRDefault="00632E52" w:rsidP="00632E52">
      <w:pPr>
        <w:rPr>
          <w:rFonts w:ascii="Times New Roman" w:hAnsi="Times New Roman" w:cs="Times New Roman"/>
          <w:sz w:val="24"/>
          <w:szCs w:val="24"/>
        </w:rPr>
      </w:pPr>
      <w:r w:rsidRPr="00632E52">
        <w:rPr>
          <w:rFonts w:ascii="Times New Roman" w:hAnsi="Times New Roman" w:cs="Times New Roman"/>
          <w:sz w:val="24"/>
          <w:szCs w:val="24"/>
        </w:rPr>
        <w:lastRenderedPageBreak/>
        <w:t>The Annual 14-Day Backlog Accumulation chart compares backlog levels across reporting years. The results indicate that 2024 recorded the highest backlog accumulation (approximately 114K) compared with 2025 (9K) and 2023 (6K), suggesting that operational demand exceeded processing capacity during this period. This visualization assists managers in identifying periods requiring additional resources and capacity planning.</w:t>
      </w:r>
    </w:p>
    <w:p w14:paraId="06F68E0E" w14:textId="77777777" w:rsidR="00632E52" w:rsidRPr="00632E52" w:rsidRDefault="00632E52" w:rsidP="00632E52">
      <w:pPr>
        <w:rPr>
          <w:rFonts w:ascii="Times New Roman" w:hAnsi="Times New Roman" w:cs="Times New Roman"/>
          <w:sz w:val="24"/>
          <w:szCs w:val="24"/>
        </w:rPr>
      </w:pPr>
      <w:r w:rsidRPr="00632E52">
        <w:rPr>
          <w:rFonts w:ascii="Times New Roman" w:hAnsi="Times New Roman" w:cs="Times New Roman"/>
          <w:sz w:val="24"/>
          <w:szCs w:val="24"/>
        </w:rPr>
        <w:t>The Yearly CBP Apprehended vs. CBP Custody chart compares the annual number of apprehended children with those remaining in CBP custody. The visualization demonstrates that custody counts consistently exceeded annual apprehensions, indicating that a considerable proportion of cases remained within the system across reporting periods. Interactive drill-down functionality further enables analysis at quarterly and monthly levels.</w:t>
      </w:r>
    </w:p>
    <w:p w14:paraId="3BB4518E" w14:textId="77777777" w:rsidR="00632E52" w:rsidRPr="00632E52" w:rsidRDefault="00632E52" w:rsidP="00632E52">
      <w:pPr>
        <w:rPr>
          <w:rFonts w:ascii="Times New Roman" w:hAnsi="Times New Roman" w:cs="Times New Roman"/>
          <w:sz w:val="24"/>
          <w:szCs w:val="24"/>
        </w:rPr>
      </w:pPr>
      <w:r w:rsidRPr="00632E52">
        <w:rPr>
          <w:rFonts w:ascii="Times New Roman" w:hAnsi="Times New Roman" w:cs="Times New Roman"/>
          <w:sz w:val="24"/>
          <w:szCs w:val="24"/>
        </w:rPr>
        <w:t>Finally, the Weekly System Load, Transfers, and Discharges chart illustrates the relationship between total system load, CBP transfers, and HHS discharges on a weekly basis. By comparing these operational flows, the dashboard highlights weeks where increases in system load coincide with lower discharge activity or higher intake volumes. Combined with the backlog and ratio analyses, this visualization provides valuable insights into operational bottlenecks and supports evidence-based resource planning.</w:t>
      </w:r>
    </w:p>
    <w:p w14:paraId="23D06D9E" w14:textId="77777777" w:rsidR="00632E52" w:rsidRDefault="00632E52" w:rsidP="00A60E11">
      <w:pPr>
        <w:rPr>
          <w:rFonts w:ascii="Times New Roman" w:hAnsi="Times New Roman" w:cs="Times New Roman"/>
          <w:b/>
          <w:bCs/>
          <w:sz w:val="28"/>
          <w:szCs w:val="28"/>
        </w:rPr>
      </w:pPr>
    </w:p>
    <w:p w14:paraId="6A77F9A1" w14:textId="007B716F" w:rsidR="00A60E11" w:rsidRDefault="00A60E11" w:rsidP="00A60E11">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82E082C" wp14:editId="1ABB5FCE">
            <wp:extent cx="5964372" cy="3649980"/>
            <wp:effectExtent l="0" t="0" r="0" b="7620"/>
            <wp:docPr id="3626010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01014" name="Picture 362601014"/>
                    <pic:cNvPicPr/>
                  </pic:nvPicPr>
                  <pic:blipFill rotWithShape="1">
                    <a:blip r:embed="rId29" cstate="print">
                      <a:extLst>
                        <a:ext uri="{28A0092B-C50C-407E-A947-70E740481C1C}">
                          <a14:useLocalDpi xmlns:a14="http://schemas.microsoft.com/office/drawing/2010/main" val="0"/>
                        </a:ext>
                      </a:extLst>
                    </a:blip>
                    <a:srcRect l="9938" r="9299"/>
                    <a:stretch>
                      <a:fillRect/>
                    </a:stretch>
                  </pic:blipFill>
                  <pic:spPr bwMode="auto">
                    <a:xfrm>
                      <a:off x="0" y="0"/>
                      <a:ext cx="5977135" cy="3657790"/>
                    </a:xfrm>
                    <a:prstGeom prst="rect">
                      <a:avLst/>
                    </a:prstGeom>
                    <a:ln>
                      <a:noFill/>
                    </a:ln>
                    <a:extLst>
                      <a:ext uri="{53640926-AAD7-44D8-BBD7-CCE9431645EC}">
                        <a14:shadowObscured xmlns:a14="http://schemas.microsoft.com/office/drawing/2010/main"/>
                      </a:ext>
                    </a:extLst>
                  </pic:spPr>
                </pic:pic>
              </a:graphicData>
            </a:graphic>
          </wp:inline>
        </w:drawing>
      </w:r>
    </w:p>
    <w:p w14:paraId="7A0FC391" w14:textId="77C2226A" w:rsidR="000F2050" w:rsidRPr="00632E52" w:rsidRDefault="000F2050" w:rsidP="00593CBD">
      <w:p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 xml:space="preserve">The above figures </w:t>
      </w:r>
      <w:r w:rsidR="00B47F89" w:rsidRPr="00632E52">
        <w:rPr>
          <w:rFonts w:ascii="Times New Roman" w:hAnsi="Times New Roman" w:cs="Times New Roman"/>
          <w:noProof/>
          <w:sz w:val="24"/>
          <w:szCs w:val="24"/>
        </w:rPr>
        <w:t>give</w:t>
      </w:r>
      <w:r w:rsidRPr="00632E52">
        <w:rPr>
          <w:rFonts w:ascii="Times New Roman" w:hAnsi="Times New Roman" w:cs="Times New Roman"/>
          <w:noProof/>
          <w:sz w:val="24"/>
          <w:szCs w:val="24"/>
        </w:rPr>
        <w:t xml:space="preserve"> a compact multi</w:t>
      </w:r>
      <w:r w:rsidRPr="00632E52">
        <w:rPr>
          <w:rFonts w:ascii="Times New Roman" w:hAnsi="Times New Roman" w:cs="Times New Roman"/>
          <w:noProof/>
          <w:sz w:val="24"/>
          <w:szCs w:val="24"/>
        </w:rPr>
        <w:noBreakHyphen/>
        <w:t>year overview of system load, flows, and backlog.</w:t>
      </w:r>
    </w:p>
    <w:p w14:paraId="49CE97B9" w14:textId="77777777" w:rsidR="000F2050" w:rsidRPr="00632E52" w:rsidRDefault="000F2050" w:rsidP="00593CBD">
      <w:pPr>
        <w:numPr>
          <w:ilvl w:val="0"/>
          <w:numId w:val="36"/>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Top left: Weekly transfer</w:t>
      </w:r>
      <w:r w:rsidRPr="00632E52">
        <w:rPr>
          <w:rFonts w:ascii="Times New Roman" w:hAnsi="Times New Roman" w:cs="Times New Roman"/>
          <w:noProof/>
          <w:sz w:val="24"/>
          <w:szCs w:val="24"/>
        </w:rPr>
        <w:noBreakHyphen/>
        <w:t>to</w:t>
      </w:r>
      <w:r w:rsidRPr="00632E52">
        <w:rPr>
          <w:rFonts w:ascii="Times New Roman" w:hAnsi="Times New Roman" w:cs="Times New Roman"/>
          <w:noProof/>
          <w:sz w:val="24"/>
          <w:szCs w:val="24"/>
        </w:rPr>
        <w:noBreakHyphen/>
        <w:t>apprehension and discharge</w:t>
      </w:r>
      <w:r w:rsidRPr="00632E52">
        <w:rPr>
          <w:rFonts w:ascii="Times New Roman" w:hAnsi="Times New Roman" w:cs="Times New Roman"/>
          <w:noProof/>
          <w:sz w:val="24"/>
          <w:szCs w:val="24"/>
        </w:rPr>
        <w:noBreakHyphen/>
        <w:t>offset ratios, by year, showing how efficiently cases move from CBP to HHS and out of the system.</w:t>
      </w:r>
    </w:p>
    <w:p w14:paraId="159F6C67" w14:textId="77777777" w:rsidR="000F2050" w:rsidRPr="00632E52" w:rsidRDefault="000F2050" w:rsidP="00593CBD">
      <w:pPr>
        <w:numPr>
          <w:ilvl w:val="0"/>
          <w:numId w:val="36"/>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Top right: Pie chart of annual system load and net intake pressure, comparing how much pressure each year contributes.</w:t>
      </w:r>
    </w:p>
    <w:p w14:paraId="200E56E1" w14:textId="49CA05A4" w:rsidR="000F2050" w:rsidRPr="000F2050" w:rsidRDefault="000F2050" w:rsidP="00593CBD">
      <w:pPr>
        <w:numPr>
          <w:ilvl w:val="0"/>
          <w:numId w:val="36"/>
        </w:numPr>
        <w:spacing w:line="276" w:lineRule="auto"/>
        <w:rPr>
          <w:rFonts w:ascii="Times New Roman" w:hAnsi="Times New Roman" w:cs="Times New Roman"/>
          <w:noProof/>
          <w:sz w:val="24"/>
          <w:szCs w:val="24"/>
        </w:rPr>
      </w:pPr>
      <w:r w:rsidRPr="000F2050">
        <w:rPr>
          <w:rFonts w:ascii="Times New Roman" w:hAnsi="Times New Roman" w:cs="Times New Roman"/>
          <w:noProof/>
          <w:sz w:val="24"/>
          <w:szCs w:val="24"/>
        </w:rPr>
        <w:lastRenderedPageBreak/>
        <w:t>Middle right: Annual 14</w:t>
      </w:r>
      <w:r w:rsidRPr="000F2050">
        <w:rPr>
          <w:rFonts w:ascii="Times New Roman" w:hAnsi="Times New Roman" w:cs="Times New Roman"/>
          <w:noProof/>
          <w:sz w:val="24"/>
          <w:szCs w:val="24"/>
        </w:rPr>
        <w:noBreakHyphen/>
        <w:t xml:space="preserve">day backlog accumulation, highlighting which year has the highest sustained backlog (2024 is clearly </w:t>
      </w:r>
      <w:r w:rsidR="00B47F89">
        <w:rPr>
          <w:rFonts w:ascii="Times New Roman" w:hAnsi="Times New Roman" w:cs="Times New Roman"/>
          <w:noProof/>
          <w:sz w:val="24"/>
          <w:szCs w:val="24"/>
        </w:rPr>
        <w:t xml:space="preserve">the </w:t>
      </w:r>
      <w:r w:rsidRPr="000F2050">
        <w:rPr>
          <w:rFonts w:ascii="Times New Roman" w:hAnsi="Times New Roman" w:cs="Times New Roman"/>
          <w:noProof/>
          <w:sz w:val="24"/>
          <w:szCs w:val="24"/>
        </w:rPr>
        <w:t>worst).</w:t>
      </w:r>
    </w:p>
    <w:p w14:paraId="6127B6B3" w14:textId="77777777" w:rsidR="000F2050" w:rsidRPr="000F2050" w:rsidRDefault="000F2050" w:rsidP="00593CBD">
      <w:pPr>
        <w:numPr>
          <w:ilvl w:val="0"/>
          <w:numId w:val="36"/>
        </w:numPr>
        <w:spacing w:line="276" w:lineRule="auto"/>
        <w:rPr>
          <w:rFonts w:ascii="Times New Roman" w:hAnsi="Times New Roman" w:cs="Times New Roman"/>
          <w:noProof/>
          <w:sz w:val="24"/>
          <w:szCs w:val="24"/>
        </w:rPr>
      </w:pPr>
      <w:r w:rsidRPr="000F2050">
        <w:rPr>
          <w:rFonts w:ascii="Times New Roman" w:hAnsi="Times New Roman" w:cs="Times New Roman"/>
          <w:noProof/>
          <w:sz w:val="24"/>
          <w:szCs w:val="24"/>
        </w:rPr>
        <w:t>Bottom left: Yearly CBP apprehended vs CBP custody counts, indicating how much of the caseload remains in CBP custody at year</w:t>
      </w:r>
      <w:r w:rsidRPr="000F2050">
        <w:rPr>
          <w:rFonts w:ascii="Times New Roman" w:hAnsi="Times New Roman" w:cs="Times New Roman"/>
          <w:noProof/>
          <w:sz w:val="24"/>
          <w:szCs w:val="24"/>
        </w:rPr>
        <w:noBreakHyphen/>
        <w:t>end versus new apprehensions.</w:t>
      </w:r>
    </w:p>
    <w:p w14:paraId="4B98DD60" w14:textId="77777777" w:rsidR="000F2050" w:rsidRPr="000F2050" w:rsidRDefault="000F2050" w:rsidP="00593CBD">
      <w:pPr>
        <w:numPr>
          <w:ilvl w:val="0"/>
          <w:numId w:val="36"/>
        </w:numPr>
        <w:spacing w:line="276" w:lineRule="auto"/>
        <w:rPr>
          <w:rFonts w:ascii="Times New Roman" w:hAnsi="Times New Roman" w:cs="Times New Roman"/>
          <w:noProof/>
          <w:sz w:val="24"/>
          <w:szCs w:val="24"/>
        </w:rPr>
      </w:pPr>
      <w:r w:rsidRPr="000F2050">
        <w:rPr>
          <w:rFonts w:ascii="Times New Roman" w:hAnsi="Times New Roman" w:cs="Times New Roman"/>
          <w:noProof/>
          <w:sz w:val="24"/>
          <w:szCs w:val="24"/>
        </w:rPr>
        <w:t>Bottom right: Weekly system load, transfers, and discharges, showing how weekly flows of intakes and discharges drive total system load over time.</w:t>
      </w:r>
    </w:p>
    <w:p w14:paraId="77374F36" w14:textId="21572952" w:rsidR="00FF07CB" w:rsidRDefault="00FF07CB" w:rsidP="00A60E11">
      <w:pPr>
        <w:rPr>
          <w:rFonts w:ascii="Times New Roman" w:hAnsi="Times New Roman" w:cs="Times New Roman"/>
          <w:b/>
          <w:bCs/>
          <w:noProof/>
          <w:sz w:val="28"/>
          <w:szCs w:val="28"/>
        </w:rPr>
      </w:pPr>
    </w:p>
    <w:p w14:paraId="05D9E8DF" w14:textId="27D8F8B5" w:rsidR="00FF07CB" w:rsidRDefault="00FF07CB" w:rsidP="00A60E11">
      <w:pPr>
        <w:rPr>
          <w:rFonts w:ascii="Times New Roman" w:hAnsi="Times New Roman" w:cs="Times New Roman"/>
          <w:b/>
          <w:bCs/>
          <w:noProof/>
          <w:sz w:val="28"/>
          <w:szCs w:val="28"/>
        </w:rPr>
      </w:pPr>
    </w:p>
    <w:p w14:paraId="174B3A53" w14:textId="344F0D37" w:rsidR="000F2050" w:rsidRDefault="000F2050" w:rsidP="00A60E11">
      <w:pP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57BAC415" wp14:editId="3EA60287">
            <wp:extent cx="5223164" cy="3128671"/>
            <wp:effectExtent l="0" t="0" r="0" b="0"/>
            <wp:docPr id="12023960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96021" name="Picture 1202396021"/>
                    <pic:cNvPicPr/>
                  </pic:nvPicPr>
                  <pic:blipFill rotWithShape="1">
                    <a:blip r:embed="rId30" cstate="print">
                      <a:extLst>
                        <a:ext uri="{28A0092B-C50C-407E-A947-70E740481C1C}">
                          <a14:useLocalDpi xmlns:a14="http://schemas.microsoft.com/office/drawing/2010/main" val="0"/>
                        </a:ext>
                      </a:extLst>
                    </a:blip>
                    <a:srcRect l="11361" r="11529"/>
                    <a:stretch>
                      <a:fillRect/>
                    </a:stretch>
                  </pic:blipFill>
                  <pic:spPr bwMode="auto">
                    <a:xfrm>
                      <a:off x="0" y="0"/>
                      <a:ext cx="5239122" cy="3138230"/>
                    </a:xfrm>
                    <a:prstGeom prst="rect">
                      <a:avLst/>
                    </a:prstGeom>
                    <a:ln>
                      <a:noFill/>
                    </a:ln>
                    <a:extLst>
                      <a:ext uri="{53640926-AAD7-44D8-BBD7-CCE9431645EC}">
                        <a14:shadowObscured xmlns:a14="http://schemas.microsoft.com/office/drawing/2010/main"/>
                      </a:ext>
                    </a:extLst>
                  </pic:spPr>
                </pic:pic>
              </a:graphicData>
            </a:graphic>
          </wp:inline>
        </w:drawing>
      </w:r>
    </w:p>
    <w:p w14:paraId="44601D3B" w14:textId="77777777" w:rsidR="000F2050" w:rsidRDefault="000F2050" w:rsidP="000F2050">
      <w:pPr>
        <w:rPr>
          <w:rFonts w:ascii="Times New Roman" w:hAnsi="Times New Roman" w:cs="Times New Roman"/>
          <w:noProof/>
          <w:sz w:val="24"/>
          <w:szCs w:val="24"/>
        </w:rPr>
      </w:pPr>
    </w:p>
    <w:p w14:paraId="25C436EA" w14:textId="4F993A58" w:rsidR="000F2050" w:rsidRPr="00632E52" w:rsidRDefault="000F2050" w:rsidP="00593CBD">
      <w:p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The above screenshot shows the same System Load, Throughput, and Backlog Power BI page as the overview, but with an important interactive feature highlighted — the drill-down mode is active on the </w:t>
      </w:r>
      <w:r w:rsidRPr="00632E52">
        <w:rPr>
          <w:rFonts w:ascii="Times New Roman" w:hAnsi="Times New Roman" w:cs="Times New Roman"/>
          <w:i/>
          <w:iCs/>
          <w:noProof/>
          <w:sz w:val="24"/>
          <w:szCs w:val="24"/>
        </w:rPr>
        <w:t>Yearly CBP Apprehended vs. CBP Custody</w:t>
      </w:r>
      <w:r w:rsidRPr="00632E52">
        <w:rPr>
          <w:rFonts w:ascii="Times New Roman" w:hAnsi="Times New Roman" w:cs="Times New Roman"/>
          <w:noProof/>
          <w:sz w:val="24"/>
          <w:szCs w:val="24"/>
        </w:rPr>
        <w:t> chart.</w:t>
      </w:r>
    </w:p>
    <w:p w14:paraId="737B88EB" w14:textId="77777777" w:rsidR="000F2050" w:rsidRPr="00632E52" w:rsidRDefault="000F2050" w:rsidP="00593CBD">
      <w:p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Key points:</w:t>
      </w:r>
    </w:p>
    <w:p w14:paraId="65409E5F" w14:textId="77777777" w:rsidR="000F2050" w:rsidRPr="00632E52" w:rsidRDefault="000F2050" w:rsidP="00593CBD">
      <w:pPr>
        <w:numPr>
          <w:ilvl w:val="0"/>
          <w:numId w:val="37"/>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Top left – Weekly Transfer-to-Apprehension and Discharge Offset Ratios by year (2023, 2024, 2025), showing how efficiently CBP transfers children to HHS relative to total apprehensions each week.</w:t>
      </w:r>
    </w:p>
    <w:p w14:paraId="7B089E37" w14:textId="77777777" w:rsidR="000F2050" w:rsidRPr="00632E52" w:rsidRDefault="000F2050" w:rsidP="00593CBD">
      <w:pPr>
        <w:numPr>
          <w:ilvl w:val="0"/>
          <w:numId w:val="37"/>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Top right – Pie chart of Annual System Load and Net Intake Pressure, showing each year's share of total system pressure across the full dataset.</w:t>
      </w:r>
    </w:p>
    <w:p w14:paraId="14AA9FEA" w14:textId="77777777" w:rsidR="000F2050" w:rsidRPr="00632E52" w:rsidRDefault="000F2050" w:rsidP="00593CBD">
      <w:pPr>
        <w:numPr>
          <w:ilvl w:val="0"/>
          <w:numId w:val="37"/>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Middle right – Annual 14-Day Backlog Accumulation bar, now showing only 2023's backlog (6K) because the drill-down has filtered the view to that specific year.</w:t>
      </w:r>
    </w:p>
    <w:p w14:paraId="70C59844" w14:textId="77777777" w:rsidR="000F2050" w:rsidRPr="00632E52" w:rsidRDefault="000F2050" w:rsidP="00593CBD">
      <w:pPr>
        <w:numPr>
          <w:ilvl w:val="0"/>
          <w:numId w:val="37"/>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Bottom left – The </w:t>
      </w:r>
      <w:r w:rsidRPr="00632E52">
        <w:rPr>
          <w:rFonts w:ascii="Times New Roman" w:hAnsi="Times New Roman" w:cs="Times New Roman"/>
          <w:i/>
          <w:iCs/>
          <w:noProof/>
          <w:sz w:val="24"/>
          <w:szCs w:val="24"/>
        </w:rPr>
        <w:t>Yearly CBP Apprehended vs. CBP Custody</w:t>
      </w:r>
      <w:r w:rsidRPr="00632E52">
        <w:rPr>
          <w:rFonts w:ascii="Times New Roman" w:hAnsi="Times New Roman" w:cs="Times New Roman"/>
          <w:noProof/>
          <w:sz w:val="24"/>
          <w:szCs w:val="24"/>
        </w:rPr>
        <w:t xml:space="preserve"> chart has been drilled down to quarter level for 2023, showing a tooltip that reads report_date.Quarter: 2023 </w:t>
      </w:r>
      <w:r w:rsidRPr="00632E52">
        <w:rPr>
          <w:rFonts w:ascii="Times New Roman" w:hAnsi="Times New Roman" w:cs="Times New Roman"/>
          <w:noProof/>
          <w:sz w:val="24"/>
          <w:szCs w:val="24"/>
        </w:rPr>
        <w:lastRenderedPageBreak/>
        <w:t>Qtr 1, Sum of cbp_custody: 8,263. This confirms that Power BI's native drill-down capability is working, allowing users to move from yearly to quarterly granularity with a single click.</w:t>
      </w:r>
    </w:p>
    <w:p w14:paraId="676F54BF" w14:textId="77777777" w:rsidR="000F2050" w:rsidRPr="00632E52" w:rsidRDefault="000F2050" w:rsidP="00593CBD">
      <w:pPr>
        <w:numPr>
          <w:ilvl w:val="0"/>
          <w:numId w:val="37"/>
        </w:numPr>
        <w:spacing w:line="276" w:lineRule="auto"/>
        <w:rPr>
          <w:rFonts w:ascii="Times New Roman" w:hAnsi="Times New Roman" w:cs="Times New Roman"/>
          <w:noProof/>
          <w:sz w:val="24"/>
          <w:szCs w:val="24"/>
        </w:rPr>
      </w:pPr>
      <w:r w:rsidRPr="00632E52">
        <w:rPr>
          <w:rFonts w:ascii="Times New Roman" w:hAnsi="Times New Roman" w:cs="Times New Roman"/>
          <w:noProof/>
          <w:sz w:val="24"/>
          <w:szCs w:val="24"/>
        </w:rPr>
        <w:t>Bottom right – Weekly System Load, Transfers, and Discharges stacked bar chart, unchanged from the overview, providing consistent context.</w:t>
      </w:r>
    </w:p>
    <w:p w14:paraId="4935A955" w14:textId="77777777" w:rsidR="000F2050" w:rsidRPr="000F2050" w:rsidRDefault="000F2050" w:rsidP="00A60E11">
      <w:pPr>
        <w:rPr>
          <w:rFonts w:ascii="Times New Roman" w:hAnsi="Times New Roman" w:cs="Times New Roman"/>
          <w:noProof/>
          <w:sz w:val="24"/>
          <w:szCs w:val="24"/>
        </w:rPr>
      </w:pPr>
    </w:p>
    <w:p w14:paraId="56D9FA15" w14:textId="68AD6CCA" w:rsidR="00FF07CB" w:rsidRDefault="00FF07CB" w:rsidP="00A60E11">
      <w:pPr>
        <w:rPr>
          <w:rFonts w:ascii="Times New Roman" w:hAnsi="Times New Roman" w:cs="Times New Roman"/>
          <w:b/>
          <w:bCs/>
          <w:noProof/>
          <w:sz w:val="28"/>
          <w:szCs w:val="28"/>
        </w:rPr>
      </w:pPr>
      <w:r>
        <w:rPr>
          <w:rFonts w:ascii="Times New Roman" w:hAnsi="Times New Roman" w:cs="Times New Roman"/>
          <w:b/>
          <w:bCs/>
          <w:noProof/>
          <w:sz w:val="28"/>
          <w:szCs w:val="28"/>
        </w:rPr>
        <w:drawing>
          <wp:inline distT="0" distB="0" distL="0" distR="0" wp14:anchorId="498842A4" wp14:editId="735929D0">
            <wp:extent cx="4563714" cy="2746126"/>
            <wp:effectExtent l="0" t="0" r="8890" b="0"/>
            <wp:docPr id="12709887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88769" name="Picture 1270988769"/>
                    <pic:cNvPicPr/>
                  </pic:nvPicPr>
                  <pic:blipFill rotWithShape="1">
                    <a:blip r:embed="rId31" cstate="print">
                      <a:extLst>
                        <a:ext uri="{28A0092B-C50C-407E-A947-70E740481C1C}">
                          <a14:useLocalDpi xmlns:a14="http://schemas.microsoft.com/office/drawing/2010/main" val="0"/>
                        </a:ext>
                      </a:extLst>
                    </a:blip>
                    <a:srcRect l="7615" r="9715"/>
                    <a:stretch>
                      <a:fillRect/>
                    </a:stretch>
                  </pic:blipFill>
                  <pic:spPr bwMode="auto">
                    <a:xfrm>
                      <a:off x="0" y="0"/>
                      <a:ext cx="4577800" cy="2754602"/>
                    </a:xfrm>
                    <a:prstGeom prst="rect">
                      <a:avLst/>
                    </a:prstGeom>
                    <a:ln>
                      <a:noFill/>
                    </a:ln>
                    <a:extLst>
                      <a:ext uri="{53640926-AAD7-44D8-BBD7-CCE9431645EC}">
                        <a14:shadowObscured xmlns:a14="http://schemas.microsoft.com/office/drawing/2010/main"/>
                      </a:ext>
                    </a:extLst>
                  </pic:spPr>
                </pic:pic>
              </a:graphicData>
            </a:graphic>
          </wp:inline>
        </w:drawing>
      </w:r>
    </w:p>
    <w:p w14:paraId="1B73D123" w14:textId="0CA4B871" w:rsidR="00FF07CB" w:rsidRDefault="00FF07CB" w:rsidP="00A60E11">
      <w:pPr>
        <w:rPr>
          <w:rFonts w:ascii="Times New Roman" w:hAnsi="Times New Roman" w:cs="Times New Roman"/>
          <w:b/>
          <w:bCs/>
          <w:noProof/>
          <w:sz w:val="28"/>
          <w:szCs w:val="28"/>
        </w:rPr>
      </w:pPr>
    </w:p>
    <w:p w14:paraId="72B4B3F1" w14:textId="19E258C2" w:rsidR="00A60E11" w:rsidRPr="00A60E11" w:rsidRDefault="00A60E11" w:rsidP="00A60E11">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50C7AD5" wp14:editId="1A8820A5">
            <wp:extent cx="5257150" cy="2918683"/>
            <wp:effectExtent l="0" t="0" r="1270" b="0"/>
            <wp:docPr id="4149191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19199" name="Picture 414919199"/>
                    <pic:cNvPicPr/>
                  </pic:nvPicPr>
                  <pic:blipFill rotWithShape="1">
                    <a:blip r:embed="rId32" cstate="print">
                      <a:extLst>
                        <a:ext uri="{28A0092B-C50C-407E-A947-70E740481C1C}">
                          <a14:useLocalDpi xmlns:a14="http://schemas.microsoft.com/office/drawing/2010/main" val="0"/>
                        </a:ext>
                      </a:extLst>
                    </a:blip>
                    <a:srcRect l="7857" r="8749"/>
                    <a:stretch>
                      <a:fillRect/>
                    </a:stretch>
                  </pic:blipFill>
                  <pic:spPr bwMode="auto">
                    <a:xfrm>
                      <a:off x="0" y="0"/>
                      <a:ext cx="5286109" cy="2934761"/>
                    </a:xfrm>
                    <a:prstGeom prst="rect">
                      <a:avLst/>
                    </a:prstGeom>
                    <a:ln>
                      <a:noFill/>
                    </a:ln>
                    <a:extLst>
                      <a:ext uri="{53640926-AAD7-44D8-BBD7-CCE9431645EC}">
                        <a14:shadowObscured xmlns:a14="http://schemas.microsoft.com/office/drawing/2010/main"/>
                      </a:ext>
                    </a:extLst>
                  </pic:spPr>
                </pic:pic>
              </a:graphicData>
            </a:graphic>
          </wp:inline>
        </w:drawing>
      </w:r>
    </w:p>
    <w:p w14:paraId="4F648968" w14:textId="77777777" w:rsidR="00A60E11" w:rsidRDefault="00A60E11" w:rsidP="00A60E11">
      <w:pPr>
        <w:rPr>
          <w:rFonts w:ascii="Times New Roman" w:hAnsi="Times New Roman" w:cs="Times New Roman"/>
          <w:b/>
          <w:bCs/>
          <w:sz w:val="28"/>
          <w:szCs w:val="28"/>
        </w:rPr>
      </w:pPr>
    </w:p>
    <w:p w14:paraId="0EC7224A" w14:textId="77777777" w:rsidR="001E413A" w:rsidRPr="001E413A" w:rsidRDefault="001E413A" w:rsidP="00593CBD">
      <w:pPr>
        <w:spacing w:line="276" w:lineRule="auto"/>
        <w:rPr>
          <w:rFonts w:ascii="Times New Roman" w:hAnsi="Times New Roman" w:cs="Times New Roman"/>
          <w:sz w:val="24"/>
          <w:szCs w:val="24"/>
        </w:rPr>
      </w:pPr>
      <w:proofErr w:type="spellStart"/>
      <w:r w:rsidRPr="001E413A">
        <w:rPr>
          <w:rFonts w:ascii="Times New Roman" w:hAnsi="Times New Roman" w:cs="Times New Roman"/>
          <w:sz w:val="24"/>
          <w:szCs w:val="24"/>
        </w:rPr>
        <w:t>Treemap</w:t>
      </w:r>
      <w:proofErr w:type="spellEnd"/>
      <w:r w:rsidRPr="001E413A">
        <w:rPr>
          <w:rFonts w:ascii="Times New Roman" w:hAnsi="Times New Roman" w:cs="Times New Roman"/>
          <w:sz w:val="24"/>
          <w:szCs w:val="24"/>
        </w:rPr>
        <w:t xml:space="preserve"> Analysis: High-Risk Months – Backlog Accumulation</w:t>
      </w:r>
    </w:p>
    <w:p w14:paraId="087B3A77" w14:textId="77777777" w:rsidR="001E413A" w:rsidRPr="001E413A" w:rsidRDefault="001E413A" w:rsidP="00593CBD">
      <w:pPr>
        <w:spacing w:line="276" w:lineRule="auto"/>
        <w:rPr>
          <w:rFonts w:ascii="Times New Roman" w:hAnsi="Times New Roman" w:cs="Times New Roman"/>
          <w:sz w:val="24"/>
          <w:szCs w:val="24"/>
        </w:rPr>
      </w:pPr>
      <w:r w:rsidRPr="001E413A">
        <w:rPr>
          <w:rFonts w:ascii="Times New Roman" w:hAnsi="Times New Roman" w:cs="Times New Roman"/>
          <w:sz w:val="24"/>
          <w:szCs w:val="24"/>
        </w:rPr>
        <w:lastRenderedPageBreak/>
        <w:t xml:space="preserve">The </w:t>
      </w:r>
      <w:proofErr w:type="spellStart"/>
      <w:r w:rsidRPr="001E413A">
        <w:rPr>
          <w:rFonts w:ascii="Times New Roman" w:hAnsi="Times New Roman" w:cs="Times New Roman"/>
          <w:sz w:val="24"/>
          <w:szCs w:val="24"/>
        </w:rPr>
        <w:t>treemap</w:t>
      </w:r>
      <w:proofErr w:type="spellEnd"/>
      <w:r w:rsidRPr="001E413A">
        <w:rPr>
          <w:rFonts w:ascii="Times New Roman" w:hAnsi="Times New Roman" w:cs="Times New Roman"/>
          <w:sz w:val="24"/>
          <w:szCs w:val="24"/>
        </w:rPr>
        <w:t xml:space="preserve"> visual highlights the distribution of backlog accumulation across different months and years. Each rectangle represents a month, with larger and darker purple blocks indicating higher backlog volumes.</w:t>
      </w:r>
    </w:p>
    <w:p w14:paraId="7A7EA8F0" w14:textId="77777777" w:rsidR="001E413A" w:rsidRPr="001E413A" w:rsidRDefault="001E413A" w:rsidP="00593CBD">
      <w:pPr>
        <w:spacing w:line="276" w:lineRule="auto"/>
        <w:rPr>
          <w:rFonts w:ascii="Times New Roman" w:hAnsi="Times New Roman" w:cs="Times New Roman"/>
          <w:sz w:val="24"/>
          <w:szCs w:val="24"/>
        </w:rPr>
      </w:pPr>
      <w:r w:rsidRPr="001E413A">
        <w:rPr>
          <w:rFonts w:ascii="Times New Roman" w:hAnsi="Times New Roman" w:cs="Times New Roman"/>
          <w:sz w:val="24"/>
          <w:szCs w:val="24"/>
        </w:rPr>
        <w:t>Key Findings</w:t>
      </w:r>
    </w:p>
    <w:p w14:paraId="68240ADA" w14:textId="77777777" w:rsidR="001E413A" w:rsidRPr="001E413A" w:rsidRDefault="001E413A" w:rsidP="00593CBD">
      <w:pPr>
        <w:numPr>
          <w:ilvl w:val="0"/>
          <w:numId w:val="38"/>
        </w:numPr>
        <w:spacing w:line="276" w:lineRule="auto"/>
        <w:rPr>
          <w:rFonts w:ascii="Times New Roman" w:hAnsi="Times New Roman" w:cs="Times New Roman"/>
          <w:sz w:val="24"/>
          <w:szCs w:val="24"/>
        </w:rPr>
      </w:pPr>
      <w:r w:rsidRPr="001E413A">
        <w:rPr>
          <w:rFonts w:ascii="Times New Roman" w:hAnsi="Times New Roman" w:cs="Times New Roman"/>
          <w:sz w:val="24"/>
          <w:szCs w:val="24"/>
        </w:rPr>
        <w:t xml:space="preserve">2024 contributed the highest backlog accumulation, as shown by the dominance of large purple blocks across the </w:t>
      </w:r>
      <w:proofErr w:type="spellStart"/>
      <w:r w:rsidRPr="001E413A">
        <w:rPr>
          <w:rFonts w:ascii="Times New Roman" w:hAnsi="Times New Roman" w:cs="Times New Roman"/>
          <w:sz w:val="24"/>
          <w:szCs w:val="24"/>
        </w:rPr>
        <w:t>treemap</w:t>
      </w:r>
      <w:proofErr w:type="spellEnd"/>
      <w:r w:rsidRPr="001E413A">
        <w:rPr>
          <w:rFonts w:ascii="Times New Roman" w:hAnsi="Times New Roman" w:cs="Times New Roman"/>
          <w:sz w:val="24"/>
          <w:szCs w:val="24"/>
        </w:rPr>
        <w:t xml:space="preserve">. </w:t>
      </w:r>
    </w:p>
    <w:p w14:paraId="49C13D36" w14:textId="77777777" w:rsidR="001E413A" w:rsidRPr="001E413A" w:rsidRDefault="001E413A" w:rsidP="00593CBD">
      <w:pPr>
        <w:numPr>
          <w:ilvl w:val="0"/>
          <w:numId w:val="38"/>
        </w:numPr>
        <w:spacing w:line="276" w:lineRule="auto"/>
        <w:rPr>
          <w:rFonts w:ascii="Times New Roman" w:hAnsi="Times New Roman" w:cs="Times New Roman"/>
          <w:sz w:val="24"/>
          <w:szCs w:val="24"/>
        </w:rPr>
      </w:pPr>
      <w:r w:rsidRPr="001E413A">
        <w:rPr>
          <w:rFonts w:ascii="Times New Roman" w:hAnsi="Times New Roman" w:cs="Times New Roman"/>
          <w:sz w:val="24"/>
          <w:szCs w:val="24"/>
        </w:rPr>
        <w:t xml:space="preserve">Within 2024, months such as February, March, and April recorded the largest backlog volumes, indicating periods where incoming workload significantly exceeded processing capacity. </w:t>
      </w:r>
    </w:p>
    <w:p w14:paraId="15562FAA" w14:textId="77777777" w:rsidR="001E413A" w:rsidRPr="001E413A" w:rsidRDefault="001E413A" w:rsidP="00593CBD">
      <w:pPr>
        <w:numPr>
          <w:ilvl w:val="0"/>
          <w:numId w:val="38"/>
        </w:numPr>
        <w:spacing w:line="276" w:lineRule="auto"/>
        <w:rPr>
          <w:rFonts w:ascii="Times New Roman" w:hAnsi="Times New Roman" w:cs="Times New Roman"/>
          <w:sz w:val="24"/>
          <w:szCs w:val="24"/>
        </w:rPr>
      </w:pPr>
      <w:r w:rsidRPr="001E413A">
        <w:rPr>
          <w:rFonts w:ascii="Times New Roman" w:hAnsi="Times New Roman" w:cs="Times New Roman"/>
          <w:sz w:val="24"/>
          <w:szCs w:val="24"/>
        </w:rPr>
        <w:t xml:space="preserve">2025 shows comparatively smaller backlog values, suggesting improved workload management and reduced accumulation compared to the previous year. </w:t>
      </w:r>
    </w:p>
    <w:p w14:paraId="77B350BD" w14:textId="05E50EEC" w:rsidR="001E413A" w:rsidRPr="002B6593" w:rsidRDefault="001E413A" w:rsidP="00A60E11">
      <w:pPr>
        <w:numPr>
          <w:ilvl w:val="0"/>
          <w:numId w:val="38"/>
        </w:numPr>
        <w:spacing w:line="276" w:lineRule="auto"/>
        <w:rPr>
          <w:rFonts w:ascii="Times New Roman" w:hAnsi="Times New Roman" w:cs="Times New Roman"/>
          <w:sz w:val="24"/>
          <w:szCs w:val="24"/>
        </w:rPr>
      </w:pPr>
      <w:r w:rsidRPr="001E413A">
        <w:rPr>
          <w:rFonts w:ascii="Times New Roman" w:hAnsi="Times New Roman" w:cs="Times New Roman"/>
          <w:sz w:val="24"/>
          <w:szCs w:val="24"/>
        </w:rPr>
        <w:t>The lighter-</w:t>
      </w:r>
      <w:proofErr w:type="spellStart"/>
      <w:r w:rsidRPr="001E413A">
        <w:rPr>
          <w:rFonts w:ascii="Times New Roman" w:hAnsi="Times New Roman" w:cs="Times New Roman"/>
          <w:sz w:val="24"/>
          <w:szCs w:val="24"/>
        </w:rPr>
        <w:t>colored</w:t>
      </w:r>
      <w:proofErr w:type="spellEnd"/>
      <w:r w:rsidRPr="001E413A">
        <w:rPr>
          <w:rFonts w:ascii="Times New Roman" w:hAnsi="Times New Roman" w:cs="Times New Roman"/>
          <w:sz w:val="24"/>
          <w:szCs w:val="24"/>
        </w:rPr>
        <w:t xml:space="preserve"> sections represent months with lower backlog accumulation, indicating periods of relatively balanced system load and throughput.</w:t>
      </w:r>
    </w:p>
    <w:p w14:paraId="7E29C544" w14:textId="3997DFC5" w:rsidR="004C2E67" w:rsidRPr="007B3317" w:rsidRDefault="00000000" w:rsidP="004C2E67">
      <w:pPr>
        <w:rPr>
          <w:rFonts w:ascii="Times New Roman" w:hAnsi="Times New Roman" w:cs="Times New Roman"/>
        </w:rPr>
      </w:pPr>
      <w:r>
        <w:rPr>
          <w:rFonts w:ascii="Times New Roman" w:hAnsi="Times New Roman" w:cs="Times New Roman"/>
          <w:b/>
          <w:bCs/>
          <w:sz w:val="28"/>
          <w:szCs w:val="28"/>
        </w:rPr>
        <w:pict w14:anchorId="2381C893">
          <v:rect id="_x0000_i1027" style="width:0;height:1.5pt" o:hralign="center" o:hrstd="t" o:hr="t" fillcolor="#a0a0a0" stroked="f"/>
        </w:pict>
      </w:r>
    </w:p>
    <w:sectPr w:rsidR="004C2E67" w:rsidRPr="007B3317" w:rsidSect="00830EDB">
      <w:footerReference w:type="default" r:id="rId33"/>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123DA" w14:textId="77777777" w:rsidR="0053200A" w:rsidRDefault="0053200A" w:rsidP="00800D86">
      <w:pPr>
        <w:spacing w:after="0" w:line="240" w:lineRule="auto"/>
      </w:pPr>
      <w:r>
        <w:separator/>
      </w:r>
    </w:p>
  </w:endnote>
  <w:endnote w:type="continuationSeparator" w:id="0">
    <w:p w14:paraId="20BFCE6D" w14:textId="77777777" w:rsidR="0053200A" w:rsidRDefault="0053200A" w:rsidP="00800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191145"/>
      <w:docPartObj>
        <w:docPartGallery w:val="Page Numbers (Bottom of Page)"/>
        <w:docPartUnique/>
      </w:docPartObj>
    </w:sdtPr>
    <w:sdtEndPr>
      <w:rPr>
        <w:noProof/>
      </w:rPr>
    </w:sdtEndPr>
    <w:sdtContent>
      <w:p w14:paraId="24412FCE" w14:textId="21792165" w:rsidR="00997CEA" w:rsidRDefault="00997CEA">
        <w:pPr>
          <w:pStyle w:val="Footer"/>
          <w:jc w:val="center"/>
        </w:pPr>
        <w:r w:rsidRPr="00997CEA">
          <w:rPr>
            <w:rFonts w:ascii="Times New Roman" w:hAnsi="Times New Roman" w:cs="Times New Roman"/>
            <w:sz w:val="24"/>
            <w:szCs w:val="24"/>
          </w:rPr>
          <w:fldChar w:fldCharType="begin"/>
        </w:r>
        <w:r w:rsidRPr="00997CEA">
          <w:rPr>
            <w:rFonts w:ascii="Times New Roman" w:hAnsi="Times New Roman" w:cs="Times New Roman"/>
            <w:sz w:val="24"/>
            <w:szCs w:val="24"/>
          </w:rPr>
          <w:instrText xml:space="preserve"> PAGE   \* MERGEFORMAT </w:instrText>
        </w:r>
        <w:r w:rsidRPr="00997CEA">
          <w:rPr>
            <w:rFonts w:ascii="Times New Roman" w:hAnsi="Times New Roman" w:cs="Times New Roman"/>
            <w:sz w:val="24"/>
            <w:szCs w:val="24"/>
          </w:rPr>
          <w:fldChar w:fldCharType="separate"/>
        </w:r>
        <w:r w:rsidRPr="00997CEA">
          <w:rPr>
            <w:rFonts w:ascii="Times New Roman" w:hAnsi="Times New Roman" w:cs="Times New Roman"/>
            <w:noProof/>
            <w:sz w:val="24"/>
            <w:szCs w:val="24"/>
          </w:rPr>
          <w:t>2</w:t>
        </w:r>
        <w:r w:rsidRPr="00997CEA">
          <w:rPr>
            <w:rFonts w:ascii="Times New Roman" w:hAnsi="Times New Roman" w:cs="Times New Roman"/>
            <w:noProof/>
            <w:sz w:val="24"/>
            <w:szCs w:val="24"/>
          </w:rPr>
          <w:fldChar w:fldCharType="end"/>
        </w:r>
      </w:p>
    </w:sdtContent>
  </w:sdt>
  <w:p w14:paraId="7FC328D8" w14:textId="77777777" w:rsidR="00800D86" w:rsidRDefault="00800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F8EC5" w14:textId="77777777" w:rsidR="0053200A" w:rsidRDefault="0053200A" w:rsidP="00800D86">
      <w:pPr>
        <w:spacing w:after="0" w:line="240" w:lineRule="auto"/>
      </w:pPr>
      <w:r>
        <w:separator/>
      </w:r>
    </w:p>
  </w:footnote>
  <w:footnote w:type="continuationSeparator" w:id="0">
    <w:p w14:paraId="67986B9D" w14:textId="77777777" w:rsidR="0053200A" w:rsidRDefault="0053200A" w:rsidP="00800D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221F7"/>
    <w:multiLevelType w:val="multilevel"/>
    <w:tmpl w:val="54665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4444CD"/>
    <w:multiLevelType w:val="multilevel"/>
    <w:tmpl w:val="562A0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BD5DD5"/>
    <w:multiLevelType w:val="multilevel"/>
    <w:tmpl w:val="E3EC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E909A7"/>
    <w:multiLevelType w:val="multilevel"/>
    <w:tmpl w:val="DC8C8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C65CC"/>
    <w:multiLevelType w:val="multilevel"/>
    <w:tmpl w:val="FF38AF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49291E"/>
    <w:multiLevelType w:val="multilevel"/>
    <w:tmpl w:val="4030F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AD7AED"/>
    <w:multiLevelType w:val="multilevel"/>
    <w:tmpl w:val="5BE2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A8066F"/>
    <w:multiLevelType w:val="multilevel"/>
    <w:tmpl w:val="FA228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0D7741"/>
    <w:multiLevelType w:val="multilevel"/>
    <w:tmpl w:val="BA0C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74D1B83"/>
    <w:multiLevelType w:val="multilevel"/>
    <w:tmpl w:val="3E9AE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1922B4"/>
    <w:multiLevelType w:val="multilevel"/>
    <w:tmpl w:val="FA60C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3C6CA0"/>
    <w:multiLevelType w:val="multilevel"/>
    <w:tmpl w:val="0D802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30521B"/>
    <w:multiLevelType w:val="multilevel"/>
    <w:tmpl w:val="3ABEF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1A72B3"/>
    <w:multiLevelType w:val="multilevel"/>
    <w:tmpl w:val="2002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7D366A"/>
    <w:multiLevelType w:val="multilevel"/>
    <w:tmpl w:val="5A0E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360ABF"/>
    <w:multiLevelType w:val="multilevel"/>
    <w:tmpl w:val="321A7EE0"/>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5D1823"/>
    <w:multiLevelType w:val="multilevel"/>
    <w:tmpl w:val="626E8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361BC3"/>
    <w:multiLevelType w:val="multilevel"/>
    <w:tmpl w:val="8AFEC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F00277"/>
    <w:multiLevelType w:val="multilevel"/>
    <w:tmpl w:val="B894B754"/>
    <w:lvl w:ilvl="0">
      <w:start w:val="1"/>
      <w:numFmt w:val="decimal"/>
      <w:lvlText w:val="%1."/>
      <w:lvlJc w:val="left"/>
      <w:pPr>
        <w:tabs>
          <w:tab w:val="num" w:pos="502"/>
        </w:tabs>
        <w:ind w:left="502"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076F60"/>
    <w:multiLevelType w:val="multilevel"/>
    <w:tmpl w:val="09C88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5A646C"/>
    <w:multiLevelType w:val="multilevel"/>
    <w:tmpl w:val="BD922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F7D1B86"/>
    <w:multiLevelType w:val="multilevel"/>
    <w:tmpl w:val="58E49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982FB0"/>
    <w:multiLevelType w:val="multilevel"/>
    <w:tmpl w:val="747AC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074938"/>
    <w:multiLevelType w:val="multilevel"/>
    <w:tmpl w:val="7EA886E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8A0F39"/>
    <w:multiLevelType w:val="multilevel"/>
    <w:tmpl w:val="7E528F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53076F"/>
    <w:multiLevelType w:val="multilevel"/>
    <w:tmpl w:val="DF72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37472AB"/>
    <w:multiLevelType w:val="multilevel"/>
    <w:tmpl w:val="B86A4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511AFF"/>
    <w:multiLevelType w:val="multilevel"/>
    <w:tmpl w:val="E2A2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E35CE4"/>
    <w:multiLevelType w:val="multilevel"/>
    <w:tmpl w:val="9D900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626A77"/>
    <w:multiLevelType w:val="multilevel"/>
    <w:tmpl w:val="5FEC7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674B2"/>
    <w:multiLevelType w:val="multilevel"/>
    <w:tmpl w:val="5EBE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F378B9"/>
    <w:multiLevelType w:val="multilevel"/>
    <w:tmpl w:val="624C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77090E"/>
    <w:multiLevelType w:val="multilevel"/>
    <w:tmpl w:val="1D965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DF5D5F"/>
    <w:multiLevelType w:val="hybridMultilevel"/>
    <w:tmpl w:val="DBAAB7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6E904E9D"/>
    <w:multiLevelType w:val="multilevel"/>
    <w:tmpl w:val="4BEC2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C83685"/>
    <w:multiLevelType w:val="multilevel"/>
    <w:tmpl w:val="8296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DC374E"/>
    <w:multiLevelType w:val="multilevel"/>
    <w:tmpl w:val="D19A8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854F9B"/>
    <w:multiLevelType w:val="multilevel"/>
    <w:tmpl w:val="48962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347BC"/>
    <w:multiLevelType w:val="multilevel"/>
    <w:tmpl w:val="634CF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40195989">
    <w:abstractNumId w:val="19"/>
  </w:num>
  <w:num w:numId="2" w16cid:durableId="1939482072">
    <w:abstractNumId w:val="32"/>
  </w:num>
  <w:num w:numId="3" w16cid:durableId="1305743213">
    <w:abstractNumId w:val="29"/>
  </w:num>
  <w:num w:numId="4" w16cid:durableId="1803114616">
    <w:abstractNumId w:val="35"/>
  </w:num>
  <w:num w:numId="5" w16cid:durableId="657732580">
    <w:abstractNumId w:val="21"/>
  </w:num>
  <w:num w:numId="6" w16cid:durableId="1830945281">
    <w:abstractNumId w:val="36"/>
  </w:num>
  <w:num w:numId="7" w16cid:durableId="1758474039">
    <w:abstractNumId w:val="4"/>
  </w:num>
  <w:num w:numId="8" w16cid:durableId="516819071">
    <w:abstractNumId w:val="12"/>
  </w:num>
  <w:num w:numId="9" w16cid:durableId="1651906111">
    <w:abstractNumId w:val="16"/>
  </w:num>
  <w:num w:numId="10" w16cid:durableId="390616964">
    <w:abstractNumId w:val="26"/>
  </w:num>
  <w:num w:numId="11" w16cid:durableId="1945725795">
    <w:abstractNumId w:val="10"/>
  </w:num>
  <w:num w:numId="12" w16cid:durableId="1407996660">
    <w:abstractNumId w:val="37"/>
  </w:num>
  <w:num w:numId="13" w16cid:durableId="1644848002">
    <w:abstractNumId w:val="7"/>
  </w:num>
  <w:num w:numId="14" w16cid:durableId="1669988911">
    <w:abstractNumId w:val="28"/>
  </w:num>
  <w:num w:numId="15" w16cid:durableId="406343236">
    <w:abstractNumId w:val="3"/>
  </w:num>
  <w:num w:numId="16" w16cid:durableId="112133327">
    <w:abstractNumId w:val="30"/>
  </w:num>
  <w:num w:numId="17" w16cid:durableId="1297686929">
    <w:abstractNumId w:val="22"/>
  </w:num>
  <w:num w:numId="18" w16cid:durableId="261913511">
    <w:abstractNumId w:val="24"/>
  </w:num>
  <w:num w:numId="19" w16cid:durableId="649796797">
    <w:abstractNumId w:val="27"/>
  </w:num>
  <w:num w:numId="20" w16cid:durableId="1778983525">
    <w:abstractNumId w:val="38"/>
  </w:num>
  <w:num w:numId="21" w16cid:durableId="254100288">
    <w:abstractNumId w:val="23"/>
  </w:num>
  <w:num w:numId="22" w16cid:durableId="1935504758">
    <w:abstractNumId w:val="20"/>
  </w:num>
  <w:num w:numId="23" w16cid:durableId="1836843195">
    <w:abstractNumId w:val="5"/>
  </w:num>
  <w:num w:numId="24" w16cid:durableId="347756299">
    <w:abstractNumId w:val="15"/>
  </w:num>
  <w:num w:numId="25" w16cid:durableId="2094545771">
    <w:abstractNumId w:val="6"/>
  </w:num>
  <w:num w:numId="26" w16cid:durableId="942080104">
    <w:abstractNumId w:val="11"/>
  </w:num>
  <w:num w:numId="27" w16cid:durableId="1923875779">
    <w:abstractNumId w:val="18"/>
  </w:num>
  <w:num w:numId="28" w16cid:durableId="117571628">
    <w:abstractNumId w:val="17"/>
  </w:num>
  <w:num w:numId="29" w16cid:durableId="1956058678">
    <w:abstractNumId w:val="9"/>
  </w:num>
  <w:num w:numId="30" w16cid:durableId="599679223">
    <w:abstractNumId w:val="2"/>
  </w:num>
  <w:num w:numId="31" w16cid:durableId="927466549">
    <w:abstractNumId w:val="14"/>
  </w:num>
  <w:num w:numId="32" w16cid:durableId="662780857">
    <w:abstractNumId w:val="25"/>
  </w:num>
  <w:num w:numId="33" w16cid:durableId="40642831">
    <w:abstractNumId w:val="33"/>
  </w:num>
  <w:num w:numId="34" w16cid:durableId="312492940">
    <w:abstractNumId w:val="34"/>
  </w:num>
  <w:num w:numId="35" w16cid:durableId="1275481363">
    <w:abstractNumId w:val="8"/>
  </w:num>
  <w:num w:numId="36" w16cid:durableId="1944073945">
    <w:abstractNumId w:val="0"/>
  </w:num>
  <w:num w:numId="37" w16cid:durableId="1742753907">
    <w:abstractNumId w:val="13"/>
  </w:num>
  <w:num w:numId="38" w16cid:durableId="2103717363">
    <w:abstractNumId w:val="1"/>
  </w:num>
  <w:num w:numId="39" w16cid:durableId="75887249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C9B"/>
    <w:rsid w:val="000008C0"/>
    <w:rsid w:val="00004F54"/>
    <w:rsid w:val="000234BF"/>
    <w:rsid w:val="00032939"/>
    <w:rsid w:val="000333AD"/>
    <w:rsid w:val="0004090A"/>
    <w:rsid w:val="000479C9"/>
    <w:rsid w:val="000870BC"/>
    <w:rsid w:val="00095597"/>
    <w:rsid w:val="000D2263"/>
    <w:rsid w:val="000F2050"/>
    <w:rsid w:val="000F348D"/>
    <w:rsid w:val="00147407"/>
    <w:rsid w:val="001850A8"/>
    <w:rsid w:val="001938E7"/>
    <w:rsid w:val="001D1D1F"/>
    <w:rsid w:val="001E413A"/>
    <w:rsid w:val="00202D52"/>
    <w:rsid w:val="002113BC"/>
    <w:rsid w:val="00230846"/>
    <w:rsid w:val="0023118E"/>
    <w:rsid w:val="002313CB"/>
    <w:rsid w:val="00233AAE"/>
    <w:rsid w:val="00243D6D"/>
    <w:rsid w:val="00273D1F"/>
    <w:rsid w:val="00292ADF"/>
    <w:rsid w:val="002A0080"/>
    <w:rsid w:val="002B6593"/>
    <w:rsid w:val="002C7B59"/>
    <w:rsid w:val="003360A3"/>
    <w:rsid w:val="00346F40"/>
    <w:rsid w:val="00366872"/>
    <w:rsid w:val="00377D1A"/>
    <w:rsid w:val="0038104C"/>
    <w:rsid w:val="003A568F"/>
    <w:rsid w:val="003C5EF9"/>
    <w:rsid w:val="004345E0"/>
    <w:rsid w:val="004A136F"/>
    <w:rsid w:val="004B183D"/>
    <w:rsid w:val="004C2E67"/>
    <w:rsid w:val="004F24A5"/>
    <w:rsid w:val="004F43B1"/>
    <w:rsid w:val="00503123"/>
    <w:rsid w:val="00526212"/>
    <w:rsid w:val="00530CC7"/>
    <w:rsid w:val="0053200A"/>
    <w:rsid w:val="00563686"/>
    <w:rsid w:val="00593CBD"/>
    <w:rsid w:val="005C79D5"/>
    <w:rsid w:val="005D2C34"/>
    <w:rsid w:val="005D6B28"/>
    <w:rsid w:val="0063011C"/>
    <w:rsid w:val="00632327"/>
    <w:rsid w:val="00632E52"/>
    <w:rsid w:val="00633605"/>
    <w:rsid w:val="006358DB"/>
    <w:rsid w:val="0067799D"/>
    <w:rsid w:val="006D1B92"/>
    <w:rsid w:val="006F1EE3"/>
    <w:rsid w:val="006F2554"/>
    <w:rsid w:val="006F526E"/>
    <w:rsid w:val="00730191"/>
    <w:rsid w:val="00731364"/>
    <w:rsid w:val="007343D9"/>
    <w:rsid w:val="00781BFB"/>
    <w:rsid w:val="007978CB"/>
    <w:rsid w:val="007B3317"/>
    <w:rsid w:val="007C222D"/>
    <w:rsid w:val="007F3D0D"/>
    <w:rsid w:val="007F4F60"/>
    <w:rsid w:val="00800D86"/>
    <w:rsid w:val="00812565"/>
    <w:rsid w:val="00830EDB"/>
    <w:rsid w:val="00854CFA"/>
    <w:rsid w:val="00857C4E"/>
    <w:rsid w:val="008656B3"/>
    <w:rsid w:val="008B1613"/>
    <w:rsid w:val="008D1C06"/>
    <w:rsid w:val="008D363D"/>
    <w:rsid w:val="008F73E1"/>
    <w:rsid w:val="00921D5C"/>
    <w:rsid w:val="00997CEA"/>
    <w:rsid w:val="009B134B"/>
    <w:rsid w:val="009E69F1"/>
    <w:rsid w:val="00A116BF"/>
    <w:rsid w:val="00A1272B"/>
    <w:rsid w:val="00A60CC9"/>
    <w:rsid w:val="00A60E11"/>
    <w:rsid w:val="00A933F0"/>
    <w:rsid w:val="00AD3C9B"/>
    <w:rsid w:val="00AE1C94"/>
    <w:rsid w:val="00AE5BDD"/>
    <w:rsid w:val="00B47F89"/>
    <w:rsid w:val="00B55D9A"/>
    <w:rsid w:val="00B670F3"/>
    <w:rsid w:val="00B76B48"/>
    <w:rsid w:val="00BA72E5"/>
    <w:rsid w:val="00BB4CF7"/>
    <w:rsid w:val="00BD6D5F"/>
    <w:rsid w:val="00BE0572"/>
    <w:rsid w:val="00C26B87"/>
    <w:rsid w:val="00C447FB"/>
    <w:rsid w:val="00CB4D05"/>
    <w:rsid w:val="00CC1511"/>
    <w:rsid w:val="00CC3ED7"/>
    <w:rsid w:val="00CD41B4"/>
    <w:rsid w:val="00CE5985"/>
    <w:rsid w:val="00D010DF"/>
    <w:rsid w:val="00D67BFB"/>
    <w:rsid w:val="00DA484C"/>
    <w:rsid w:val="00EC3F8E"/>
    <w:rsid w:val="00ED4BFF"/>
    <w:rsid w:val="00ED51F4"/>
    <w:rsid w:val="00EF4601"/>
    <w:rsid w:val="00F0524A"/>
    <w:rsid w:val="00F0755F"/>
    <w:rsid w:val="00F11A13"/>
    <w:rsid w:val="00F21468"/>
    <w:rsid w:val="00F333FE"/>
    <w:rsid w:val="00FF07CB"/>
    <w:rsid w:val="00FF47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03BD2"/>
  <w15:chartTrackingRefBased/>
  <w15:docId w15:val="{BAAF935C-A9B2-4F5A-AB7A-43CE1518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C06"/>
  </w:style>
  <w:style w:type="paragraph" w:styleId="Heading3">
    <w:name w:val="heading 3"/>
    <w:basedOn w:val="Normal"/>
    <w:next w:val="Normal"/>
    <w:link w:val="Heading3Char"/>
    <w:uiPriority w:val="9"/>
    <w:semiHidden/>
    <w:unhideWhenUsed/>
    <w:qFormat/>
    <w:rsid w:val="000870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0D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D86"/>
  </w:style>
  <w:style w:type="paragraph" w:styleId="Footer">
    <w:name w:val="footer"/>
    <w:basedOn w:val="Normal"/>
    <w:link w:val="FooterChar"/>
    <w:uiPriority w:val="99"/>
    <w:unhideWhenUsed/>
    <w:rsid w:val="00800D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D86"/>
  </w:style>
  <w:style w:type="table" w:styleId="TableGrid">
    <w:name w:val="Table Grid"/>
    <w:basedOn w:val="TableNormal"/>
    <w:uiPriority w:val="39"/>
    <w:rsid w:val="004F43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26B87"/>
    <w:pPr>
      <w:ind w:left="720"/>
      <w:contextualSpacing/>
    </w:pPr>
  </w:style>
  <w:style w:type="paragraph" w:customStyle="1" w:styleId="01PaperTitle">
    <w:name w:val="01_Paper Title"/>
    <w:qFormat/>
    <w:rsid w:val="00997CEA"/>
    <w:pPr>
      <w:spacing w:after="120" w:line="240" w:lineRule="auto"/>
      <w:jc w:val="center"/>
    </w:pPr>
    <w:rPr>
      <w:rFonts w:ascii="Times New Roman" w:eastAsia="MS Mincho" w:hAnsi="Times New Roman" w:cs="Times New Roman"/>
      <w:noProof/>
      <w:kern w:val="0"/>
      <w:sz w:val="48"/>
      <w:szCs w:val="48"/>
      <w:lang w:val="en-US"/>
      <w14:ligatures w14:val="none"/>
    </w:rPr>
  </w:style>
  <w:style w:type="paragraph" w:customStyle="1" w:styleId="03Abstract">
    <w:name w:val="03_Abstract"/>
    <w:qFormat/>
    <w:rsid w:val="00830EDB"/>
    <w:pPr>
      <w:spacing w:after="200" w:line="240" w:lineRule="auto"/>
      <w:ind w:firstLine="272"/>
      <w:jc w:val="both"/>
    </w:pPr>
    <w:rPr>
      <w:rFonts w:ascii="Times New Roman" w:eastAsia="SimSun" w:hAnsi="Times New Roman" w:cs="Times New Roman"/>
      <w:b/>
      <w:bCs/>
      <w:kern w:val="0"/>
      <w:sz w:val="18"/>
      <w:szCs w:val="18"/>
      <w:lang w:val="en-US"/>
      <w14:ligatures w14:val="none"/>
    </w:rPr>
  </w:style>
  <w:style w:type="paragraph" w:customStyle="1" w:styleId="04Keywords">
    <w:name w:val="04_Keywords"/>
    <w:basedOn w:val="03Abstract"/>
    <w:qFormat/>
    <w:rsid w:val="00830EDB"/>
    <w:pPr>
      <w:spacing w:after="120"/>
      <w:ind w:firstLine="274"/>
    </w:pPr>
    <w:rPr>
      <w:i/>
    </w:rPr>
  </w:style>
  <w:style w:type="paragraph" w:styleId="BodyText">
    <w:name w:val="Body Text"/>
    <w:aliases w:val="10_Body Text"/>
    <w:basedOn w:val="Normal"/>
    <w:next w:val="01PaperTitle"/>
    <w:link w:val="BodyTextChar"/>
    <w:qFormat/>
    <w:rsid w:val="008D1C06"/>
    <w:pPr>
      <w:tabs>
        <w:tab w:val="left" w:pos="288"/>
      </w:tabs>
      <w:spacing w:after="120" w:line="228" w:lineRule="auto"/>
      <w:ind w:firstLine="288"/>
      <w:jc w:val="both"/>
    </w:pPr>
    <w:rPr>
      <w:rFonts w:ascii="Times New Roman" w:eastAsia="SimSun" w:hAnsi="Times New Roman" w:cs="Times New Roman"/>
      <w:spacing w:val="-1"/>
      <w:kern w:val="0"/>
      <w:sz w:val="20"/>
      <w:szCs w:val="20"/>
      <w:lang w:val="en-US"/>
      <w14:ligatures w14:val="none"/>
    </w:rPr>
  </w:style>
  <w:style w:type="character" w:customStyle="1" w:styleId="BodyTextChar">
    <w:name w:val="Body Text Char"/>
    <w:aliases w:val="10_Body Text Char"/>
    <w:basedOn w:val="DefaultParagraphFont"/>
    <w:link w:val="BodyText"/>
    <w:rsid w:val="008D1C06"/>
    <w:rPr>
      <w:rFonts w:ascii="Times New Roman" w:eastAsia="SimSun" w:hAnsi="Times New Roman" w:cs="Times New Roman"/>
      <w:spacing w:val="-1"/>
      <w:kern w:val="0"/>
      <w:sz w:val="20"/>
      <w:szCs w:val="20"/>
      <w:lang w:val="en-US"/>
      <w14:ligatures w14:val="none"/>
    </w:rPr>
  </w:style>
  <w:style w:type="character" w:customStyle="1" w:styleId="Heading3Char">
    <w:name w:val="Heading 3 Char"/>
    <w:basedOn w:val="DefaultParagraphFont"/>
    <w:link w:val="Heading3"/>
    <w:uiPriority w:val="9"/>
    <w:semiHidden/>
    <w:rsid w:val="000870B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6F5FC-956E-40D7-9110-29523DE5B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15</Pages>
  <Words>1734</Words>
  <Characters>9886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Gunjan Sahoo</dc:creator>
  <cp:keywords/>
  <dc:description/>
  <cp:lastModifiedBy>Gunjan Sahoo</cp:lastModifiedBy>
  <cp:revision>23</cp:revision>
  <cp:lastPrinted>2026-06-30T07:54:00Z</cp:lastPrinted>
  <dcterms:created xsi:type="dcterms:W3CDTF">2025-09-02T06:18:00Z</dcterms:created>
  <dcterms:modified xsi:type="dcterms:W3CDTF">2026-07-13T07:58:00Z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33074df7960758ef1a020a7db7f036812000f5da60b315a399457ac91f9aaaec</vt:lpwstr>
  </property>
</Properties>
</file>