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Supplementary Figure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Figure 1. Major Theme Frequencies: “No” vs “Yes” Responses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-657224</wp:posOffset>
            </wp:positionH>
            <wp:positionV relativeFrom="paragraph">
              <wp:posOffset>447675</wp:posOffset>
            </wp:positionV>
            <wp:extent cx="7100888" cy="4033224"/>
            <wp:effectExtent b="0" l="0" r="0" t="0"/>
            <wp:wrapNone/>
            <wp:docPr descr="Chart" id="1" name="image1.png"/>
            <a:graphic>
              <a:graphicData uri="http://schemas.openxmlformats.org/drawingml/2006/picture">
                <pic:pic>
                  <pic:nvPicPr>
                    <pic:cNvPr descr="Chart" id="0" name="image1.png"/>
                    <pic:cNvPicPr preferRelativeResize="0"/>
                  </pic:nvPicPr>
                  <pic:blipFill>
                    <a:blip r:embed="rId6"/>
                    <a:srcRect b="0" l="0" r="0" t="8076"/>
                    <a:stretch>
                      <a:fillRect/>
                    </a:stretch>
                  </pic:blipFill>
                  <pic:spPr>
                    <a:xfrm>
                      <a:off x="0" y="0"/>
                      <a:ext cx="7100888" cy="40332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