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80" w:before="0" w:line="300"/>
        <w:jc w:val="center"/>
      </w:pPr>
      <w:r>
        <w:rPr>
          <w:rFonts w:ascii="Times New Roman" w:cs="Times New Roman" w:eastAsia="Times New Roman" w:hAnsi="Times New Roman"/>
          <w:b/>
          <w:bCs/>
          <w:sz w:val="26"/>
          <w:szCs w:val="26"/>
        </w:rPr>
        <w:t xml:space="preserve">Electronic Supplementary Material</w:t>
      </w:r>
    </w:p>
    <w:p>
      <w:pPr>
        <w:spacing w:after="300" w:before="0" w:line="300"/>
        <w:jc w:val="center"/>
      </w:pPr>
      <w:r>
        <w:rPr>
          <w:rFonts w:ascii="Times New Roman" w:cs="Times New Roman" w:eastAsia="Times New Roman" w:hAnsi="Times New Roman"/>
          <w:i/>
          <w:iCs/>
          <w:sz w:val="20"/>
          <w:szCs w:val="20"/>
        </w:rPr>
        <w:t xml:space="preserve">Coil-augmented overlapping flow diversion (OFDC) for unruptured intracranial aneurysms with anatomical features predicting flow-diverter failure</w:t>
      </w:r>
    </w:p>
    <w:p>
      <w:pPr>
        <w:spacing w:after="120" w:before="24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Supplementary Table 1  Detailed baseline characteristics of the entire cohort (n = 86)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500"/>
        <w:gridCol w:w="2500"/>
      </w:tblGrid>
      <w:tr>
        <w:tc>
          <w:tcPr>
            <w:tcW w:type="dxa" w:w="6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7E6E6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0" w:before="0" w:line="26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19"/>
                <w:szCs w:val="19"/>
              </w:rPr>
              <w:t xml:space="preserve">Characteristic</w:t>
            </w:r>
          </w:p>
        </w:tc>
        <w:tc>
          <w:tcPr>
            <w:tcW w:type="dxa" w:w="2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7E6E6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0" w:before="0" w:line="26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19"/>
                <w:szCs w:val="19"/>
              </w:rPr>
              <w:t xml:space="preserve">Value</w:t>
            </w:r>
          </w:p>
        </w:tc>
      </w:tr>
      <w:tr>
        <w:tc>
          <w:tcPr>
            <w:tcW w:type="dxa" w:w="6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0" w:before="0" w:line="26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Age, mean ± SD, years</w:t>
            </w:r>
          </w:p>
        </w:tc>
        <w:tc>
          <w:tcPr>
            <w:tcW w:type="dxa" w:w="2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0" w:before="0" w:line="26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66.7 ± 11.4</w:t>
            </w:r>
          </w:p>
        </w:tc>
      </w:tr>
      <w:tr>
        <w:tc>
          <w:tcPr>
            <w:tcW w:type="dxa" w:w="6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0" w:before="0" w:line="26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Age range, years</w:t>
            </w:r>
          </w:p>
        </w:tc>
        <w:tc>
          <w:tcPr>
            <w:tcW w:type="dxa" w:w="2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0" w:before="0" w:line="26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34–87</w:t>
            </w:r>
          </w:p>
        </w:tc>
      </w:tr>
      <w:tr>
        <w:tc>
          <w:tcPr>
            <w:tcW w:type="dxa" w:w="6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0" w:before="0" w:line="26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Female sex, n (%)</w:t>
            </w:r>
          </w:p>
        </w:tc>
        <w:tc>
          <w:tcPr>
            <w:tcW w:type="dxa" w:w="2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0" w:before="0" w:line="26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73 (84.9)</w:t>
            </w:r>
          </w:p>
        </w:tc>
      </w:tr>
      <w:tr>
        <w:tc>
          <w:tcPr>
            <w:tcW w:type="dxa" w:w="6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0" w:before="0" w:line="26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Aneurysm maximum diameter, mean ± SD, mm</w:t>
            </w:r>
          </w:p>
        </w:tc>
        <w:tc>
          <w:tcPr>
            <w:tcW w:type="dxa" w:w="2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0" w:before="0" w:line="26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13.6 ± 6.8</w:t>
            </w:r>
          </w:p>
        </w:tc>
      </w:tr>
      <w:tr>
        <w:tc>
          <w:tcPr>
            <w:tcW w:type="dxa" w:w="6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0" w:before="0" w:line="26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Aneurysm maximum diameter, median (range), mm</w:t>
            </w:r>
          </w:p>
        </w:tc>
        <w:tc>
          <w:tcPr>
            <w:tcW w:type="dxa" w:w="2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0" w:before="0" w:line="26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12.7 (3.9–34.3)</w:t>
            </w:r>
          </w:p>
        </w:tc>
      </w:tr>
      <w:tr>
        <w:tc>
          <w:tcPr>
            <w:tcW w:type="dxa" w:w="6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0" w:before="0" w:line="26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Aneurysm ≥15 mm, n (%)</w:t>
            </w:r>
          </w:p>
        </w:tc>
        <w:tc>
          <w:tcPr>
            <w:tcW w:type="dxa" w:w="2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0" w:before="0" w:line="26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27 (31.4)</w:t>
            </w:r>
          </w:p>
        </w:tc>
      </w:tr>
      <w:tr>
        <w:tc>
          <w:tcPr>
            <w:tcW w:type="dxa" w:w="6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0" w:before="0" w:line="26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Aneurysm ≥25 mm (giant), n (%)</w:t>
            </w:r>
          </w:p>
        </w:tc>
        <w:tc>
          <w:tcPr>
            <w:tcW w:type="dxa" w:w="2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0" w:before="0" w:line="26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 (7.0)</w:t>
            </w:r>
          </w:p>
        </w:tc>
      </w:tr>
      <w:tr>
        <w:tc>
          <w:tcPr>
            <w:tcW w:type="dxa" w:w="6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0" w:before="0" w:line="26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Aneurysm location, n (%)</w:t>
            </w:r>
          </w:p>
        </w:tc>
        <w:tc>
          <w:tcPr>
            <w:tcW w:type="dxa" w:w="2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0" w:before="0" w:line="26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6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0" w:before="0" w:line="26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  Cavernous ICA</w:t>
            </w:r>
          </w:p>
        </w:tc>
        <w:tc>
          <w:tcPr>
            <w:tcW w:type="dxa" w:w="2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0" w:before="0" w:line="26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(23.3)</w:t>
            </w:r>
          </w:p>
        </w:tc>
      </w:tr>
      <w:tr>
        <w:tc>
          <w:tcPr>
            <w:tcW w:type="dxa" w:w="6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0" w:before="0" w:line="26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  Paraclinoid ICA</w:t>
            </w:r>
          </w:p>
        </w:tc>
        <w:tc>
          <w:tcPr>
            <w:tcW w:type="dxa" w:w="2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0" w:before="0" w:line="26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 (20.9)</w:t>
            </w:r>
          </w:p>
        </w:tc>
      </w:tr>
      <w:tr>
        <w:tc>
          <w:tcPr>
            <w:tcW w:type="dxa" w:w="6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0" w:before="0" w:line="26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  Ophthalmic ICA</w:t>
            </w:r>
          </w:p>
        </w:tc>
        <w:tc>
          <w:tcPr>
            <w:tcW w:type="dxa" w:w="2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0" w:before="0" w:line="26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 (14.0)</w:t>
            </w:r>
          </w:p>
        </w:tc>
      </w:tr>
      <w:tr>
        <w:tc>
          <w:tcPr>
            <w:tcW w:type="dxa" w:w="6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0" w:before="0" w:line="26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  Posterior communicating</w:t>
            </w:r>
          </w:p>
        </w:tc>
        <w:tc>
          <w:tcPr>
            <w:tcW w:type="dxa" w:w="2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0" w:before="0" w:line="26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(11.6)</w:t>
            </w:r>
          </w:p>
        </w:tc>
      </w:tr>
      <w:tr>
        <w:tc>
          <w:tcPr>
            <w:tcW w:type="dxa" w:w="6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0" w:before="0" w:line="26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  Vertebral artery dissecting</w:t>
            </w:r>
          </w:p>
        </w:tc>
        <w:tc>
          <w:tcPr>
            <w:tcW w:type="dxa" w:w="2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0" w:before="0" w:line="26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(11.6)</w:t>
            </w:r>
          </w:p>
        </w:tc>
      </w:tr>
      <w:tr>
        <w:tc>
          <w:tcPr>
            <w:tcW w:type="dxa" w:w="6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0" w:before="0" w:line="26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  Other</w:t>
            </w:r>
          </w:p>
        </w:tc>
        <w:tc>
          <w:tcPr>
            <w:tcW w:type="dxa" w:w="2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0" w:before="0" w:line="26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16 (18.6)</w:t>
            </w:r>
          </w:p>
        </w:tc>
      </w:tr>
      <w:tr>
        <w:tc>
          <w:tcPr>
            <w:tcW w:type="dxa" w:w="6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0" w:before="0" w:line="26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Convex curvature, n (%)</w:t>
            </w:r>
          </w:p>
        </w:tc>
        <w:tc>
          <w:tcPr>
            <w:tcW w:type="dxa" w:w="2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0" w:before="0" w:line="26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42 (48.8)</w:t>
            </w:r>
          </w:p>
        </w:tc>
      </w:tr>
      <w:tr>
        <w:tc>
          <w:tcPr>
            <w:tcW w:type="dxa" w:w="6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0" w:before="0" w:line="26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Incorporated branch, n (%)</w:t>
            </w:r>
          </w:p>
        </w:tc>
        <w:tc>
          <w:tcPr>
            <w:tcW w:type="dxa" w:w="2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0" w:before="0" w:line="26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21 (24.4)</w:t>
            </w:r>
          </w:p>
        </w:tc>
      </w:tr>
      <w:tr>
        <w:tc>
          <w:tcPr>
            <w:tcW w:type="dxa" w:w="6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0" w:before="0" w:line="26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Intra-aneurysmal thrombus, n (%)</w:t>
            </w:r>
          </w:p>
        </w:tc>
        <w:tc>
          <w:tcPr>
            <w:tcW w:type="dxa" w:w="2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0" w:before="0" w:line="26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11 (12.8)</w:t>
            </w:r>
          </w:p>
        </w:tc>
      </w:tr>
      <w:tr>
        <w:tc>
          <w:tcPr>
            <w:tcW w:type="dxa" w:w="6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0" w:before="0" w:line="26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Cumulative difficult-to-cure factor count, mean ± SD</w:t>
            </w:r>
          </w:p>
        </w:tc>
        <w:tc>
          <w:tcPr>
            <w:tcW w:type="dxa" w:w="2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0" w:before="0" w:line="26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1.17 ± 1.04</w:t>
            </w:r>
          </w:p>
        </w:tc>
      </w:tr>
      <w:tr>
        <w:tc>
          <w:tcPr>
            <w:tcW w:type="dxa" w:w="6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0" w:before="0" w:line="26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  0 factors, n (%)</w:t>
            </w:r>
          </w:p>
        </w:tc>
        <w:tc>
          <w:tcPr>
            <w:tcW w:type="dxa" w:w="2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0" w:before="0" w:line="26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27 (31.4)</w:t>
            </w:r>
          </w:p>
        </w:tc>
      </w:tr>
      <w:tr>
        <w:tc>
          <w:tcPr>
            <w:tcW w:type="dxa" w:w="6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0" w:before="0" w:line="26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  1 factor, n (%)</w:t>
            </w:r>
          </w:p>
        </w:tc>
        <w:tc>
          <w:tcPr>
            <w:tcW w:type="dxa" w:w="2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0" w:before="0" w:line="26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29 (33.7)</w:t>
            </w:r>
          </w:p>
        </w:tc>
      </w:tr>
      <w:tr>
        <w:tc>
          <w:tcPr>
            <w:tcW w:type="dxa" w:w="6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0" w:before="0" w:line="26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  2 factors, n (%)</w:t>
            </w:r>
          </w:p>
        </w:tc>
        <w:tc>
          <w:tcPr>
            <w:tcW w:type="dxa" w:w="2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0" w:before="0" w:line="26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(23.3)</w:t>
            </w:r>
          </w:p>
        </w:tc>
      </w:tr>
      <w:tr>
        <w:tc>
          <w:tcPr>
            <w:tcW w:type="dxa" w:w="6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0" w:before="0" w:line="26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  ≥3 factors, n (%)</w:t>
            </w:r>
          </w:p>
        </w:tc>
        <w:tc>
          <w:tcPr>
            <w:tcW w:type="dxa" w:w="2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0" w:before="0" w:line="26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(11.6)</w:t>
            </w:r>
          </w:p>
        </w:tc>
      </w:tr>
      <w:tr>
        <w:tc>
          <w:tcPr>
            <w:tcW w:type="dxa" w:w="6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0" w:before="0" w:line="26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Device used, n (%)</w:t>
            </w:r>
          </w:p>
        </w:tc>
        <w:tc>
          <w:tcPr>
            <w:tcW w:type="dxa" w:w="2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0" w:before="0" w:line="26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6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0" w:before="0" w:line="26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  Pipeline Embolization Device (PED)</w:t>
            </w:r>
          </w:p>
        </w:tc>
        <w:tc>
          <w:tcPr>
            <w:tcW w:type="dxa" w:w="2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0" w:before="0" w:line="26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56 (65.1)</w:t>
            </w:r>
          </w:p>
        </w:tc>
      </w:tr>
      <w:tr>
        <w:tc>
          <w:tcPr>
            <w:tcW w:type="dxa" w:w="6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0" w:before="0" w:line="26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  FRED / FRED X</w:t>
            </w:r>
          </w:p>
        </w:tc>
        <w:tc>
          <w:tcPr>
            <w:tcW w:type="dxa" w:w="2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0" w:before="0" w:line="26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28 (32.6)</w:t>
            </w:r>
          </w:p>
        </w:tc>
      </w:tr>
      <w:tr>
        <w:tc>
          <w:tcPr>
            <w:tcW w:type="dxa" w:w="6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0" w:before="0" w:line="26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  Surpass</w:t>
            </w:r>
          </w:p>
        </w:tc>
        <w:tc>
          <w:tcPr>
            <w:tcW w:type="dxa" w:w="2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0" w:before="0" w:line="26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 (2.3)</w:t>
            </w:r>
          </w:p>
        </w:tc>
      </w:tr>
      <w:tr>
        <w:tc>
          <w:tcPr>
            <w:tcW w:type="dxa" w:w="6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0" w:before="0" w:line="26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Procedure type, n (%)</w:t>
            </w:r>
          </w:p>
        </w:tc>
        <w:tc>
          <w:tcPr>
            <w:tcW w:type="dxa" w:w="2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0" w:before="0" w:line="26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6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0" w:before="0" w:line="26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  FD alone</w:t>
            </w:r>
          </w:p>
        </w:tc>
        <w:tc>
          <w:tcPr>
            <w:tcW w:type="dxa" w:w="2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0" w:before="0" w:line="26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33 (38.4)</w:t>
            </w:r>
          </w:p>
        </w:tc>
      </w:tr>
      <w:tr>
        <w:tc>
          <w:tcPr>
            <w:tcW w:type="dxa" w:w="6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0" w:before="0" w:line="26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  FDC</w:t>
            </w:r>
          </w:p>
        </w:tc>
        <w:tc>
          <w:tcPr>
            <w:tcW w:type="dxa" w:w="2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0" w:before="0" w:line="26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26 (30.2)</w:t>
            </w:r>
          </w:p>
        </w:tc>
      </w:tr>
      <w:tr>
        <w:tc>
          <w:tcPr>
            <w:tcW w:type="dxa" w:w="6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0" w:before="0" w:line="26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  OFD</w:t>
            </w:r>
          </w:p>
        </w:tc>
        <w:tc>
          <w:tcPr>
            <w:tcW w:type="dxa" w:w="2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0" w:before="0" w:line="26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 (8.1)</w:t>
            </w:r>
          </w:p>
        </w:tc>
      </w:tr>
      <w:tr>
        <w:tc>
          <w:tcPr>
            <w:tcW w:type="dxa" w:w="6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0" w:before="0" w:line="26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  OFDC</w:t>
            </w:r>
          </w:p>
        </w:tc>
        <w:tc>
          <w:tcPr>
            <w:tcW w:type="dxa" w:w="2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0" w:before="0" w:line="26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(23.3)</w:t>
            </w:r>
          </w:p>
        </w:tc>
      </w:tr>
      <w:tr>
        <w:tc>
          <w:tcPr>
            <w:tcW w:type="dxa" w:w="6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0" w:before="0" w:line="26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Imaging follow-up, median (range), months</w:t>
            </w:r>
          </w:p>
        </w:tc>
        <w:tc>
          <w:tcPr>
            <w:tcW w:type="dxa" w:w="2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0" w:before="0" w:line="26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 (1–61)</w:t>
            </w:r>
          </w:p>
        </w:tc>
      </w:tr>
      <w:tr>
        <w:tc>
          <w:tcPr>
            <w:tcW w:type="dxa" w:w="6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0" w:before="0" w:line="26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Adequate occlusion (OKM C1–D), n (%)</w:t>
            </w:r>
          </w:p>
        </w:tc>
        <w:tc>
          <w:tcPr>
            <w:tcW w:type="dxa" w:w="2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0" w:before="0" w:line="26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73 (84.9)</w:t>
            </w:r>
          </w:p>
        </w:tc>
      </w:tr>
      <w:tr>
        <w:tc>
          <w:tcPr>
            <w:tcW w:type="dxa" w:w="6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0" w:before="0" w:line="26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Complete occlusion (OKM D), n (%)</w:t>
            </w:r>
          </w:p>
        </w:tc>
        <w:tc>
          <w:tcPr>
            <w:tcW w:type="dxa" w:w="2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0" w:before="0" w:line="26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55 (64.0)</w:t>
            </w:r>
          </w:p>
        </w:tc>
      </w:tr>
      <w:tr>
        <w:tc>
          <w:tcPr>
            <w:tcW w:type="dxa" w:w="6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0" w:before="0" w:line="26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Symptomatic ischemic complications, n (%)</w:t>
            </w:r>
          </w:p>
        </w:tc>
        <w:tc>
          <w:tcPr>
            <w:tcW w:type="dxa" w:w="2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0" w:before="0" w:line="26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 (3.5)</w:t>
            </w:r>
          </w:p>
        </w:tc>
      </w:tr>
      <w:tr>
        <w:tc>
          <w:tcPr>
            <w:tcW w:type="dxa" w:w="6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0" w:before="0" w:line="26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Symptomatic hemorrhagic complications, n (%)</w:t>
            </w:r>
          </w:p>
        </w:tc>
        <w:tc>
          <w:tcPr>
            <w:tcW w:type="dxa" w:w="2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0" w:before="0" w:line="26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0 (0.0)</w:t>
            </w:r>
          </w:p>
        </w:tc>
      </w:tr>
    </w:tbl>
    <w:p>
      <w:pPr>
        <w:spacing w:after="0" w:before="60" w:line="260"/>
      </w:pPr>
      <w:r>
        <w:rPr>
          <w:rFonts w:ascii="Times New Roman" w:cs="Times New Roman" w:eastAsia="Times New Roman" w:hAnsi="Times New Roman"/>
          <w:i/>
          <w:iCs/>
          <w:sz w:val="18"/>
          <w:szCs w:val="18"/>
        </w:rPr>
        <w:t xml:space="preserve">FD flow diverter, FDC FD with coiling, ICA internal carotid artery, OFD overlapping FD, OFDC overlapping FD with coiling, OKM O'Kelly–Marotta, SD standard deviation</w:t>
      </w:r>
    </w:p>
    <w:p>
      <w:r>
        <w:br w:type="page"/>
      </w:r>
    </w:p>
    <w:p>
      <w:pPr>
        <w:spacing w:after="120" w:before="24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Supplementary Table 2  Univariable logistic regression for adequate occlusion (OKM C1–D)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000"/>
        <w:gridCol w:w="1500"/>
        <w:gridCol w:w="1900"/>
        <w:gridCol w:w="1600"/>
      </w:tblGrid>
      <w:tr>
        <w:tc>
          <w:tcPr>
            <w:tcW w:type="dxa" w:w="4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7E6E6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0" w:before="0" w:line="26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19"/>
                <w:szCs w:val="19"/>
              </w:rPr>
              <w:t xml:space="preserve">Variable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7E6E6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0" w:before="0" w:line="26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19"/>
                <w:szCs w:val="19"/>
              </w:rPr>
              <w:t xml:space="preserve">OR</w:t>
            </w:r>
          </w:p>
        </w:tc>
        <w:tc>
          <w:tcPr>
            <w:tcW w:type="dxa" w:w="19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7E6E6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0" w:before="0" w:line="26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19"/>
                <w:szCs w:val="19"/>
              </w:rPr>
              <w:t xml:space="preserve">95% CI</w:t>
            </w:r>
          </w:p>
        </w:tc>
        <w:tc>
          <w:tcPr>
            <w:tcW w:type="dxa" w:w="16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7E6E6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0" w:before="0" w:line="26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19"/>
                <w:szCs w:val="19"/>
              </w:rPr>
              <w:t xml:space="preserve">p value</w:t>
            </w:r>
          </w:p>
        </w:tc>
      </w:tr>
      <w:tr>
        <w:tc>
          <w:tcPr>
            <w:tcW w:type="dxa" w:w="4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0" w:before="0" w:line="26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Age (per year)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0" w:before="0" w:line="26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0.96</w:t>
            </w:r>
          </w:p>
        </w:tc>
        <w:tc>
          <w:tcPr>
            <w:tcW w:type="dxa" w:w="19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0" w:before="0" w:line="26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0.91–1.01</w:t>
            </w:r>
          </w:p>
        </w:tc>
        <w:tc>
          <w:tcPr>
            <w:tcW w:type="dxa" w:w="16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0" w:before="0" w:line="26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0.13</w:t>
            </w:r>
          </w:p>
        </w:tc>
      </w:tr>
      <w:tr>
        <w:tc>
          <w:tcPr>
            <w:tcW w:type="dxa" w:w="4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0" w:before="0" w:line="26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Female sex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0" w:before="0" w:line="26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1.66</w:t>
            </w:r>
          </w:p>
        </w:tc>
        <w:tc>
          <w:tcPr>
            <w:tcW w:type="dxa" w:w="19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0" w:before="0" w:line="26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0.42–6.53</w:t>
            </w:r>
          </w:p>
        </w:tc>
        <w:tc>
          <w:tcPr>
            <w:tcW w:type="dxa" w:w="16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0" w:before="0" w:line="26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0.47</w:t>
            </w:r>
          </w:p>
        </w:tc>
      </w:tr>
      <w:tr>
        <w:tc>
          <w:tcPr>
            <w:tcW w:type="dxa" w:w="4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0" w:before="0" w:line="26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Aneurysm diameter (per mm)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0" w:before="0" w:line="26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0.91</w:t>
            </w:r>
          </w:p>
        </w:tc>
        <w:tc>
          <w:tcPr>
            <w:tcW w:type="dxa" w:w="19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0" w:before="0" w:line="26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0.85–0.99</w:t>
            </w:r>
          </w:p>
        </w:tc>
        <w:tc>
          <w:tcPr>
            <w:tcW w:type="dxa" w:w="16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0" w:before="0" w:line="26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0.02</w:t>
            </w:r>
          </w:p>
        </w:tc>
      </w:tr>
      <w:tr>
        <w:tc>
          <w:tcPr>
            <w:tcW w:type="dxa" w:w="4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0" w:before="0" w:line="26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Aneurysm ≥15 mm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0" w:before="0" w:line="26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0.13</w:t>
            </w:r>
          </w:p>
        </w:tc>
        <w:tc>
          <w:tcPr>
            <w:tcW w:type="dxa" w:w="19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0" w:before="0" w:line="26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0.04–0.46</w:t>
            </w:r>
          </w:p>
        </w:tc>
        <w:tc>
          <w:tcPr>
            <w:tcW w:type="dxa" w:w="16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0" w:before="0" w:line="26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0.002</w:t>
            </w:r>
          </w:p>
        </w:tc>
      </w:tr>
      <w:tr>
        <w:tc>
          <w:tcPr>
            <w:tcW w:type="dxa" w:w="4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0" w:before="0" w:line="26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Convex curvature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0" w:before="0" w:line="26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0.30</w:t>
            </w:r>
          </w:p>
        </w:tc>
        <w:tc>
          <w:tcPr>
            <w:tcW w:type="dxa" w:w="19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0" w:before="0" w:line="26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0.09–0.99</w:t>
            </w:r>
          </w:p>
        </w:tc>
        <w:tc>
          <w:tcPr>
            <w:tcW w:type="dxa" w:w="16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0" w:before="0" w:line="26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0.05</w:t>
            </w:r>
          </w:p>
        </w:tc>
      </w:tr>
      <w:tr>
        <w:tc>
          <w:tcPr>
            <w:tcW w:type="dxa" w:w="4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0" w:before="0" w:line="26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Incorporated branch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0" w:before="0" w:line="26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0.31</w:t>
            </w:r>
          </w:p>
        </w:tc>
        <w:tc>
          <w:tcPr>
            <w:tcW w:type="dxa" w:w="19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0" w:before="0" w:line="26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0.09–1.08</w:t>
            </w:r>
          </w:p>
        </w:tc>
        <w:tc>
          <w:tcPr>
            <w:tcW w:type="dxa" w:w="16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0" w:before="0" w:line="26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0.07</w:t>
            </w:r>
          </w:p>
        </w:tc>
      </w:tr>
      <w:tr>
        <w:tc>
          <w:tcPr>
            <w:tcW w:type="dxa" w:w="4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0" w:before="0" w:line="26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Intra-aneurysmal thrombus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0" w:before="0" w:line="26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0.74</w:t>
            </w:r>
          </w:p>
        </w:tc>
        <w:tc>
          <w:tcPr>
            <w:tcW w:type="dxa" w:w="19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0" w:before="0" w:line="26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0.14–3.83</w:t>
            </w:r>
          </w:p>
        </w:tc>
        <w:tc>
          <w:tcPr>
            <w:tcW w:type="dxa" w:w="16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0" w:before="0" w:line="26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0.72</w:t>
            </w:r>
          </w:p>
        </w:tc>
      </w:tr>
      <w:tr>
        <w:tc>
          <w:tcPr>
            <w:tcW w:type="dxa" w:w="4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0" w:before="0" w:line="26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OFDC technique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0" w:before="0" w:line="26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5.07</w:t>
            </w:r>
          </w:p>
        </w:tc>
        <w:tc>
          <w:tcPr>
            <w:tcW w:type="dxa" w:w="19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0" w:before="0" w:line="26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0.62–41.30</w:t>
            </w:r>
          </w:p>
        </w:tc>
        <w:tc>
          <w:tcPr>
            <w:tcW w:type="dxa" w:w="16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0" w:before="0" w:line="26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0.13</w:t>
            </w:r>
          </w:p>
        </w:tc>
      </w:tr>
    </w:tbl>
    <w:p>
      <w:pPr>
        <w:spacing w:after="0" w:before="60" w:line="260"/>
      </w:pPr>
      <w:r>
        <w:rPr>
          <w:rFonts w:ascii="Times New Roman" w:cs="Times New Roman" w:eastAsia="Times New Roman" w:hAnsi="Times New Roman"/>
          <w:i/>
          <w:iCs/>
          <w:sz w:val="18"/>
          <w:szCs w:val="18"/>
        </w:rPr>
        <w:t xml:space="preserve">CI confidence interval, OFDC overlapping flow diverter with coiling, OR odds ratio</w:t>
      </w:r>
    </w:p>
    <w:p>
      <w:r>
        <w:br w:type="page"/>
      </w:r>
    </w:p>
    <w:p>
      <w:pPr>
        <w:spacing w:after="120" w:before="24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Supplementary Table 3  Multivariable logistic regression — secondary model (model 2)</w:t>
      </w:r>
    </w:p>
    <w:p>
      <w:pPr>
        <w:spacing w:after="120" w:before="0" w:line="30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This secondary model additionally adjusted for age and aneurysm maximum diameter as continuous variables, in addition to the four difficult-to-cure factors and the OFDC indicator.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000"/>
        <w:gridCol w:w="1500"/>
        <w:gridCol w:w="1900"/>
        <w:gridCol w:w="1600"/>
      </w:tblGrid>
      <w:tr>
        <w:tc>
          <w:tcPr>
            <w:tcW w:type="dxa" w:w="4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7E6E6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0" w:before="0" w:line="26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19"/>
                <w:szCs w:val="19"/>
              </w:rPr>
              <w:t xml:space="preserve">Variable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7E6E6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0" w:before="0" w:line="26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19"/>
                <w:szCs w:val="19"/>
              </w:rPr>
              <w:t xml:space="preserve">Adjusted OR</w:t>
            </w:r>
          </w:p>
        </w:tc>
        <w:tc>
          <w:tcPr>
            <w:tcW w:type="dxa" w:w="19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7E6E6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0" w:before="0" w:line="26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19"/>
                <w:szCs w:val="19"/>
              </w:rPr>
              <w:t xml:space="preserve">95% CI</w:t>
            </w:r>
          </w:p>
        </w:tc>
        <w:tc>
          <w:tcPr>
            <w:tcW w:type="dxa" w:w="16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7E6E6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0" w:before="0" w:line="26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19"/>
                <w:szCs w:val="19"/>
              </w:rPr>
              <w:t xml:space="preserve">p value</w:t>
            </w:r>
          </w:p>
        </w:tc>
      </w:tr>
      <w:tr>
        <w:tc>
          <w:tcPr>
            <w:tcW w:type="dxa" w:w="4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0" w:before="0" w:line="26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Age (per year)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0" w:before="0" w:line="26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0.89</w:t>
            </w:r>
          </w:p>
        </w:tc>
        <w:tc>
          <w:tcPr>
            <w:tcW w:type="dxa" w:w="19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0" w:before="0" w:line="26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0.81–0.98</w:t>
            </w:r>
          </w:p>
        </w:tc>
        <w:tc>
          <w:tcPr>
            <w:tcW w:type="dxa" w:w="16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0" w:before="0" w:line="26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0.02</w:t>
            </w:r>
          </w:p>
        </w:tc>
      </w:tr>
      <w:tr>
        <w:tc>
          <w:tcPr>
            <w:tcW w:type="dxa" w:w="4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0" w:before="0" w:line="26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Aneurysm diameter (per mm)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0" w:before="0" w:line="26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0.86</w:t>
            </w:r>
          </w:p>
        </w:tc>
        <w:tc>
          <w:tcPr>
            <w:tcW w:type="dxa" w:w="19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0" w:before="0" w:line="26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0.75–0.98</w:t>
            </w:r>
          </w:p>
        </w:tc>
        <w:tc>
          <w:tcPr>
            <w:tcW w:type="dxa" w:w="16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0" w:before="0" w:line="26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0.03</w:t>
            </w:r>
          </w:p>
        </w:tc>
      </w:tr>
      <w:tr>
        <w:tc>
          <w:tcPr>
            <w:tcW w:type="dxa" w:w="4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0" w:before="0" w:line="26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Aneurysm ≥15 mm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0" w:before="0" w:line="26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0.42</w:t>
            </w:r>
          </w:p>
        </w:tc>
        <w:tc>
          <w:tcPr>
            <w:tcW w:type="dxa" w:w="19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0" w:before="0" w:line="26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0.05–3.20</w:t>
            </w:r>
          </w:p>
        </w:tc>
        <w:tc>
          <w:tcPr>
            <w:tcW w:type="dxa" w:w="16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0" w:before="0" w:line="26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0.40</w:t>
            </w:r>
          </w:p>
        </w:tc>
      </w:tr>
      <w:tr>
        <w:tc>
          <w:tcPr>
            <w:tcW w:type="dxa" w:w="4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0" w:before="0" w:line="26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Convex curvature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0" w:before="0" w:line="26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0.45</w:t>
            </w:r>
          </w:p>
        </w:tc>
        <w:tc>
          <w:tcPr>
            <w:tcW w:type="dxa" w:w="19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0" w:before="0" w:line="26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0.09–2.19</w:t>
            </w:r>
          </w:p>
        </w:tc>
        <w:tc>
          <w:tcPr>
            <w:tcW w:type="dxa" w:w="16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0" w:before="0" w:line="26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0.32</w:t>
            </w:r>
          </w:p>
        </w:tc>
      </w:tr>
      <w:tr>
        <w:tc>
          <w:tcPr>
            <w:tcW w:type="dxa" w:w="4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0" w:before="0" w:line="26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Incorporated branch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0" w:before="0" w:line="26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0.11</w:t>
            </w:r>
          </w:p>
        </w:tc>
        <w:tc>
          <w:tcPr>
            <w:tcW w:type="dxa" w:w="19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0" w:before="0" w:line="26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0.01–1.00</w:t>
            </w:r>
          </w:p>
        </w:tc>
        <w:tc>
          <w:tcPr>
            <w:tcW w:type="dxa" w:w="16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0" w:before="0" w:line="26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0.05</w:t>
            </w:r>
          </w:p>
        </w:tc>
      </w:tr>
      <w:tr>
        <w:tc>
          <w:tcPr>
            <w:tcW w:type="dxa" w:w="4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0" w:before="0" w:line="26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Intra-aneurysmal thrombus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0" w:before="0" w:line="26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17.74</w:t>
            </w:r>
          </w:p>
        </w:tc>
        <w:tc>
          <w:tcPr>
            <w:tcW w:type="dxa" w:w="19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0" w:before="0" w:line="26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0.43–730.3</w:t>
            </w:r>
          </w:p>
        </w:tc>
        <w:tc>
          <w:tcPr>
            <w:tcW w:type="dxa" w:w="16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0" w:before="0" w:line="26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0.13</w:t>
            </w:r>
          </w:p>
        </w:tc>
      </w:tr>
      <w:tr>
        <w:tc>
          <w:tcPr>
            <w:tcW w:type="dxa" w:w="4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0" w:before="0" w:line="26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OFDC technique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0" w:before="0" w:line="26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28.87</w:t>
            </w:r>
          </w:p>
        </w:tc>
        <w:tc>
          <w:tcPr>
            <w:tcW w:type="dxa" w:w="19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0" w:before="0" w:line="26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1.98–420.0</w:t>
            </w:r>
          </w:p>
        </w:tc>
        <w:tc>
          <w:tcPr>
            <w:tcW w:type="dxa" w:w="16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0" w:before="0" w:line="26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0.01</w:t>
            </w:r>
          </w:p>
        </w:tc>
      </w:tr>
    </w:tbl>
    <w:p>
      <w:pPr>
        <w:spacing w:after="0" w:before="60" w:line="260"/>
      </w:pPr>
      <w:r>
        <w:rPr>
          <w:rFonts w:ascii="Times New Roman" w:cs="Times New Roman" w:eastAsia="Times New Roman" w:hAnsi="Times New Roman"/>
          <w:i/>
          <w:iCs/>
          <w:sz w:val="18"/>
          <w:szCs w:val="18"/>
        </w:rPr>
        <w:t xml:space="preserve">Model fit: AIC = 62.44; McFadden pseudo R² = 0.34; likelihood-ratio p &lt; 0.001. CI confidence interval, OFDC overlapping flow diverter with coiling, OR odds ratio</w:t>
      </w:r>
    </w:p>
    <w:p>
      <w:r>
        <w:br w:type="page"/>
      </w:r>
    </w:p>
    <w:p>
      <w:pPr>
        <w:spacing w:after="120" w:before="24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Supplementary Table 4  OFDC versus non-OFDC by difficult-to-cure factor burden and by individual factor strata</w:t>
      </w:r>
    </w:p>
    <w:p>
      <w:pPr>
        <w:spacing w:after="120" w:before="0" w:line="30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Subgroup analyses comparing adequate-occlusion rates (OKM C1–D) for OFDC versus non-OFDC strategies. Each row is an independent stratified comparison.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2200"/>
        <w:gridCol w:w="2200"/>
        <w:gridCol w:w="1600"/>
      </w:tblGrid>
      <w:tr>
        <w:tc>
          <w:tcPr>
            <w:tcW w:type="dxa" w:w="3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7E6E6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0" w:before="0" w:line="26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19"/>
                <w:szCs w:val="19"/>
              </w:rPr>
              <w:t xml:space="preserve">Subgroup</w:t>
            </w:r>
          </w:p>
        </w:tc>
        <w:tc>
          <w:tcPr>
            <w:tcW w:type="dxa" w:w="22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7E6E6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0" w:before="0" w:line="26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19"/>
                <w:szCs w:val="19"/>
              </w:rPr>
              <w:t xml:space="preserve">OFDC (adequate/total, %)</w:t>
            </w:r>
          </w:p>
        </w:tc>
        <w:tc>
          <w:tcPr>
            <w:tcW w:type="dxa" w:w="22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7E6E6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0" w:before="0" w:line="26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19"/>
                <w:szCs w:val="19"/>
              </w:rPr>
              <w:t xml:space="preserve">Non-OFDC (adequate/total, %)</w:t>
            </w:r>
          </w:p>
        </w:tc>
        <w:tc>
          <w:tcPr>
            <w:tcW w:type="dxa" w:w="16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7E6E6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0" w:before="0" w:line="26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19"/>
                <w:szCs w:val="19"/>
              </w:rPr>
              <w:t xml:space="preserve">p value</w:t>
            </w:r>
          </w:p>
        </w:tc>
      </w:tr>
      <w:tr>
        <w:tc>
          <w:tcPr>
            <w:tcW w:type="dxa" w:w="3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0" w:before="0" w:line="26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≥1 difficult-to-cure factor</w:t>
            </w:r>
          </w:p>
        </w:tc>
        <w:tc>
          <w:tcPr>
            <w:tcW w:type="dxa" w:w="22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0" w:before="0" w:line="26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19/20 (95.0)</w:t>
            </w:r>
          </w:p>
        </w:tc>
        <w:tc>
          <w:tcPr>
            <w:tcW w:type="dxa" w:w="22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0" w:before="0" w:line="26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28/39 (71.8)</w:t>
            </w:r>
          </w:p>
        </w:tc>
        <w:tc>
          <w:tcPr>
            <w:tcW w:type="dxa" w:w="16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0" w:before="0" w:line="26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0.04</w:t>
            </w:r>
          </w:p>
        </w:tc>
      </w:tr>
      <w:tr>
        <w:tc>
          <w:tcPr>
            <w:tcW w:type="dxa" w:w="3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0" w:before="0" w:line="26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≥2 difficult-to-cure factors</w:t>
            </w:r>
          </w:p>
        </w:tc>
        <w:tc>
          <w:tcPr>
            <w:tcW w:type="dxa" w:w="22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0" w:before="0" w:line="26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13/14 (92.9)</w:t>
            </w:r>
          </w:p>
        </w:tc>
        <w:tc>
          <w:tcPr>
            <w:tcW w:type="dxa" w:w="22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0" w:before="0" w:line="26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8/16 (50.0)</w:t>
            </w:r>
          </w:p>
        </w:tc>
        <w:tc>
          <w:tcPr>
            <w:tcW w:type="dxa" w:w="16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0" w:before="0" w:line="26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0.02</w:t>
            </w:r>
          </w:p>
        </w:tc>
      </w:tr>
      <w:tr>
        <w:tc>
          <w:tcPr>
            <w:tcW w:type="dxa" w:w="3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0" w:before="0" w:line="26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Aneurysm ≥15 mm</w:t>
            </w:r>
          </w:p>
        </w:tc>
        <w:tc>
          <w:tcPr>
            <w:tcW w:type="dxa" w:w="22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0" w:before="0" w:line="26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7/8 (87.5)</w:t>
            </w:r>
          </w:p>
        </w:tc>
        <w:tc>
          <w:tcPr>
            <w:tcW w:type="dxa" w:w="22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0" w:before="0" w:line="26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11/19 (57.9)</w:t>
            </w:r>
          </w:p>
        </w:tc>
        <w:tc>
          <w:tcPr>
            <w:tcW w:type="dxa" w:w="16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0" w:before="0" w:line="26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0.20</w:t>
            </w:r>
          </w:p>
        </w:tc>
      </w:tr>
      <w:tr>
        <w:tc>
          <w:tcPr>
            <w:tcW w:type="dxa" w:w="3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0" w:before="0" w:line="26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Convex curvature</w:t>
            </w:r>
          </w:p>
        </w:tc>
        <w:tc>
          <w:tcPr>
            <w:tcW w:type="dxa" w:w="22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0" w:before="0" w:line="26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15/16 (93.8)</w:t>
            </w:r>
          </w:p>
        </w:tc>
        <w:tc>
          <w:tcPr>
            <w:tcW w:type="dxa" w:w="22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0" w:before="0" w:line="26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18/26 (69.2)</w:t>
            </w:r>
          </w:p>
        </w:tc>
        <w:tc>
          <w:tcPr>
            <w:tcW w:type="dxa" w:w="16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0" w:before="0" w:line="26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0.12</w:t>
            </w:r>
          </w:p>
        </w:tc>
      </w:tr>
      <w:tr>
        <w:tc>
          <w:tcPr>
            <w:tcW w:type="dxa" w:w="3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0" w:before="0" w:line="26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Incorporated branch</w:t>
            </w:r>
          </w:p>
        </w:tc>
        <w:tc>
          <w:tcPr>
            <w:tcW w:type="dxa" w:w="22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0" w:before="0" w:line="26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11/12 (91.7)</w:t>
            </w:r>
          </w:p>
        </w:tc>
        <w:tc>
          <w:tcPr>
            <w:tcW w:type="dxa" w:w="22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0" w:before="0" w:line="26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6/9 (66.7)</w:t>
            </w:r>
          </w:p>
        </w:tc>
        <w:tc>
          <w:tcPr>
            <w:tcW w:type="dxa" w:w="16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0" w:before="0" w:line="26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0.27</w:t>
            </w:r>
          </w:p>
        </w:tc>
      </w:tr>
      <w:tr>
        <w:tc>
          <w:tcPr>
            <w:tcW w:type="dxa" w:w="3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0" w:before="0" w:line="26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Intra-aneurysmal thrombus</w:t>
            </w:r>
          </w:p>
        </w:tc>
        <w:tc>
          <w:tcPr>
            <w:tcW w:type="dxa" w:w="22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0" w:before="0" w:line="26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6/6 (100.0)</w:t>
            </w:r>
          </w:p>
        </w:tc>
        <w:tc>
          <w:tcPr>
            <w:tcW w:type="dxa" w:w="22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0" w:before="0" w:line="26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4/5 (80.0)</w:t>
            </w:r>
          </w:p>
        </w:tc>
        <w:tc>
          <w:tcPr>
            <w:tcW w:type="dxa" w:w="16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0" w:before="0" w:line="26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0.45</w:t>
            </w:r>
          </w:p>
        </w:tc>
      </w:tr>
    </w:tbl>
    <w:p>
      <w:pPr>
        <w:spacing w:after="0" w:before="60" w:line="260"/>
      </w:pPr>
      <w:r>
        <w:rPr>
          <w:rFonts w:ascii="Times New Roman" w:cs="Times New Roman" w:eastAsia="Times New Roman" w:hAnsi="Times New Roman"/>
          <w:i/>
          <w:iCs/>
          <w:sz w:val="18"/>
          <w:szCs w:val="18"/>
        </w:rPr>
        <w:t xml:space="preserve">All comparisons by Fisher's exact test. OFDC overlapping flow diverter with coiling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Times New Roman" w:cs="Times New Roman" w:eastAsia="Times New Roman" w:hAnsi="Times New Roman"/>
        <w:sz w:val="18"/>
        <w:szCs w:val="18"/>
      </w:rPr>
      <w:t xml:space="preserve">Electronic Supplementary Material — Page </w:t>
    </w:r>
    <w:r>
      <w:rPr>
        <w:rFonts w:ascii="Times New Roman" w:cs="Times New Roman" w:eastAsia="Times New Roman" w:hAnsi="Times New Roman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2026-07-12T12:51:42.145Z</dcterms:created>
  <dcterms:modified xsi:type="dcterms:W3CDTF">2026-07-12T12:51:42.145Z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