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92410B" w14:textId="5200262B" w:rsidR="00206ED8" w:rsidRPr="00206ED8" w:rsidRDefault="00DA179F" w:rsidP="000D130D">
      <w:pPr>
        <w:pBdr>
          <w:left w:val="none" w:sz="4" w:space="5" w:color="000000"/>
        </w:pBdr>
        <w:spacing w:line="480" w:lineRule="auto"/>
        <w:rPr>
          <w:rFonts w:cs="Times New Roman"/>
          <w:b/>
          <w:bCs/>
          <w:sz w:val="24"/>
          <w:szCs w:val="24"/>
          <w:shd w:val="clear" w:color="auto" w:fill="FFFFFF"/>
          <w:lang w:val="en-US"/>
        </w:rPr>
      </w:pPr>
      <w:r>
        <w:rPr>
          <w:rFonts w:cs="Times New Roman"/>
          <w:b/>
          <w:sz w:val="24"/>
          <w:szCs w:val="24"/>
          <w:shd w:val="clear" w:color="auto" w:fill="FFFFFF"/>
          <w:lang w:val="en-US"/>
        </w:rPr>
        <w:t>Table S</w:t>
      </w:r>
      <w:r w:rsidR="00206ED8" w:rsidRPr="00206ED8">
        <w:rPr>
          <w:rFonts w:cs="Times New Roman"/>
          <w:b/>
          <w:sz w:val="24"/>
          <w:szCs w:val="24"/>
          <w:shd w:val="clear" w:color="auto" w:fill="FFFFFF"/>
          <w:lang w:val="en-US"/>
        </w:rPr>
        <w:t>1:</w:t>
      </w:r>
      <w:r w:rsidR="00206ED8" w:rsidRPr="00206ED8">
        <w:rPr>
          <w:rFonts w:cs="Times New Roman"/>
          <w:sz w:val="24"/>
          <w:szCs w:val="24"/>
          <w:shd w:val="clear" w:color="auto" w:fill="FFFFFF"/>
          <w:lang w:val="en-US"/>
        </w:rPr>
        <w:t xml:space="preserve"> </w:t>
      </w:r>
      <w:r w:rsidR="00206ED8" w:rsidRPr="00206ED8">
        <w:rPr>
          <w:rFonts w:cs="Times New Roman"/>
          <w:b/>
          <w:bCs/>
          <w:sz w:val="24"/>
          <w:szCs w:val="24"/>
          <w:shd w:val="clear" w:color="auto" w:fill="FFFFFF"/>
          <w:lang w:val="en-US"/>
        </w:rPr>
        <w:t>Evolution of the relative growth rate and relative xylanase activity along generations.</w:t>
      </w:r>
    </w:p>
    <w:tbl>
      <w:tblPr>
        <w:tblStyle w:val="Tableausimple2"/>
        <w:tblW w:w="10000" w:type="dxa"/>
        <w:tblInd w:w="-567" w:type="dxa"/>
        <w:tblLook w:val="04A0" w:firstRow="1" w:lastRow="0" w:firstColumn="1" w:lastColumn="0" w:noHBand="0" w:noVBand="1"/>
      </w:tblPr>
      <w:tblGrid>
        <w:gridCol w:w="1304"/>
        <w:gridCol w:w="2300"/>
        <w:gridCol w:w="2163"/>
        <w:gridCol w:w="2126"/>
        <w:gridCol w:w="142"/>
        <w:gridCol w:w="1965"/>
      </w:tblGrid>
      <w:tr w:rsidR="00206ED8" w:rsidRPr="00206ED8" w14:paraId="16CCD0DA" w14:textId="77777777" w:rsidTr="008622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4" w:type="dxa"/>
            <w:vAlign w:val="center"/>
          </w:tcPr>
          <w:p w14:paraId="61D60CF3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rPr>
                <w:rFonts w:cs="Times New Roman"/>
                <w:color w:val="auto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color w:val="auto"/>
                <w:shd w:val="clear" w:color="auto" w:fill="FFFFFF"/>
                <w:lang w:val="en-US"/>
              </w:rPr>
              <w:t>Number of generations</w:t>
            </w:r>
          </w:p>
        </w:tc>
        <w:tc>
          <w:tcPr>
            <w:tcW w:w="2300" w:type="dxa"/>
            <w:vAlign w:val="center"/>
          </w:tcPr>
          <w:p w14:paraId="6BBBAAD4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color w:val="auto"/>
                <w:shd w:val="clear" w:color="auto" w:fill="FFFFFF"/>
                <w:lang w:val="en-US"/>
              </w:rPr>
              <w:t xml:space="preserve">Xylanase enzymatic activity (IU/mg) – Mean </w:t>
            </w:r>
            <w:r w:rsidRPr="00206ED8">
              <w:rPr>
                <w:rFonts w:cs="Times New Roman"/>
                <w:color w:val="auto"/>
                <w:lang w:val="en-US"/>
              </w:rPr>
              <w:t>± SD</w:t>
            </w:r>
          </w:p>
        </w:tc>
        <w:tc>
          <w:tcPr>
            <w:tcW w:w="2163" w:type="dxa"/>
            <w:vAlign w:val="center"/>
          </w:tcPr>
          <w:p w14:paraId="19957E14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color w:val="auto"/>
                <w:shd w:val="clear" w:color="auto" w:fill="FFFFFF"/>
                <w:lang w:val="en-US"/>
              </w:rPr>
              <w:t>Relative* xylanase enzymatic activity (%)</w:t>
            </w:r>
          </w:p>
        </w:tc>
        <w:tc>
          <w:tcPr>
            <w:tcW w:w="2268" w:type="dxa"/>
            <w:gridSpan w:val="2"/>
            <w:vAlign w:val="center"/>
          </w:tcPr>
          <w:p w14:paraId="171290DF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color w:val="auto"/>
                <w:shd w:val="clear" w:color="auto" w:fill="FFFFFF"/>
                <w:lang w:val="en-US"/>
              </w:rPr>
              <w:t>Maximal growth rate (h</w:t>
            </w:r>
            <w:r w:rsidRPr="00206ED8">
              <w:rPr>
                <w:rFonts w:cs="Times New Roman"/>
                <w:color w:val="auto"/>
                <w:shd w:val="clear" w:color="auto" w:fill="FFFFFF"/>
                <w:vertAlign w:val="superscript"/>
                <w:lang w:val="en-US"/>
              </w:rPr>
              <w:t>-1</w:t>
            </w:r>
            <w:r w:rsidRPr="00206ED8">
              <w:rPr>
                <w:rFonts w:cs="Times New Roman"/>
                <w:color w:val="auto"/>
                <w:shd w:val="clear" w:color="auto" w:fill="FFFFFF"/>
                <w:lang w:val="en-US"/>
              </w:rPr>
              <w:t xml:space="preserve">) – </w:t>
            </w:r>
            <w:r w:rsidRPr="00206ED8">
              <w:rPr>
                <w:rFonts w:cs="Times New Roman"/>
                <w:color w:val="auto"/>
                <w:shd w:val="clear" w:color="auto" w:fill="FFFFFF"/>
                <w:lang w:val="en-US"/>
              </w:rPr>
              <w:br/>
              <w:t xml:space="preserve">Mean </w:t>
            </w:r>
            <w:r w:rsidRPr="00206ED8">
              <w:rPr>
                <w:rFonts w:cs="Times New Roman"/>
                <w:color w:val="auto"/>
                <w:lang w:val="en-US"/>
              </w:rPr>
              <w:t>± SD</w:t>
            </w:r>
          </w:p>
        </w:tc>
        <w:tc>
          <w:tcPr>
            <w:tcW w:w="1965" w:type="dxa"/>
            <w:vAlign w:val="center"/>
          </w:tcPr>
          <w:p w14:paraId="3E4C790E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color w:val="auto"/>
                <w:shd w:val="clear" w:color="auto" w:fill="FFFFFF"/>
                <w:lang w:val="en-US"/>
              </w:rPr>
              <w:t>Relative* maximal growth rate (%)</w:t>
            </w:r>
          </w:p>
        </w:tc>
      </w:tr>
      <w:tr w:rsidR="00206ED8" w:rsidRPr="00206ED8" w14:paraId="2AE2871E" w14:textId="77777777" w:rsidTr="008622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4" w:type="dxa"/>
          </w:tcPr>
          <w:p w14:paraId="4A74E89A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rPr>
                <w:rFonts w:cs="Times New Roman"/>
                <w:color w:val="auto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color w:val="auto"/>
                <w:shd w:val="clear" w:color="auto" w:fill="FFFFFF"/>
                <w:lang w:val="en-US"/>
              </w:rPr>
              <w:t>0</w:t>
            </w:r>
          </w:p>
        </w:tc>
        <w:tc>
          <w:tcPr>
            <w:tcW w:w="2300" w:type="dxa"/>
          </w:tcPr>
          <w:p w14:paraId="020C38A3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141.36 ± 7.77</w:t>
            </w:r>
          </w:p>
        </w:tc>
        <w:tc>
          <w:tcPr>
            <w:tcW w:w="2163" w:type="dxa"/>
          </w:tcPr>
          <w:p w14:paraId="29E56CC7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100</w:t>
            </w:r>
          </w:p>
        </w:tc>
        <w:tc>
          <w:tcPr>
            <w:tcW w:w="2126" w:type="dxa"/>
          </w:tcPr>
          <w:p w14:paraId="618AE489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0.72 ± 0.12</w:t>
            </w:r>
          </w:p>
        </w:tc>
        <w:tc>
          <w:tcPr>
            <w:tcW w:w="2107" w:type="dxa"/>
            <w:gridSpan w:val="2"/>
          </w:tcPr>
          <w:p w14:paraId="286E4F3C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100</w:t>
            </w:r>
          </w:p>
        </w:tc>
      </w:tr>
      <w:tr w:rsidR="00206ED8" w:rsidRPr="00206ED8" w14:paraId="3E76BAFB" w14:textId="77777777" w:rsidTr="008622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4" w:type="dxa"/>
          </w:tcPr>
          <w:p w14:paraId="4F6646F7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rPr>
                <w:rFonts w:cs="Times New Roman"/>
                <w:color w:val="auto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color w:val="auto"/>
                <w:shd w:val="clear" w:color="auto" w:fill="FFFFFF"/>
                <w:lang w:val="en-US"/>
              </w:rPr>
              <w:t>23.5</w:t>
            </w:r>
          </w:p>
        </w:tc>
        <w:tc>
          <w:tcPr>
            <w:tcW w:w="2300" w:type="dxa"/>
          </w:tcPr>
          <w:p w14:paraId="21BD4CFF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19.99 ± 4.60</w:t>
            </w:r>
          </w:p>
        </w:tc>
        <w:tc>
          <w:tcPr>
            <w:tcW w:w="2163" w:type="dxa"/>
          </w:tcPr>
          <w:p w14:paraId="763F8F40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14</w:t>
            </w:r>
          </w:p>
        </w:tc>
        <w:tc>
          <w:tcPr>
            <w:tcW w:w="2126" w:type="dxa"/>
          </w:tcPr>
          <w:p w14:paraId="7F67886D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0.95 ± 0.08</w:t>
            </w:r>
          </w:p>
        </w:tc>
        <w:tc>
          <w:tcPr>
            <w:tcW w:w="2107" w:type="dxa"/>
            <w:gridSpan w:val="2"/>
          </w:tcPr>
          <w:p w14:paraId="41E9B94E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132</w:t>
            </w:r>
          </w:p>
        </w:tc>
      </w:tr>
      <w:tr w:rsidR="00206ED8" w:rsidRPr="00206ED8" w14:paraId="7429F515" w14:textId="77777777" w:rsidTr="008622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4" w:type="dxa"/>
          </w:tcPr>
          <w:p w14:paraId="6BEFFA42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rPr>
                <w:rFonts w:cs="Times New Roman"/>
                <w:color w:val="auto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color w:val="auto"/>
                <w:shd w:val="clear" w:color="auto" w:fill="FFFFFF"/>
                <w:lang w:val="en-US"/>
              </w:rPr>
              <w:t>50.8</w:t>
            </w:r>
          </w:p>
        </w:tc>
        <w:tc>
          <w:tcPr>
            <w:tcW w:w="2300" w:type="dxa"/>
          </w:tcPr>
          <w:p w14:paraId="7060B653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35.40 ± 10.92</w:t>
            </w:r>
          </w:p>
        </w:tc>
        <w:tc>
          <w:tcPr>
            <w:tcW w:w="2163" w:type="dxa"/>
          </w:tcPr>
          <w:p w14:paraId="493F9433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25</w:t>
            </w:r>
          </w:p>
        </w:tc>
        <w:tc>
          <w:tcPr>
            <w:tcW w:w="2126" w:type="dxa"/>
          </w:tcPr>
          <w:p w14:paraId="272540B8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1.02 ± 0.05</w:t>
            </w:r>
          </w:p>
        </w:tc>
        <w:tc>
          <w:tcPr>
            <w:tcW w:w="2107" w:type="dxa"/>
            <w:gridSpan w:val="2"/>
          </w:tcPr>
          <w:p w14:paraId="5B30A4AA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142</w:t>
            </w:r>
          </w:p>
        </w:tc>
      </w:tr>
      <w:tr w:rsidR="00206ED8" w:rsidRPr="00206ED8" w14:paraId="666CC0BA" w14:textId="77777777" w:rsidTr="008622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4" w:type="dxa"/>
          </w:tcPr>
          <w:p w14:paraId="08AC12FB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rPr>
                <w:rFonts w:cs="Times New Roman"/>
                <w:color w:val="auto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color w:val="auto"/>
                <w:shd w:val="clear" w:color="auto" w:fill="FFFFFF"/>
                <w:lang w:val="en-US"/>
              </w:rPr>
              <w:t>80.3</w:t>
            </w:r>
          </w:p>
        </w:tc>
        <w:tc>
          <w:tcPr>
            <w:tcW w:w="2300" w:type="dxa"/>
          </w:tcPr>
          <w:p w14:paraId="4C60CD79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38.51 ± 11.78</w:t>
            </w:r>
          </w:p>
        </w:tc>
        <w:tc>
          <w:tcPr>
            <w:tcW w:w="2163" w:type="dxa"/>
          </w:tcPr>
          <w:p w14:paraId="38B76DD4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27</w:t>
            </w:r>
          </w:p>
        </w:tc>
        <w:tc>
          <w:tcPr>
            <w:tcW w:w="2126" w:type="dxa"/>
          </w:tcPr>
          <w:p w14:paraId="6FFD33CE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0.97 ± 0.03</w:t>
            </w:r>
          </w:p>
        </w:tc>
        <w:tc>
          <w:tcPr>
            <w:tcW w:w="2107" w:type="dxa"/>
            <w:gridSpan w:val="2"/>
          </w:tcPr>
          <w:p w14:paraId="5FB96536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134</w:t>
            </w:r>
          </w:p>
        </w:tc>
      </w:tr>
      <w:tr w:rsidR="00206ED8" w:rsidRPr="00206ED8" w14:paraId="4188EE2A" w14:textId="77777777" w:rsidTr="008622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4" w:type="dxa"/>
          </w:tcPr>
          <w:p w14:paraId="752A7FED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rPr>
                <w:rFonts w:cs="Times New Roman"/>
                <w:color w:val="auto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color w:val="auto"/>
                <w:shd w:val="clear" w:color="auto" w:fill="FFFFFF"/>
                <w:lang w:val="en-US"/>
              </w:rPr>
              <w:t>107.7</w:t>
            </w:r>
          </w:p>
        </w:tc>
        <w:tc>
          <w:tcPr>
            <w:tcW w:w="2300" w:type="dxa"/>
          </w:tcPr>
          <w:p w14:paraId="7A7A9790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18.51 ± 4.54</w:t>
            </w:r>
          </w:p>
        </w:tc>
        <w:tc>
          <w:tcPr>
            <w:tcW w:w="2163" w:type="dxa"/>
          </w:tcPr>
          <w:p w14:paraId="4C1561E1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13</w:t>
            </w:r>
          </w:p>
        </w:tc>
        <w:tc>
          <w:tcPr>
            <w:tcW w:w="2126" w:type="dxa"/>
          </w:tcPr>
          <w:p w14:paraId="6B58C43C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0.96 ± 0.06</w:t>
            </w:r>
          </w:p>
        </w:tc>
        <w:tc>
          <w:tcPr>
            <w:tcW w:w="2107" w:type="dxa"/>
            <w:gridSpan w:val="2"/>
          </w:tcPr>
          <w:p w14:paraId="476D2749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133</w:t>
            </w:r>
          </w:p>
        </w:tc>
      </w:tr>
    </w:tbl>
    <w:p w14:paraId="3D25A882" w14:textId="77777777" w:rsidR="00206ED8" w:rsidRDefault="00206ED8" w:rsidP="000D130D">
      <w:pPr>
        <w:spacing w:line="480" w:lineRule="auto"/>
        <w:rPr>
          <w:lang w:val="en-US"/>
        </w:rPr>
      </w:pPr>
      <w:r w:rsidRPr="00206ED8">
        <w:rPr>
          <w:lang w:val="en-US"/>
        </w:rPr>
        <w:t>* The relative values were calculated by reporting the means values of a specific generation by the means values at the beginning of the cultivations and expressed as a percentage of activity or growth rate.</w:t>
      </w:r>
    </w:p>
    <w:p w14:paraId="6BBFD2EE" w14:textId="77777777" w:rsidR="00206ED8" w:rsidRDefault="00206ED8" w:rsidP="000D130D">
      <w:pPr>
        <w:spacing w:line="480" w:lineRule="auto"/>
        <w:rPr>
          <w:lang w:val="en-US"/>
        </w:rPr>
      </w:pPr>
    </w:p>
    <w:p w14:paraId="390BDF62" w14:textId="73761813" w:rsidR="00206ED8" w:rsidRPr="00206ED8" w:rsidRDefault="00DA179F" w:rsidP="000D130D">
      <w:pPr>
        <w:shd w:val="clear" w:color="auto" w:fill="FFFFFF"/>
        <w:spacing w:after="120" w:line="480" w:lineRule="auto"/>
        <w:jc w:val="both"/>
        <w:outlineLvl w:val="2"/>
        <w:rPr>
          <w:rFonts w:cs="Times New Roman"/>
          <w:sz w:val="24"/>
          <w:szCs w:val="24"/>
          <w:shd w:val="clear" w:color="auto" w:fill="FFFFFF"/>
          <w:lang w:val="en-US"/>
        </w:rPr>
      </w:pPr>
      <w:r>
        <w:rPr>
          <w:rFonts w:cs="Times New Roman"/>
          <w:b/>
          <w:sz w:val="24"/>
          <w:szCs w:val="24"/>
          <w:shd w:val="clear" w:color="auto" w:fill="FFFFFF"/>
          <w:lang w:val="en-US"/>
        </w:rPr>
        <w:t>Table S</w:t>
      </w:r>
      <w:r w:rsidR="00206ED8" w:rsidRPr="00206ED8">
        <w:rPr>
          <w:rFonts w:cs="Times New Roman"/>
          <w:b/>
          <w:sz w:val="24"/>
          <w:szCs w:val="24"/>
          <w:shd w:val="clear" w:color="auto" w:fill="FFFFFF"/>
          <w:lang w:val="en-US"/>
        </w:rPr>
        <w:t>2:</w:t>
      </w:r>
      <w:r w:rsidR="00206ED8" w:rsidRPr="00206ED8">
        <w:rPr>
          <w:rFonts w:cs="Times New Roman"/>
          <w:sz w:val="24"/>
          <w:szCs w:val="24"/>
          <w:shd w:val="clear" w:color="auto" w:fill="FFFFFF"/>
          <w:lang w:val="en-US"/>
        </w:rPr>
        <w:t xml:space="preserve"> </w:t>
      </w:r>
      <w:r w:rsidR="00206ED8" w:rsidRPr="00206ED8">
        <w:rPr>
          <w:rFonts w:cs="Times New Roman"/>
          <w:b/>
          <w:bCs/>
          <w:shd w:val="clear" w:color="auto" w:fill="FFFFFF"/>
          <w:lang w:val="en-US"/>
        </w:rPr>
        <w:t xml:space="preserve">Evolution </w:t>
      </w:r>
      <w:r>
        <w:rPr>
          <w:rFonts w:cs="Times New Roman"/>
          <w:b/>
          <w:bCs/>
          <w:shd w:val="clear" w:color="auto" w:fill="FFFFFF"/>
          <w:lang w:val="en-US"/>
        </w:rPr>
        <w:t xml:space="preserve">of the growth rate </w:t>
      </w:r>
      <w:r w:rsidR="00206ED8" w:rsidRPr="00206ED8">
        <w:rPr>
          <w:rFonts w:cs="Times New Roman"/>
          <w:b/>
          <w:bCs/>
          <w:shd w:val="clear" w:color="auto" w:fill="FFFFFF"/>
          <w:lang w:val="en-US"/>
        </w:rPr>
        <w:t>on glucose</w:t>
      </w:r>
      <w:r>
        <w:rPr>
          <w:rFonts w:cs="Times New Roman"/>
          <w:b/>
          <w:bCs/>
          <w:shd w:val="clear" w:color="auto" w:fill="FFFFFF"/>
          <w:lang w:val="en-US"/>
        </w:rPr>
        <w:t xml:space="preserve"> </w:t>
      </w:r>
      <w:r w:rsidRPr="00206ED8">
        <w:rPr>
          <w:rFonts w:cs="Times New Roman"/>
          <w:b/>
          <w:bCs/>
          <w:shd w:val="clear" w:color="auto" w:fill="FFFFFF"/>
          <w:lang w:val="en-US"/>
        </w:rPr>
        <w:t>along generations</w:t>
      </w:r>
      <w:r w:rsidR="00206ED8" w:rsidRPr="00206ED8">
        <w:rPr>
          <w:rFonts w:cs="Times New Roman"/>
          <w:b/>
          <w:bCs/>
          <w:shd w:val="clear" w:color="auto" w:fill="FFFFFF"/>
          <w:lang w:val="en-US"/>
        </w:rPr>
        <w:t xml:space="preserve"> and </w:t>
      </w:r>
      <w:r w:rsidRPr="00206ED8">
        <w:rPr>
          <w:rFonts w:cs="Times New Roman"/>
          <w:b/>
          <w:bCs/>
          <w:sz w:val="24"/>
          <w:szCs w:val="24"/>
          <w:shd w:val="clear" w:color="auto" w:fill="FFFFFF"/>
          <w:lang w:val="en-US"/>
        </w:rPr>
        <w:t>xylanase</w:t>
      </w:r>
      <w:r>
        <w:rPr>
          <w:rFonts w:cs="Times New Roman"/>
          <w:b/>
          <w:bCs/>
          <w:shd w:val="clear" w:color="auto" w:fill="FFFFFF"/>
          <w:lang w:val="en-US"/>
        </w:rPr>
        <w:t xml:space="preserve"> activity </w:t>
      </w:r>
      <w:r w:rsidR="00206ED8" w:rsidRPr="00206ED8">
        <w:rPr>
          <w:rFonts w:cs="Times New Roman"/>
          <w:b/>
          <w:bCs/>
          <w:shd w:val="clear" w:color="auto" w:fill="FFFFFF"/>
          <w:lang w:val="en-US"/>
        </w:rPr>
        <w:t xml:space="preserve">after carbon source switch to </w:t>
      </w:r>
      <w:proofErr w:type="spellStart"/>
      <w:r w:rsidR="00206ED8" w:rsidRPr="00206ED8">
        <w:rPr>
          <w:rFonts w:cs="Times New Roman"/>
          <w:b/>
          <w:bCs/>
          <w:shd w:val="clear" w:color="auto" w:fill="FFFFFF"/>
          <w:lang w:val="en-US"/>
        </w:rPr>
        <w:t>xylan</w:t>
      </w:r>
      <w:proofErr w:type="spellEnd"/>
      <w:r w:rsidR="00206ED8" w:rsidRPr="00206ED8">
        <w:rPr>
          <w:rFonts w:cs="Times New Roman"/>
          <w:b/>
          <w:bCs/>
          <w:sz w:val="24"/>
          <w:szCs w:val="24"/>
          <w:shd w:val="clear" w:color="auto" w:fill="FFFFFF"/>
          <w:lang w:val="en-US"/>
        </w:rPr>
        <w:t xml:space="preserve">. </w:t>
      </w:r>
    </w:p>
    <w:tbl>
      <w:tblPr>
        <w:tblStyle w:val="Tableausimple2"/>
        <w:tblW w:w="9905" w:type="dxa"/>
        <w:tblInd w:w="-709" w:type="dxa"/>
        <w:tblLayout w:type="fixed"/>
        <w:tblLook w:val="04A0" w:firstRow="1" w:lastRow="0" w:firstColumn="1" w:lastColumn="0" w:noHBand="0" w:noVBand="1"/>
      </w:tblPr>
      <w:tblGrid>
        <w:gridCol w:w="1304"/>
        <w:gridCol w:w="2274"/>
        <w:gridCol w:w="2141"/>
        <w:gridCol w:w="2102"/>
        <w:gridCol w:w="139"/>
        <w:gridCol w:w="1945"/>
      </w:tblGrid>
      <w:tr w:rsidR="00206ED8" w:rsidRPr="00206ED8" w14:paraId="34C18DC8" w14:textId="77777777" w:rsidTr="008622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4" w:type="dxa"/>
            <w:vAlign w:val="center"/>
          </w:tcPr>
          <w:p w14:paraId="1785943C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rPr>
                <w:rFonts w:cs="Times New Roman"/>
                <w:color w:val="auto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color w:val="auto"/>
                <w:shd w:val="clear" w:color="auto" w:fill="FFFFFF"/>
                <w:lang w:val="en-US"/>
              </w:rPr>
              <w:t>Number of generations</w:t>
            </w:r>
          </w:p>
        </w:tc>
        <w:tc>
          <w:tcPr>
            <w:tcW w:w="2274" w:type="dxa"/>
            <w:vAlign w:val="center"/>
          </w:tcPr>
          <w:p w14:paraId="7A948F45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color w:val="auto"/>
                <w:shd w:val="clear" w:color="auto" w:fill="FFFFFF"/>
                <w:lang w:val="en-US"/>
              </w:rPr>
              <w:t xml:space="preserve">Xylanase enzymatic activity (IU/mg) – Mean </w:t>
            </w:r>
            <w:r w:rsidRPr="00206ED8">
              <w:rPr>
                <w:rFonts w:cs="Times New Roman"/>
                <w:color w:val="auto"/>
                <w:lang w:val="en-US"/>
              </w:rPr>
              <w:t>± SD</w:t>
            </w:r>
          </w:p>
        </w:tc>
        <w:tc>
          <w:tcPr>
            <w:tcW w:w="2141" w:type="dxa"/>
            <w:vAlign w:val="center"/>
          </w:tcPr>
          <w:p w14:paraId="3049433A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color w:val="auto"/>
                <w:shd w:val="clear" w:color="auto" w:fill="FFFFFF"/>
                <w:lang w:val="en-US"/>
              </w:rPr>
              <w:t>Relative* xylanase enzymatic activity (%)</w:t>
            </w:r>
          </w:p>
        </w:tc>
        <w:tc>
          <w:tcPr>
            <w:tcW w:w="2241" w:type="dxa"/>
            <w:gridSpan w:val="2"/>
            <w:vAlign w:val="center"/>
          </w:tcPr>
          <w:p w14:paraId="05A4D6F9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color w:val="auto"/>
                <w:shd w:val="clear" w:color="auto" w:fill="FFFFFF"/>
                <w:lang w:val="en-US"/>
              </w:rPr>
              <w:t>Maximal growth rate (h</w:t>
            </w:r>
            <w:r w:rsidRPr="00206ED8">
              <w:rPr>
                <w:rFonts w:cs="Times New Roman"/>
                <w:color w:val="auto"/>
                <w:shd w:val="clear" w:color="auto" w:fill="FFFFFF"/>
                <w:vertAlign w:val="superscript"/>
                <w:lang w:val="en-US"/>
              </w:rPr>
              <w:t>-1</w:t>
            </w:r>
            <w:r w:rsidRPr="00206ED8">
              <w:rPr>
                <w:rFonts w:cs="Times New Roman"/>
                <w:color w:val="auto"/>
                <w:shd w:val="clear" w:color="auto" w:fill="FFFFFF"/>
                <w:lang w:val="en-US"/>
              </w:rPr>
              <w:t xml:space="preserve">) – </w:t>
            </w:r>
            <w:r w:rsidRPr="00206ED8">
              <w:rPr>
                <w:rFonts w:cs="Times New Roman"/>
                <w:color w:val="auto"/>
                <w:shd w:val="clear" w:color="auto" w:fill="FFFFFF"/>
                <w:lang w:val="en-US"/>
              </w:rPr>
              <w:br/>
              <w:t xml:space="preserve">Mean </w:t>
            </w:r>
            <w:r w:rsidRPr="00206ED8">
              <w:rPr>
                <w:rFonts w:cs="Times New Roman"/>
                <w:color w:val="auto"/>
                <w:lang w:val="en-US"/>
              </w:rPr>
              <w:t>± SD</w:t>
            </w:r>
          </w:p>
        </w:tc>
        <w:tc>
          <w:tcPr>
            <w:tcW w:w="1945" w:type="dxa"/>
            <w:vAlign w:val="center"/>
          </w:tcPr>
          <w:p w14:paraId="1FD7CC33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color w:val="auto"/>
                <w:shd w:val="clear" w:color="auto" w:fill="FFFFFF"/>
                <w:lang w:val="en-US"/>
              </w:rPr>
              <w:t>Relative* maximal growth rate (%)</w:t>
            </w:r>
          </w:p>
        </w:tc>
      </w:tr>
      <w:tr w:rsidR="00206ED8" w:rsidRPr="00206ED8" w14:paraId="2A2ECC7C" w14:textId="77777777" w:rsidTr="008622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4" w:type="dxa"/>
          </w:tcPr>
          <w:p w14:paraId="0068EF8D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rPr>
                <w:rFonts w:cs="Times New Roman"/>
                <w:color w:val="auto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color w:val="auto"/>
                <w:shd w:val="clear" w:color="auto" w:fill="FFFFFF"/>
                <w:lang w:val="en-US"/>
              </w:rPr>
              <w:t>0</w:t>
            </w:r>
          </w:p>
        </w:tc>
        <w:tc>
          <w:tcPr>
            <w:tcW w:w="2274" w:type="dxa"/>
          </w:tcPr>
          <w:p w14:paraId="54BAA90C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217.07 ± 84.20</w:t>
            </w:r>
          </w:p>
        </w:tc>
        <w:tc>
          <w:tcPr>
            <w:tcW w:w="2141" w:type="dxa"/>
          </w:tcPr>
          <w:p w14:paraId="17F40D60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100</w:t>
            </w:r>
          </w:p>
        </w:tc>
        <w:tc>
          <w:tcPr>
            <w:tcW w:w="2102" w:type="dxa"/>
          </w:tcPr>
          <w:p w14:paraId="08B1DFD7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0.87 ± 0.05</w:t>
            </w:r>
          </w:p>
        </w:tc>
        <w:tc>
          <w:tcPr>
            <w:tcW w:w="2084" w:type="dxa"/>
            <w:gridSpan w:val="2"/>
          </w:tcPr>
          <w:p w14:paraId="2AE4E4EB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100</w:t>
            </w:r>
          </w:p>
        </w:tc>
      </w:tr>
      <w:tr w:rsidR="00206ED8" w:rsidRPr="00206ED8" w14:paraId="35814B33" w14:textId="77777777" w:rsidTr="008622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4" w:type="dxa"/>
          </w:tcPr>
          <w:p w14:paraId="606784F7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rPr>
                <w:rFonts w:cs="Times New Roman"/>
                <w:color w:val="auto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color w:val="auto"/>
                <w:shd w:val="clear" w:color="auto" w:fill="FFFFFF"/>
                <w:lang w:val="en-US"/>
              </w:rPr>
              <w:t>23.9</w:t>
            </w:r>
          </w:p>
        </w:tc>
        <w:tc>
          <w:tcPr>
            <w:tcW w:w="2274" w:type="dxa"/>
          </w:tcPr>
          <w:p w14:paraId="7E64E25A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196.48 ± 38.31</w:t>
            </w:r>
          </w:p>
        </w:tc>
        <w:tc>
          <w:tcPr>
            <w:tcW w:w="2141" w:type="dxa"/>
          </w:tcPr>
          <w:p w14:paraId="7F4C82BD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91</w:t>
            </w:r>
          </w:p>
        </w:tc>
        <w:tc>
          <w:tcPr>
            <w:tcW w:w="2102" w:type="dxa"/>
          </w:tcPr>
          <w:p w14:paraId="35408A2B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0.63 ± 0.05</w:t>
            </w:r>
          </w:p>
        </w:tc>
        <w:tc>
          <w:tcPr>
            <w:tcW w:w="2084" w:type="dxa"/>
            <w:gridSpan w:val="2"/>
          </w:tcPr>
          <w:p w14:paraId="080150B1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72</w:t>
            </w:r>
          </w:p>
        </w:tc>
      </w:tr>
      <w:tr w:rsidR="00206ED8" w:rsidRPr="00206ED8" w14:paraId="7C522F9C" w14:textId="77777777" w:rsidTr="008622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4" w:type="dxa"/>
          </w:tcPr>
          <w:p w14:paraId="3C2EC682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rPr>
                <w:rFonts w:cs="Times New Roman"/>
                <w:color w:val="auto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color w:val="auto"/>
                <w:shd w:val="clear" w:color="auto" w:fill="FFFFFF"/>
                <w:lang w:val="en-US"/>
              </w:rPr>
              <w:t>42.7</w:t>
            </w:r>
          </w:p>
        </w:tc>
        <w:tc>
          <w:tcPr>
            <w:tcW w:w="2274" w:type="dxa"/>
          </w:tcPr>
          <w:p w14:paraId="6982410A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346.99 ± 47.07</w:t>
            </w:r>
          </w:p>
        </w:tc>
        <w:tc>
          <w:tcPr>
            <w:tcW w:w="2141" w:type="dxa"/>
          </w:tcPr>
          <w:p w14:paraId="45061857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160</w:t>
            </w:r>
          </w:p>
        </w:tc>
        <w:tc>
          <w:tcPr>
            <w:tcW w:w="2102" w:type="dxa"/>
          </w:tcPr>
          <w:p w14:paraId="15E0972D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0.68 ± 0.11</w:t>
            </w:r>
          </w:p>
        </w:tc>
        <w:tc>
          <w:tcPr>
            <w:tcW w:w="2084" w:type="dxa"/>
            <w:gridSpan w:val="2"/>
          </w:tcPr>
          <w:p w14:paraId="64145D75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78</w:t>
            </w:r>
          </w:p>
        </w:tc>
      </w:tr>
      <w:tr w:rsidR="00206ED8" w:rsidRPr="00206ED8" w14:paraId="2954B44B" w14:textId="77777777" w:rsidTr="008622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4" w:type="dxa"/>
          </w:tcPr>
          <w:p w14:paraId="77F97944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rPr>
                <w:rFonts w:cs="Times New Roman"/>
                <w:color w:val="auto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color w:val="auto"/>
                <w:shd w:val="clear" w:color="auto" w:fill="FFFFFF"/>
                <w:lang w:val="en-US"/>
              </w:rPr>
              <w:t>62.9</w:t>
            </w:r>
          </w:p>
        </w:tc>
        <w:tc>
          <w:tcPr>
            <w:tcW w:w="2274" w:type="dxa"/>
          </w:tcPr>
          <w:p w14:paraId="38AE20D0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260.62 ± 56.87</w:t>
            </w:r>
          </w:p>
        </w:tc>
        <w:tc>
          <w:tcPr>
            <w:tcW w:w="2141" w:type="dxa"/>
          </w:tcPr>
          <w:p w14:paraId="0B2D8FD3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120</w:t>
            </w:r>
          </w:p>
        </w:tc>
        <w:tc>
          <w:tcPr>
            <w:tcW w:w="2102" w:type="dxa"/>
          </w:tcPr>
          <w:p w14:paraId="6DF35755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0.61 ± 0.14</w:t>
            </w:r>
          </w:p>
        </w:tc>
        <w:tc>
          <w:tcPr>
            <w:tcW w:w="2084" w:type="dxa"/>
            <w:gridSpan w:val="2"/>
          </w:tcPr>
          <w:p w14:paraId="2B6A553C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69</w:t>
            </w:r>
          </w:p>
        </w:tc>
      </w:tr>
      <w:tr w:rsidR="00206ED8" w:rsidRPr="00206ED8" w14:paraId="7918F734" w14:textId="77777777" w:rsidTr="008622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4" w:type="dxa"/>
          </w:tcPr>
          <w:p w14:paraId="31955E64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rPr>
                <w:rFonts w:cs="Times New Roman"/>
                <w:color w:val="auto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color w:val="auto"/>
                <w:shd w:val="clear" w:color="auto" w:fill="FFFFFF"/>
                <w:lang w:val="en-US"/>
              </w:rPr>
              <w:t>79.9</w:t>
            </w:r>
          </w:p>
        </w:tc>
        <w:tc>
          <w:tcPr>
            <w:tcW w:w="2274" w:type="dxa"/>
          </w:tcPr>
          <w:p w14:paraId="4A52DE32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288.55 ± 10.70</w:t>
            </w:r>
          </w:p>
        </w:tc>
        <w:tc>
          <w:tcPr>
            <w:tcW w:w="2141" w:type="dxa"/>
          </w:tcPr>
          <w:p w14:paraId="68230305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133</w:t>
            </w:r>
          </w:p>
        </w:tc>
        <w:tc>
          <w:tcPr>
            <w:tcW w:w="2102" w:type="dxa"/>
          </w:tcPr>
          <w:p w14:paraId="2237D55F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0.80 ± 0.14</w:t>
            </w:r>
          </w:p>
        </w:tc>
        <w:tc>
          <w:tcPr>
            <w:tcW w:w="2084" w:type="dxa"/>
            <w:gridSpan w:val="2"/>
          </w:tcPr>
          <w:p w14:paraId="53016F55" w14:textId="77777777" w:rsidR="00206ED8" w:rsidRPr="00206ED8" w:rsidRDefault="00206ED8" w:rsidP="000D1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hd w:val="clear" w:color="auto" w:fill="FFFFFF"/>
                <w:lang w:val="en-US"/>
              </w:rPr>
            </w:pPr>
            <w:r w:rsidRPr="00206ED8">
              <w:rPr>
                <w:rFonts w:cs="Times New Roman"/>
                <w:shd w:val="clear" w:color="auto" w:fill="FFFFFF"/>
                <w:lang w:val="en-US"/>
              </w:rPr>
              <w:t>91</w:t>
            </w:r>
          </w:p>
        </w:tc>
      </w:tr>
    </w:tbl>
    <w:p w14:paraId="4DD0723D" w14:textId="77777777" w:rsidR="00206ED8" w:rsidRPr="006E63DE" w:rsidRDefault="00206ED8" w:rsidP="000D130D">
      <w:pPr>
        <w:spacing w:line="480" w:lineRule="auto"/>
        <w:rPr>
          <w:rFonts w:cs="Times New Roman"/>
          <w:lang w:val="en-US"/>
        </w:rPr>
      </w:pPr>
      <w:r w:rsidRPr="00206ED8">
        <w:rPr>
          <w:rFonts w:cs="Times New Roman"/>
          <w:lang w:val="en-US"/>
        </w:rPr>
        <w:lastRenderedPageBreak/>
        <w:t>* The relative values were calculated by reporting the means values of a specific generation by the means values at the beginning of the cultivations and expressed as a percentage of activity or growth rate.</w:t>
      </w:r>
    </w:p>
    <w:p w14:paraId="50BB5AD0" w14:textId="728C7AF6" w:rsidR="00206ED8" w:rsidRDefault="00206ED8" w:rsidP="000D130D">
      <w:pPr>
        <w:spacing w:line="480" w:lineRule="auto"/>
        <w:rPr>
          <w:lang w:val="en-US"/>
        </w:rPr>
      </w:pPr>
    </w:p>
    <w:p w14:paraId="125629FE" w14:textId="3F3F6FD8" w:rsidR="00BE0BBF" w:rsidRDefault="00BE0BBF" w:rsidP="000D130D">
      <w:pPr>
        <w:spacing w:line="480" w:lineRule="auto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4108130" wp14:editId="26CDC65C">
            <wp:extent cx="5760720" cy="305244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5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B28E30" w14:textId="78E7ACA6" w:rsidR="00BE0BBF" w:rsidRPr="000D130D" w:rsidRDefault="00BE0BBF" w:rsidP="000D130D">
      <w:pPr>
        <w:spacing w:line="480" w:lineRule="auto"/>
        <w:rPr>
          <w:b/>
          <w:bCs/>
          <w:sz w:val="24"/>
          <w:szCs w:val="24"/>
          <w:lang w:val="en-US"/>
        </w:rPr>
      </w:pPr>
      <w:r w:rsidRPr="000D130D">
        <w:rPr>
          <w:b/>
          <w:bCs/>
          <w:sz w:val="24"/>
          <w:szCs w:val="24"/>
          <w:lang w:val="en-US"/>
        </w:rPr>
        <w:t xml:space="preserve">Figure S1: Comparison between </w:t>
      </w:r>
      <w:r w:rsidR="000D130D" w:rsidRPr="000D130D">
        <w:rPr>
          <w:b/>
          <w:bCs/>
          <w:i/>
          <w:iCs/>
          <w:sz w:val="24"/>
          <w:szCs w:val="24"/>
          <w:lang w:val="en-US"/>
        </w:rPr>
        <w:t>tx-xyn11</w:t>
      </w:r>
      <w:r w:rsidR="000D130D" w:rsidRPr="000D130D">
        <w:rPr>
          <w:b/>
          <w:bCs/>
          <w:sz w:val="24"/>
          <w:szCs w:val="24"/>
          <w:lang w:val="en-US"/>
        </w:rPr>
        <w:t xml:space="preserve"> gene expression level between cultivations on glucose and </w:t>
      </w:r>
      <w:proofErr w:type="spellStart"/>
      <w:r w:rsidR="000D130D" w:rsidRPr="000D130D">
        <w:rPr>
          <w:b/>
          <w:bCs/>
          <w:sz w:val="24"/>
          <w:szCs w:val="24"/>
          <w:lang w:val="en-US"/>
        </w:rPr>
        <w:t>xylan</w:t>
      </w:r>
      <w:proofErr w:type="spellEnd"/>
      <w:r w:rsidR="000D130D" w:rsidRPr="000D130D">
        <w:rPr>
          <w:b/>
          <w:bCs/>
          <w:sz w:val="24"/>
          <w:szCs w:val="24"/>
          <w:lang w:val="en-US"/>
        </w:rPr>
        <w:t>.</w:t>
      </w:r>
    </w:p>
    <w:p w14:paraId="3E97B06F" w14:textId="77777777" w:rsidR="00F57193" w:rsidRPr="00DA179F" w:rsidRDefault="000D130D">
      <w:pPr>
        <w:rPr>
          <w:lang w:val="en-US"/>
        </w:rPr>
      </w:pPr>
    </w:p>
    <w:sectPr w:rsidR="00F57193" w:rsidRPr="00DA17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6ED8"/>
    <w:rsid w:val="000D130D"/>
    <w:rsid w:val="00183835"/>
    <w:rsid w:val="00206ED8"/>
    <w:rsid w:val="00AC39B8"/>
    <w:rsid w:val="00BE0BBF"/>
    <w:rsid w:val="00DA1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F1FEA"/>
  <w15:chartTrackingRefBased/>
  <w15:docId w15:val="{EE4C0CB4-FF4D-4562-BFC1-7C31F1BE4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59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6ED8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line="360" w:lineRule="auto"/>
    </w:pPr>
    <w:rPr>
      <w:rFonts w:ascii="Times New Roman" w:eastAsia="Calibri" w:hAnsi="Times New Roman" w:cs="Calibri"/>
      <w:lang w:val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ableausimple2">
    <w:name w:val="Plain Table 2"/>
    <w:basedOn w:val="TableauNormal"/>
    <w:uiPriority w:val="59"/>
    <w:rsid w:val="00206ED8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Calibri" w:eastAsia="Calibri" w:hAnsi="Calibri" w:cs="Calibri"/>
      <w:lang w:val="fr-BE"/>
    </w:r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paragraph" w:styleId="Commentaire">
    <w:name w:val="annotation text"/>
    <w:basedOn w:val="Normal"/>
    <w:link w:val="CommentaireCar"/>
    <w:uiPriority w:val="99"/>
    <w:semiHidden/>
    <w:unhideWhenUsed/>
    <w:rsid w:val="00206ED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06ED8"/>
    <w:rPr>
      <w:rFonts w:ascii="Times New Roman" w:eastAsia="Calibri" w:hAnsi="Times New Roman" w:cs="Calibri"/>
      <w:sz w:val="20"/>
      <w:szCs w:val="20"/>
      <w:lang w:val="fr-BE"/>
    </w:rPr>
  </w:style>
  <w:style w:type="character" w:styleId="Marquedecommentaire">
    <w:name w:val="annotation reference"/>
    <w:basedOn w:val="Policepardfaut"/>
    <w:uiPriority w:val="99"/>
    <w:semiHidden/>
    <w:unhideWhenUsed/>
    <w:rsid w:val="00206ED8"/>
    <w:rPr>
      <w:sz w:val="16"/>
      <w:szCs w:val="1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06E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06ED8"/>
    <w:rPr>
      <w:rFonts w:ascii="Segoe UI" w:eastAsia="Calibri" w:hAnsi="Segoe UI" w:cs="Segoe UI"/>
      <w:sz w:val="18"/>
      <w:szCs w:val="18"/>
      <w:lang w:val="fr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232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NP-</dc:creator>
  <cp:keywords/>
  <dc:description/>
  <cp:lastModifiedBy>Elodie SMEETS</cp:lastModifiedBy>
  <cp:revision>3</cp:revision>
  <dcterms:created xsi:type="dcterms:W3CDTF">2021-10-19T09:51:00Z</dcterms:created>
  <dcterms:modified xsi:type="dcterms:W3CDTF">2021-10-30T07:33:00Z</dcterms:modified>
</cp:coreProperties>
</file>