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59660" w14:textId="0EDA21FB" w:rsidR="00353C59" w:rsidRPr="00353C59" w:rsidRDefault="00353C59" w:rsidP="00353C59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353C59">
        <w:rPr>
          <w:rFonts w:ascii="Calibri" w:hAnsi="Calibri" w:cs="Calibri"/>
          <w:b/>
          <w:bCs/>
          <w:color w:val="000000" w:themeColor="text1"/>
          <w:sz w:val="32"/>
          <w:szCs w:val="32"/>
        </w:rPr>
        <w:t>Supplementary Information</w:t>
      </w:r>
    </w:p>
    <w:p w14:paraId="663B7731" w14:textId="10223D47" w:rsidR="00353C59" w:rsidRDefault="00353C59" w:rsidP="00353C59">
      <w:pPr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Interneurons in the subplate are associated with</w:t>
      </w:r>
      <w:r w:rsidRPr="006B2E2F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3C2B1C">
        <w:rPr>
          <w:rFonts w:ascii="Calibri" w:hAnsi="Calibri" w:cs="Calibri"/>
          <w:b/>
          <w:bCs/>
          <w:color w:val="000000" w:themeColor="text1"/>
        </w:rPr>
        <w:t>cortical maturation</w:t>
      </w:r>
      <w:r w:rsidRPr="006B2E2F">
        <w:rPr>
          <w:rFonts w:ascii="Calibri" w:hAnsi="Calibri" w:cs="Calibri"/>
          <w:b/>
          <w:bCs/>
          <w:color w:val="000000" w:themeColor="text1"/>
        </w:rPr>
        <w:t xml:space="preserve"> across the foetal </w:t>
      </w:r>
      <w:r w:rsidRPr="003C2B1C">
        <w:rPr>
          <w:rFonts w:ascii="Calibri" w:hAnsi="Calibri" w:cs="Calibri"/>
          <w:b/>
          <w:bCs/>
          <w:color w:val="000000" w:themeColor="text1"/>
        </w:rPr>
        <w:t xml:space="preserve">human </w:t>
      </w:r>
      <w:r>
        <w:rPr>
          <w:rFonts w:ascii="Calibri" w:hAnsi="Calibri" w:cs="Calibri"/>
          <w:b/>
          <w:bCs/>
          <w:color w:val="000000" w:themeColor="text1"/>
        </w:rPr>
        <w:t>cortex</w:t>
      </w:r>
    </w:p>
    <w:p w14:paraId="12587DF4" w14:textId="34C64355" w:rsidR="00353C59" w:rsidRDefault="00353C59" w:rsidP="00353C59">
      <w:pPr>
        <w:jc w:val="center"/>
        <w:rPr>
          <w:rFonts w:ascii="Calibri" w:hAnsi="Calibri" w:cs="Calibri"/>
          <w:color w:val="000000" w:themeColor="text1"/>
          <w:vertAlign w:val="superscript"/>
          <w:lang w:val="es-ES_tradnl"/>
        </w:rPr>
      </w:pPr>
      <w:r>
        <w:rPr>
          <w:rFonts w:ascii="Calibri" w:hAnsi="Calibri" w:cs="Calibri"/>
          <w:noProof/>
        </w:rPr>
        <w:object w:dxaOrig="10341" w:dyaOrig="12403" w14:anchorId="61CD5E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6.95pt;margin-top:30.4pt;width:516.5pt;height:619.65pt;z-index:-251658752;mso-position-horizontal-relative:text;mso-position-vertical-relative:text">
            <v:imagedata r:id="rId6" o:title=""/>
          </v:shape>
          <o:OLEObject Type="Embed" ProgID="Prism10.Document" ShapeID="_x0000_s1026" DrawAspect="Content" ObjectID="_1845378672" r:id="rId7"/>
        </w:object>
      </w:r>
      <w:r w:rsidRPr="00D53629">
        <w:rPr>
          <w:rFonts w:ascii="Calibri" w:hAnsi="Calibri" w:cs="Calibri"/>
          <w:color w:val="000000" w:themeColor="text1"/>
          <w:lang w:val="es-ES_tradnl"/>
        </w:rPr>
        <w:t>Gabriela Epihova</w:t>
      </w:r>
      <w:r w:rsidRPr="00D53629">
        <w:rPr>
          <w:rFonts w:ascii="Calibri" w:hAnsi="Calibri" w:cs="Calibri"/>
          <w:color w:val="000000" w:themeColor="text1"/>
          <w:vertAlign w:val="superscript"/>
          <w:lang w:val="es-ES_tradnl"/>
        </w:rPr>
        <w:t>1</w:t>
      </w:r>
      <w:r w:rsidRPr="00D53629">
        <w:rPr>
          <w:rFonts w:ascii="Calibri" w:hAnsi="Calibri" w:cs="Calibri"/>
          <w:color w:val="000000" w:themeColor="text1"/>
          <w:lang w:val="es-ES_tradnl"/>
        </w:rPr>
        <w:t>*,</w:t>
      </w:r>
      <w:r w:rsidRPr="00D53629">
        <w:rPr>
          <w:rFonts w:ascii="Calibri" w:hAnsi="Calibri" w:cs="Calibri"/>
          <w:color w:val="000000" w:themeColor="text1"/>
        </w:rPr>
        <w:t xml:space="preserve"> </w:t>
      </w:r>
      <w:r w:rsidRPr="00D53629">
        <w:rPr>
          <w:rFonts w:ascii="Calibri" w:hAnsi="Calibri" w:cs="Calibri"/>
          <w:color w:val="000000" w:themeColor="text1"/>
          <w:lang w:val="es-ES_tradnl"/>
        </w:rPr>
        <w:t>Duncan E. Astle</w:t>
      </w:r>
      <w:r w:rsidRPr="00D53629">
        <w:rPr>
          <w:rFonts w:ascii="Calibri" w:hAnsi="Calibri" w:cs="Calibri"/>
          <w:color w:val="000000" w:themeColor="text1"/>
          <w:vertAlign w:val="superscript"/>
          <w:lang w:val="es-ES_tradnl"/>
        </w:rPr>
        <w:t>1,2</w:t>
      </w:r>
    </w:p>
    <w:p w14:paraId="67E4A360" w14:textId="650CBD47" w:rsidR="00353C59" w:rsidRPr="00D53629" w:rsidRDefault="00353C59" w:rsidP="00353C59">
      <w:pPr>
        <w:jc w:val="center"/>
        <w:rPr>
          <w:rFonts w:ascii="Calibri" w:hAnsi="Calibri" w:cs="Calibri"/>
          <w:color w:val="000000" w:themeColor="text1"/>
          <w:vertAlign w:val="superscript"/>
          <w:lang w:val="es-ES_tradnl"/>
        </w:rPr>
      </w:pPr>
    </w:p>
    <w:p w14:paraId="1E412844" w14:textId="7701AE32" w:rsidR="00353C59" w:rsidRDefault="00F565E2">
      <w:pPr>
        <w:rPr>
          <w:rFonts w:ascii="Calibri" w:hAnsi="Calibri" w:cs="Calibri"/>
          <w:b/>
          <w:bCs/>
          <w:sz w:val="22"/>
          <w:szCs w:val="22"/>
        </w:rPr>
      </w:pP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  <w:r w:rsidRPr="00F565E2">
        <w:rPr>
          <w:rFonts w:ascii="Calibri" w:hAnsi="Calibri" w:cs="Calibri"/>
          <w:b/>
          <w:bCs/>
        </w:rPr>
        <w:br/>
      </w:r>
    </w:p>
    <w:p w14:paraId="1055FFC6" w14:textId="77777777" w:rsidR="00353C59" w:rsidRDefault="00353C59">
      <w:pPr>
        <w:rPr>
          <w:rFonts w:ascii="Calibri" w:hAnsi="Calibri" w:cs="Calibri"/>
          <w:b/>
          <w:bCs/>
          <w:sz w:val="22"/>
          <w:szCs w:val="22"/>
        </w:rPr>
      </w:pPr>
    </w:p>
    <w:p w14:paraId="54DEE767" w14:textId="77777777" w:rsidR="00353C59" w:rsidRDefault="00353C59">
      <w:pPr>
        <w:rPr>
          <w:rFonts w:ascii="Calibri" w:hAnsi="Calibri" w:cs="Calibri"/>
          <w:b/>
          <w:bCs/>
          <w:sz w:val="22"/>
          <w:szCs w:val="22"/>
        </w:rPr>
      </w:pPr>
    </w:p>
    <w:p w14:paraId="26CC5D4C" w14:textId="525BEC6B" w:rsidR="009A5322" w:rsidRPr="00353C59" w:rsidRDefault="00F565E2">
      <w:pPr>
        <w:rPr>
          <w:rFonts w:ascii="Calibri" w:hAnsi="Calibri" w:cs="Calibri"/>
          <w:sz w:val="22"/>
          <w:szCs w:val="22"/>
        </w:rPr>
      </w:pPr>
      <w:r w:rsidRPr="00353C59">
        <w:rPr>
          <w:rFonts w:ascii="Calibri" w:hAnsi="Calibri" w:cs="Calibri"/>
          <w:b/>
          <w:bCs/>
          <w:sz w:val="22"/>
          <w:szCs w:val="22"/>
        </w:rPr>
        <w:lastRenderedPageBreak/>
        <w:t xml:space="preserve">Supplementary Figure 1. </w:t>
      </w:r>
      <w:r w:rsidRPr="00353C59">
        <w:rPr>
          <w:rFonts w:ascii="Calibri" w:hAnsi="Calibri" w:cs="Calibri"/>
          <w:sz w:val="22"/>
          <w:szCs w:val="22"/>
        </w:rPr>
        <w:t>Correlation matrices representing the correlation between the expression levels of 6 inhibitory markers genes (</w:t>
      </w:r>
      <w:r w:rsidRPr="00353C59">
        <w:rPr>
          <w:rFonts w:ascii="Calibri" w:hAnsi="Calibri" w:cs="Calibri"/>
          <w:i/>
          <w:iCs/>
          <w:sz w:val="22"/>
          <w:szCs w:val="22"/>
        </w:rPr>
        <w:t xml:space="preserve">DLX1, DLX2, GAD1, GAD2, SST, LHX6) </w:t>
      </w:r>
      <w:r w:rsidRPr="00353C59">
        <w:rPr>
          <w:rFonts w:ascii="Calibri" w:hAnsi="Calibri" w:cs="Calibri"/>
          <w:sz w:val="22"/>
          <w:szCs w:val="22"/>
        </w:rPr>
        <w:t>across cortical regions within each transient layer of each s</w:t>
      </w:r>
      <w:r w:rsidR="00353C59">
        <w:rPr>
          <w:rFonts w:ascii="Calibri" w:hAnsi="Calibri" w:cs="Calibri"/>
          <w:sz w:val="22"/>
          <w:szCs w:val="22"/>
        </w:rPr>
        <w:t>pecimen</w:t>
      </w:r>
      <w:r w:rsidRPr="00353C59">
        <w:rPr>
          <w:rFonts w:ascii="Calibri" w:hAnsi="Calibri" w:cs="Calibri"/>
          <w:sz w:val="22"/>
          <w:szCs w:val="22"/>
        </w:rPr>
        <w:t xml:space="preserve">. </w:t>
      </w:r>
      <w:r w:rsidR="0055291D" w:rsidRPr="00353C59">
        <w:rPr>
          <w:rFonts w:ascii="Calibri" w:hAnsi="Calibri" w:cs="Calibri"/>
          <w:sz w:val="22"/>
          <w:szCs w:val="22"/>
        </w:rPr>
        <w:t xml:space="preserve">Overall, the expression pattern of </w:t>
      </w:r>
      <w:r w:rsidR="0055291D" w:rsidRPr="00353C59">
        <w:rPr>
          <w:rFonts w:ascii="Calibri" w:hAnsi="Calibri" w:cs="Calibri"/>
          <w:i/>
          <w:iCs/>
          <w:sz w:val="22"/>
          <w:szCs w:val="22"/>
        </w:rPr>
        <w:t xml:space="preserve">GAD1 </w:t>
      </w:r>
      <w:r w:rsidR="0055291D" w:rsidRPr="00353C59">
        <w:rPr>
          <w:rFonts w:ascii="Calibri" w:hAnsi="Calibri" w:cs="Calibri"/>
          <w:sz w:val="22"/>
          <w:szCs w:val="22"/>
        </w:rPr>
        <w:t xml:space="preserve">and </w:t>
      </w:r>
      <w:r w:rsidR="0055291D" w:rsidRPr="00353C59">
        <w:rPr>
          <w:rFonts w:ascii="Calibri" w:hAnsi="Calibri" w:cs="Calibri"/>
          <w:i/>
          <w:iCs/>
          <w:sz w:val="22"/>
          <w:szCs w:val="22"/>
        </w:rPr>
        <w:t>GAD2</w:t>
      </w:r>
      <w:r w:rsidR="0055291D" w:rsidRPr="00353C59">
        <w:rPr>
          <w:rFonts w:ascii="Calibri" w:hAnsi="Calibri" w:cs="Calibri"/>
          <w:sz w:val="22"/>
          <w:szCs w:val="22"/>
        </w:rPr>
        <w:t xml:space="preserve"> did not correlate strongly with the rest of the inhibitory markers genes across the majority of subjects and layers, whereas </w:t>
      </w:r>
      <w:r w:rsidR="0055291D" w:rsidRPr="00353C59">
        <w:rPr>
          <w:rFonts w:ascii="Calibri" w:hAnsi="Calibri" w:cs="Calibri"/>
          <w:i/>
          <w:iCs/>
          <w:sz w:val="22"/>
          <w:szCs w:val="22"/>
        </w:rPr>
        <w:t>DLX1, DLX2, SST</w:t>
      </w:r>
      <w:r w:rsidR="0055291D" w:rsidRPr="00353C59">
        <w:rPr>
          <w:rFonts w:ascii="Calibri" w:hAnsi="Calibri" w:cs="Calibri"/>
          <w:sz w:val="22"/>
          <w:szCs w:val="22"/>
        </w:rPr>
        <w:t xml:space="preserve"> and </w:t>
      </w:r>
      <w:r w:rsidR="0055291D" w:rsidRPr="00353C59">
        <w:rPr>
          <w:rFonts w:ascii="Calibri" w:hAnsi="Calibri" w:cs="Calibri"/>
          <w:i/>
          <w:iCs/>
          <w:sz w:val="22"/>
          <w:szCs w:val="22"/>
        </w:rPr>
        <w:t>LHX6</w:t>
      </w:r>
      <w:r w:rsidR="0055291D" w:rsidRPr="00353C59">
        <w:rPr>
          <w:rFonts w:ascii="Calibri" w:hAnsi="Calibri" w:cs="Calibri"/>
          <w:sz w:val="22"/>
          <w:szCs w:val="22"/>
        </w:rPr>
        <w:t xml:space="preserve"> showed strong positive correlations among them.</w:t>
      </w:r>
    </w:p>
    <w:p w14:paraId="7EC0E9C4" w14:textId="77777777" w:rsidR="00EB0A47" w:rsidRPr="00353C59" w:rsidRDefault="00EB0A47">
      <w:pPr>
        <w:rPr>
          <w:rFonts w:ascii="Calibri" w:hAnsi="Calibri" w:cs="Calibri"/>
          <w:sz w:val="22"/>
          <w:szCs w:val="22"/>
        </w:rPr>
      </w:pPr>
    </w:p>
    <w:p w14:paraId="09455BEB" w14:textId="0E3CABFB" w:rsidR="00EB0A47" w:rsidRPr="00F565E2" w:rsidRDefault="003E6530">
      <w:pPr>
        <w:rPr>
          <w:rFonts w:ascii="Calibri" w:hAnsi="Calibri" w:cs="Calibri"/>
          <w:b/>
          <w:bCs/>
        </w:rPr>
      </w:pPr>
      <w:r w:rsidRPr="00353C59">
        <w:rPr>
          <w:rFonts w:ascii="Calibri" w:hAnsi="Calibri" w:cs="Calibri"/>
          <w:b/>
          <w:bCs/>
          <w:sz w:val="22"/>
          <w:szCs w:val="22"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</w:r>
    </w:p>
    <w:sectPr w:rsidR="00EB0A47" w:rsidRPr="00F565E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64144" w14:textId="77777777" w:rsidR="00A33BFB" w:rsidRDefault="00A33BFB" w:rsidP="00353C59">
      <w:pPr>
        <w:spacing w:after="0" w:line="240" w:lineRule="auto"/>
      </w:pPr>
      <w:r>
        <w:separator/>
      </w:r>
    </w:p>
  </w:endnote>
  <w:endnote w:type="continuationSeparator" w:id="0">
    <w:p w14:paraId="7C2E5D94" w14:textId="77777777" w:rsidR="00A33BFB" w:rsidRDefault="00A33BFB" w:rsidP="0035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17379" w14:textId="77777777" w:rsidR="00353C59" w:rsidRDefault="0035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BD4E8" w14:textId="77777777" w:rsidR="00A33BFB" w:rsidRDefault="00A33BFB" w:rsidP="00353C59">
      <w:pPr>
        <w:spacing w:after="0" w:line="240" w:lineRule="auto"/>
      </w:pPr>
      <w:r>
        <w:separator/>
      </w:r>
    </w:p>
  </w:footnote>
  <w:footnote w:type="continuationSeparator" w:id="0">
    <w:p w14:paraId="50440D84" w14:textId="77777777" w:rsidR="00A33BFB" w:rsidRDefault="00A33BFB" w:rsidP="00353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2"/>
    <w:rsid w:val="001749B1"/>
    <w:rsid w:val="002342A2"/>
    <w:rsid w:val="00353C59"/>
    <w:rsid w:val="003E6530"/>
    <w:rsid w:val="00450DE1"/>
    <w:rsid w:val="0055291D"/>
    <w:rsid w:val="006F77E6"/>
    <w:rsid w:val="00785B9A"/>
    <w:rsid w:val="007C7CAC"/>
    <w:rsid w:val="007F1F02"/>
    <w:rsid w:val="009A5322"/>
    <w:rsid w:val="00A33BFB"/>
    <w:rsid w:val="00A84AF6"/>
    <w:rsid w:val="00EB0A47"/>
    <w:rsid w:val="00F5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1319180"/>
  <w15:chartTrackingRefBased/>
  <w15:docId w15:val="{BB082D85-963B-4056-BB0B-AE53BCFE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2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2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2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2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2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2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2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2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2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2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2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3C5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3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C59"/>
  </w:style>
  <w:style w:type="paragraph" w:styleId="Footer">
    <w:name w:val="footer"/>
    <w:basedOn w:val="Normal"/>
    <w:link w:val="FooterChar"/>
    <w:uiPriority w:val="99"/>
    <w:unhideWhenUsed/>
    <w:rsid w:val="00353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Epihova</dc:creator>
  <cp:keywords/>
  <dc:description/>
  <cp:lastModifiedBy>Gabriela Epihova</cp:lastModifiedBy>
  <cp:revision>6</cp:revision>
  <dcterms:created xsi:type="dcterms:W3CDTF">2026-02-04T12:58:00Z</dcterms:created>
  <dcterms:modified xsi:type="dcterms:W3CDTF">2026-07-12T15:24:00Z</dcterms:modified>
</cp:coreProperties>
</file>