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771D" w14:textId="77777777" w:rsidR="00D24E54" w:rsidRPr="00231F2C" w:rsidRDefault="00D24E54" w:rsidP="00D24E54">
      <w:pPr>
        <w:spacing w:line="360" w:lineRule="auto"/>
        <w:jc w:val="both"/>
        <w:rPr>
          <w:rFonts w:ascii="Times New Roman" w:hAnsi="Times New Roman" w:cs="Times New Roman"/>
          <w:b/>
          <w:bCs/>
          <w:lang w:val="en-US"/>
        </w:rPr>
      </w:pPr>
      <w:r w:rsidRPr="00231F2C">
        <w:rPr>
          <w:rFonts w:ascii="Times New Roman" w:hAnsi="Times New Roman" w:cs="Times New Roman"/>
          <w:b/>
          <w:bCs/>
          <w:lang w:val="en-US"/>
        </w:rPr>
        <w:t>Appendix</w:t>
      </w:r>
    </w:p>
    <w:p w14:paraId="75F58B7E" w14:textId="77777777" w:rsidR="00D24E54" w:rsidRPr="00231F2C" w:rsidRDefault="00D24E54" w:rsidP="00D24E54">
      <w:pPr>
        <w:spacing w:line="360" w:lineRule="auto"/>
        <w:jc w:val="both"/>
        <w:rPr>
          <w:rFonts w:ascii="Times New Roman" w:hAnsi="Times New Roman" w:cs="Times New Roman"/>
          <w:b/>
          <w:bCs/>
          <w:lang w:val="en-US"/>
        </w:rPr>
      </w:pPr>
      <w:r w:rsidRPr="00231F2C">
        <w:rPr>
          <w:rFonts w:ascii="Times New Roman" w:hAnsi="Times New Roman" w:cs="Times New Roman"/>
          <w:b/>
          <w:bCs/>
          <w:lang w:val="en-US"/>
        </w:rPr>
        <w:t>Appendix A. Two-level HLM results supporting quantile regression interpretation</w:t>
      </w:r>
    </w:p>
    <w:p w14:paraId="67F5598E" w14:textId="77777777" w:rsidR="00D24E54" w:rsidRDefault="00D24E54" w:rsidP="00D24E54">
      <w:pPr>
        <w:spacing w:line="360" w:lineRule="auto"/>
        <w:jc w:val="both"/>
        <w:rPr>
          <w:rFonts w:ascii="Times New Roman" w:hAnsi="Times New Roman" w:cs="Times New Roman"/>
          <w:lang w:val="en-US"/>
        </w:rPr>
      </w:pPr>
      <w:r w:rsidRPr="00231F2C">
        <w:rPr>
          <w:rFonts w:ascii="Times New Roman" w:hAnsi="Times New Roman" w:cs="Times New Roman"/>
          <w:lang w:val="en-US"/>
        </w:rPr>
        <w:t xml:space="preserve">The quantile </w:t>
      </w:r>
      <w:r>
        <w:rPr>
          <w:rFonts w:ascii="Times New Roman" w:hAnsi="Times New Roman" w:cs="Times New Roman"/>
          <w:lang w:val="en-US"/>
        </w:rPr>
        <w:t xml:space="preserve">regression results in this manuscript are interpreted alongside a two-level hierarchical linear model estimated on the same analytical sample (n=4,653 students, 190 schools). The HLM was estimated using maximum likelihood in Stata 17 using the mixed command, with results averaged across all ten plausible mathematics values using Rubin’s (1987) combination rules. The null HLM yielded an intraclass correlation coefficient of 0.181, confirming that 18.1 % of total mathematics score variance lies between schools. Table A1 demonstrates the full two-level HLM results. </w:t>
      </w:r>
    </w:p>
    <w:p w14:paraId="4A79954C" w14:textId="77777777" w:rsidR="00D24E54" w:rsidRPr="00231F2C" w:rsidRDefault="00D24E54" w:rsidP="00D24E54">
      <w:pPr>
        <w:spacing w:line="360" w:lineRule="auto"/>
        <w:jc w:val="both"/>
        <w:rPr>
          <w:rFonts w:ascii="Times New Roman" w:hAnsi="Times New Roman" w:cs="Times New Roman"/>
          <w:b/>
          <w:bCs/>
          <w:lang w:val="en-US"/>
        </w:rPr>
      </w:pPr>
      <w:r w:rsidRPr="00231F2C">
        <w:rPr>
          <w:rFonts w:ascii="Times New Roman" w:hAnsi="Times New Roman" w:cs="Times New Roman"/>
          <w:b/>
          <w:bCs/>
          <w:lang w:val="en-US"/>
        </w:rPr>
        <w:t>Table A1. Two-level HLM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1"/>
        <w:gridCol w:w="1200"/>
        <w:gridCol w:w="904"/>
        <w:gridCol w:w="4535"/>
      </w:tblGrid>
      <w:tr w:rsidR="00D24E54" w14:paraId="3270515F" w14:textId="77777777" w:rsidTr="007A76FA">
        <w:trPr>
          <w:tblHeader/>
          <w:tblCellSpacing w:w="15" w:type="dxa"/>
        </w:trPr>
        <w:tc>
          <w:tcPr>
            <w:tcW w:w="0" w:type="auto"/>
            <w:vAlign w:val="center"/>
            <w:hideMark/>
          </w:tcPr>
          <w:p w14:paraId="35614FFD" w14:textId="77777777" w:rsidR="00D24E54" w:rsidRPr="00231F2C" w:rsidRDefault="00D24E54" w:rsidP="007A76FA">
            <w:pPr>
              <w:jc w:val="center"/>
              <w:rPr>
                <w:rFonts w:ascii="Times New Roman" w:hAnsi="Times New Roman" w:cs="Times New Roman"/>
                <w:b/>
                <w:bCs/>
              </w:rPr>
            </w:pPr>
            <w:r w:rsidRPr="00231F2C">
              <w:rPr>
                <w:rFonts w:ascii="Times New Roman" w:hAnsi="Times New Roman" w:cs="Times New Roman"/>
                <w:b/>
                <w:bCs/>
              </w:rPr>
              <w:t>Variable</w:t>
            </w:r>
          </w:p>
        </w:tc>
        <w:tc>
          <w:tcPr>
            <w:tcW w:w="0" w:type="auto"/>
            <w:vAlign w:val="center"/>
            <w:hideMark/>
          </w:tcPr>
          <w:p w14:paraId="71466C68" w14:textId="77777777" w:rsidR="00D24E54" w:rsidRPr="00231F2C" w:rsidRDefault="00D24E54" w:rsidP="007A76FA">
            <w:pPr>
              <w:jc w:val="center"/>
              <w:rPr>
                <w:rFonts w:ascii="Times New Roman" w:hAnsi="Times New Roman" w:cs="Times New Roman"/>
                <w:b/>
                <w:bCs/>
              </w:rPr>
            </w:pPr>
            <w:r w:rsidRPr="00231F2C">
              <w:rPr>
                <w:rFonts w:ascii="Times New Roman" w:hAnsi="Times New Roman" w:cs="Times New Roman"/>
                <w:b/>
                <w:bCs/>
              </w:rPr>
              <w:t>Coefficient</w:t>
            </w:r>
          </w:p>
        </w:tc>
        <w:tc>
          <w:tcPr>
            <w:tcW w:w="874" w:type="dxa"/>
            <w:vAlign w:val="center"/>
            <w:hideMark/>
          </w:tcPr>
          <w:p w14:paraId="35B9C745" w14:textId="77777777" w:rsidR="00D24E54" w:rsidRPr="00231F2C" w:rsidRDefault="00D24E54" w:rsidP="007A76FA">
            <w:pPr>
              <w:jc w:val="center"/>
              <w:rPr>
                <w:rFonts w:ascii="Times New Roman" w:hAnsi="Times New Roman" w:cs="Times New Roman"/>
                <w:b/>
                <w:bCs/>
              </w:rPr>
            </w:pPr>
            <w:r w:rsidRPr="00231F2C">
              <w:rPr>
                <w:rFonts w:ascii="Times New Roman" w:hAnsi="Times New Roman" w:cs="Times New Roman"/>
                <w:b/>
                <w:bCs/>
              </w:rPr>
              <w:t>p-value</w:t>
            </w:r>
          </w:p>
        </w:tc>
        <w:tc>
          <w:tcPr>
            <w:tcW w:w="4490" w:type="dxa"/>
            <w:vAlign w:val="center"/>
            <w:hideMark/>
          </w:tcPr>
          <w:p w14:paraId="331E74B7" w14:textId="77777777" w:rsidR="00D24E54" w:rsidRPr="00231F2C" w:rsidRDefault="00D24E54" w:rsidP="007A76FA">
            <w:pPr>
              <w:jc w:val="center"/>
              <w:rPr>
                <w:rFonts w:ascii="Times New Roman" w:hAnsi="Times New Roman" w:cs="Times New Roman"/>
                <w:b/>
                <w:bCs/>
              </w:rPr>
            </w:pPr>
            <w:r w:rsidRPr="00231F2C">
              <w:rPr>
                <w:rFonts w:ascii="Times New Roman" w:hAnsi="Times New Roman" w:cs="Times New Roman"/>
                <w:b/>
                <w:bCs/>
              </w:rPr>
              <w:t>Note</w:t>
            </w:r>
          </w:p>
        </w:tc>
      </w:tr>
      <w:tr w:rsidR="00D24E54" w14:paraId="06399314" w14:textId="77777777" w:rsidTr="007A76FA">
        <w:trPr>
          <w:tblCellSpacing w:w="15" w:type="dxa"/>
        </w:trPr>
        <w:tc>
          <w:tcPr>
            <w:tcW w:w="0" w:type="auto"/>
            <w:vAlign w:val="center"/>
            <w:hideMark/>
          </w:tcPr>
          <w:p w14:paraId="19EE6887" w14:textId="77777777" w:rsidR="00D24E54" w:rsidRPr="00231F2C" w:rsidRDefault="00D24E54" w:rsidP="007A76FA">
            <w:pPr>
              <w:rPr>
                <w:rFonts w:ascii="Times New Roman" w:hAnsi="Times New Roman" w:cs="Times New Roman"/>
              </w:rPr>
            </w:pPr>
            <w:r w:rsidRPr="00231F2C">
              <w:rPr>
                <w:rStyle w:val="Strong"/>
                <w:rFonts w:ascii="Times New Roman" w:hAnsi="Times New Roman" w:cs="Times New Roman"/>
              </w:rPr>
              <w:t>Level 1 — Student-level</w:t>
            </w:r>
          </w:p>
        </w:tc>
        <w:tc>
          <w:tcPr>
            <w:tcW w:w="0" w:type="auto"/>
            <w:vAlign w:val="center"/>
            <w:hideMark/>
          </w:tcPr>
          <w:p w14:paraId="6A2CD3AA" w14:textId="77777777" w:rsidR="00D24E54" w:rsidRPr="00231F2C" w:rsidRDefault="00D24E54" w:rsidP="007A76FA">
            <w:pPr>
              <w:rPr>
                <w:rFonts w:ascii="Times New Roman" w:hAnsi="Times New Roman" w:cs="Times New Roman"/>
              </w:rPr>
            </w:pPr>
          </w:p>
        </w:tc>
        <w:tc>
          <w:tcPr>
            <w:tcW w:w="874" w:type="dxa"/>
            <w:vAlign w:val="center"/>
            <w:hideMark/>
          </w:tcPr>
          <w:p w14:paraId="54C10BAE" w14:textId="77777777" w:rsidR="00D24E54" w:rsidRPr="00231F2C" w:rsidRDefault="00D24E54" w:rsidP="007A76FA">
            <w:pPr>
              <w:rPr>
                <w:rFonts w:ascii="Times New Roman" w:hAnsi="Times New Roman" w:cs="Times New Roman"/>
              </w:rPr>
            </w:pPr>
          </w:p>
        </w:tc>
        <w:tc>
          <w:tcPr>
            <w:tcW w:w="4490" w:type="dxa"/>
            <w:vAlign w:val="center"/>
            <w:hideMark/>
          </w:tcPr>
          <w:p w14:paraId="0CE9F3C5" w14:textId="77777777" w:rsidR="00D24E54" w:rsidRPr="00231F2C" w:rsidRDefault="00D24E54" w:rsidP="007A76FA">
            <w:pPr>
              <w:rPr>
                <w:rFonts w:ascii="Times New Roman" w:hAnsi="Times New Roman" w:cs="Times New Roman"/>
              </w:rPr>
            </w:pPr>
          </w:p>
        </w:tc>
      </w:tr>
      <w:tr w:rsidR="00D24E54" w14:paraId="028FF56E" w14:textId="77777777" w:rsidTr="007A76FA">
        <w:trPr>
          <w:tblCellSpacing w:w="15" w:type="dxa"/>
        </w:trPr>
        <w:tc>
          <w:tcPr>
            <w:tcW w:w="0" w:type="auto"/>
            <w:vAlign w:val="center"/>
            <w:hideMark/>
          </w:tcPr>
          <w:p w14:paraId="69CC16D1"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ESCS</w:t>
            </w:r>
          </w:p>
        </w:tc>
        <w:tc>
          <w:tcPr>
            <w:tcW w:w="0" w:type="auto"/>
            <w:vAlign w:val="center"/>
            <w:hideMark/>
          </w:tcPr>
          <w:p w14:paraId="559444BD"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3.87</w:t>
            </w:r>
          </w:p>
        </w:tc>
        <w:tc>
          <w:tcPr>
            <w:tcW w:w="874" w:type="dxa"/>
            <w:vAlign w:val="center"/>
            <w:hideMark/>
          </w:tcPr>
          <w:p w14:paraId="341DE752"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&lt; 0.001</w:t>
            </w:r>
          </w:p>
        </w:tc>
        <w:tc>
          <w:tcPr>
            <w:tcW w:w="4490" w:type="dxa"/>
            <w:vAlign w:val="center"/>
            <w:hideMark/>
          </w:tcPr>
          <w:p w14:paraId="7A3FF466"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Halved from OLS (8.36) — school composition effect</w:t>
            </w:r>
          </w:p>
        </w:tc>
      </w:tr>
      <w:tr w:rsidR="00D24E54" w14:paraId="05AE8C59" w14:textId="77777777" w:rsidTr="007A76FA">
        <w:trPr>
          <w:tblCellSpacing w:w="15" w:type="dxa"/>
        </w:trPr>
        <w:tc>
          <w:tcPr>
            <w:tcW w:w="0" w:type="auto"/>
            <w:vAlign w:val="center"/>
            <w:hideMark/>
          </w:tcPr>
          <w:p w14:paraId="67C7208D"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GENDER (male = 1)</w:t>
            </w:r>
          </w:p>
        </w:tc>
        <w:tc>
          <w:tcPr>
            <w:tcW w:w="0" w:type="auto"/>
            <w:vAlign w:val="center"/>
            <w:hideMark/>
          </w:tcPr>
          <w:p w14:paraId="5D38A5C7"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9.12</w:t>
            </w:r>
          </w:p>
        </w:tc>
        <w:tc>
          <w:tcPr>
            <w:tcW w:w="874" w:type="dxa"/>
            <w:vAlign w:val="center"/>
            <w:hideMark/>
          </w:tcPr>
          <w:p w14:paraId="613CAAFE"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&lt; 0.001</w:t>
            </w:r>
          </w:p>
        </w:tc>
        <w:tc>
          <w:tcPr>
            <w:tcW w:w="4490" w:type="dxa"/>
            <w:vAlign w:val="center"/>
            <w:hideMark/>
          </w:tcPr>
          <w:p w14:paraId="6F78BB18"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Male advantage in mathematics</w:t>
            </w:r>
          </w:p>
        </w:tc>
      </w:tr>
      <w:tr w:rsidR="00D24E54" w14:paraId="56FC34B5" w14:textId="77777777" w:rsidTr="007A76FA">
        <w:trPr>
          <w:tblCellSpacing w:w="15" w:type="dxa"/>
        </w:trPr>
        <w:tc>
          <w:tcPr>
            <w:tcW w:w="0" w:type="auto"/>
            <w:vAlign w:val="center"/>
            <w:hideMark/>
          </w:tcPr>
          <w:p w14:paraId="144AD2EE"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MATHEFF</w:t>
            </w:r>
          </w:p>
        </w:tc>
        <w:tc>
          <w:tcPr>
            <w:tcW w:w="0" w:type="auto"/>
            <w:vAlign w:val="center"/>
            <w:hideMark/>
          </w:tcPr>
          <w:p w14:paraId="158AA877"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7.37</w:t>
            </w:r>
          </w:p>
        </w:tc>
        <w:tc>
          <w:tcPr>
            <w:tcW w:w="874" w:type="dxa"/>
            <w:vAlign w:val="center"/>
            <w:hideMark/>
          </w:tcPr>
          <w:p w14:paraId="036D92F5"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&lt; 0.001</w:t>
            </w:r>
          </w:p>
        </w:tc>
        <w:tc>
          <w:tcPr>
            <w:tcW w:w="4490" w:type="dxa"/>
            <w:vAlign w:val="center"/>
            <w:hideMark/>
          </w:tcPr>
          <w:p w14:paraId="1DAB7D8C"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Strongest student-level predictor</w:t>
            </w:r>
          </w:p>
        </w:tc>
      </w:tr>
      <w:tr w:rsidR="00D24E54" w14:paraId="14EB2AF3" w14:textId="77777777" w:rsidTr="007A76FA">
        <w:trPr>
          <w:tblCellSpacing w:w="15" w:type="dxa"/>
        </w:trPr>
        <w:tc>
          <w:tcPr>
            <w:tcW w:w="0" w:type="auto"/>
            <w:vAlign w:val="center"/>
            <w:hideMark/>
          </w:tcPr>
          <w:p w14:paraId="247EDD38"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TEACHSUP</w:t>
            </w:r>
          </w:p>
        </w:tc>
        <w:tc>
          <w:tcPr>
            <w:tcW w:w="0" w:type="auto"/>
            <w:vAlign w:val="center"/>
            <w:hideMark/>
          </w:tcPr>
          <w:p w14:paraId="31F9828A"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4.63</w:t>
            </w:r>
          </w:p>
        </w:tc>
        <w:tc>
          <w:tcPr>
            <w:tcW w:w="874" w:type="dxa"/>
            <w:vAlign w:val="center"/>
            <w:hideMark/>
          </w:tcPr>
          <w:p w14:paraId="4C11AFC4"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&lt; 0.001</w:t>
            </w:r>
          </w:p>
        </w:tc>
        <w:tc>
          <w:tcPr>
            <w:tcW w:w="4490" w:type="dxa"/>
            <w:vAlign w:val="center"/>
            <w:hideMark/>
          </w:tcPr>
          <w:p w14:paraId="5D90BE8E"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Teacher support — significant and positive</w:t>
            </w:r>
          </w:p>
        </w:tc>
      </w:tr>
      <w:tr w:rsidR="00D24E54" w14:paraId="2FDFC985" w14:textId="77777777" w:rsidTr="007A76FA">
        <w:trPr>
          <w:tblCellSpacing w:w="15" w:type="dxa"/>
        </w:trPr>
        <w:tc>
          <w:tcPr>
            <w:tcW w:w="0" w:type="auto"/>
            <w:vAlign w:val="center"/>
            <w:hideMark/>
          </w:tcPr>
          <w:p w14:paraId="1CDB6C32"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BELONG</w:t>
            </w:r>
          </w:p>
        </w:tc>
        <w:tc>
          <w:tcPr>
            <w:tcW w:w="0" w:type="auto"/>
            <w:vAlign w:val="center"/>
            <w:hideMark/>
          </w:tcPr>
          <w:p w14:paraId="28D26B52"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6.30</w:t>
            </w:r>
          </w:p>
        </w:tc>
        <w:tc>
          <w:tcPr>
            <w:tcW w:w="874" w:type="dxa"/>
            <w:vAlign w:val="center"/>
            <w:hideMark/>
          </w:tcPr>
          <w:p w14:paraId="2B6BE243"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&lt; 0.001</w:t>
            </w:r>
          </w:p>
        </w:tc>
        <w:tc>
          <w:tcPr>
            <w:tcW w:w="4490" w:type="dxa"/>
            <w:vAlign w:val="center"/>
            <w:hideMark/>
          </w:tcPr>
          <w:p w14:paraId="64D3E407"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School belonging — significant and positive</w:t>
            </w:r>
          </w:p>
        </w:tc>
      </w:tr>
      <w:tr w:rsidR="00D24E54" w14:paraId="2DA844D5" w14:textId="77777777" w:rsidTr="007A76FA">
        <w:trPr>
          <w:tblCellSpacing w:w="15" w:type="dxa"/>
        </w:trPr>
        <w:tc>
          <w:tcPr>
            <w:tcW w:w="0" w:type="auto"/>
            <w:vAlign w:val="center"/>
            <w:hideMark/>
          </w:tcPr>
          <w:p w14:paraId="3742B927"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DISCLIM</w:t>
            </w:r>
          </w:p>
        </w:tc>
        <w:tc>
          <w:tcPr>
            <w:tcW w:w="0" w:type="auto"/>
            <w:vAlign w:val="center"/>
            <w:hideMark/>
          </w:tcPr>
          <w:p w14:paraId="15C5CBBC"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1.70</w:t>
            </w:r>
          </w:p>
        </w:tc>
        <w:tc>
          <w:tcPr>
            <w:tcW w:w="874" w:type="dxa"/>
            <w:vAlign w:val="center"/>
            <w:hideMark/>
          </w:tcPr>
          <w:p w14:paraId="6025B879"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0.09</w:t>
            </w:r>
          </w:p>
        </w:tc>
        <w:tc>
          <w:tcPr>
            <w:tcW w:w="4490" w:type="dxa"/>
            <w:vAlign w:val="center"/>
            <w:hideMark/>
          </w:tcPr>
          <w:p w14:paraId="2222D73F"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Disciplinary climate — marginally significant</w:t>
            </w:r>
          </w:p>
        </w:tc>
      </w:tr>
      <w:tr w:rsidR="00D24E54" w14:paraId="0408DE26" w14:textId="77777777" w:rsidTr="007A76FA">
        <w:trPr>
          <w:tblCellSpacing w:w="15" w:type="dxa"/>
        </w:trPr>
        <w:tc>
          <w:tcPr>
            <w:tcW w:w="0" w:type="auto"/>
            <w:vAlign w:val="center"/>
            <w:hideMark/>
          </w:tcPr>
          <w:p w14:paraId="2B657B05" w14:textId="77777777" w:rsidR="00D24E54" w:rsidRPr="00231F2C" w:rsidRDefault="00D24E54" w:rsidP="007A76FA">
            <w:pPr>
              <w:rPr>
                <w:rFonts w:ascii="Times New Roman" w:hAnsi="Times New Roman" w:cs="Times New Roman"/>
              </w:rPr>
            </w:pPr>
            <w:r w:rsidRPr="00231F2C">
              <w:rPr>
                <w:rStyle w:val="Strong"/>
                <w:rFonts w:ascii="Times New Roman" w:hAnsi="Times New Roman" w:cs="Times New Roman"/>
              </w:rPr>
              <w:t>Level 2 — School-level</w:t>
            </w:r>
          </w:p>
        </w:tc>
        <w:tc>
          <w:tcPr>
            <w:tcW w:w="0" w:type="auto"/>
            <w:vAlign w:val="center"/>
            <w:hideMark/>
          </w:tcPr>
          <w:p w14:paraId="6F2D27E9" w14:textId="77777777" w:rsidR="00D24E54" w:rsidRPr="00231F2C" w:rsidRDefault="00D24E54" w:rsidP="007A76FA">
            <w:pPr>
              <w:rPr>
                <w:rFonts w:ascii="Times New Roman" w:hAnsi="Times New Roman" w:cs="Times New Roman"/>
              </w:rPr>
            </w:pPr>
          </w:p>
        </w:tc>
        <w:tc>
          <w:tcPr>
            <w:tcW w:w="874" w:type="dxa"/>
            <w:vAlign w:val="center"/>
            <w:hideMark/>
          </w:tcPr>
          <w:p w14:paraId="3260FF38" w14:textId="77777777" w:rsidR="00D24E54" w:rsidRPr="00231F2C" w:rsidRDefault="00D24E54" w:rsidP="007A76FA">
            <w:pPr>
              <w:rPr>
                <w:rFonts w:ascii="Times New Roman" w:hAnsi="Times New Roman" w:cs="Times New Roman"/>
              </w:rPr>
            </w:pPr>
          </w:p>
        </w:tc>
        <w:tc>
          <w:tcPr>
            <w:tcW w:w="4490" w:type="dxa"/>
            <w:vAlign w:val="center"/>
            <w:hideMark/>
          </w:tcPr>
          <w:p w14:paraId="4E2BDEA2" w14:textId="77777777" w:rsidR="00D24E54" w:rsidRPr="00231F2C" w:rsidRDefault="00D24E54" w:rsidP="007A76FA">
            <w:pPr>
              <w:rPr>
                <w:rFonts w:ascii="Times New Roman" w:hAnsi="Times New Roman" w:cs="Times New Roman"/>
              </w:rPr>
            </w:pPr>
          </w:p>
        </w:tc>
      </w:tr>
      <w:tr w:rsidR="00D24E54" w14:paraId="0DBBC797" w14:textId="77777777" w:rsidTr="007A76FA">
        <w:trPr>
          <w:tblCellSpacing w:w="15" w:type="dxa"/>
        </w:trPr>
        <w:tc>
          <w:tcPr>
            <w:tcW w:w="0" w:type="auto"/>
            <w:vAlign w:val="center"/>
            <w:hideMark/>
          </w:tcPr>
          <w:p w14:paraId="633EFD7E"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UNQUALSTAFF</w:t>
            </w:r>
          </w:p>
        </w:tc>
        <w:tc>
          <w:tcPr>
            <w:tcW w:w="0" w:type="auto"/>
            <w:vAlign w:val="center"/>
            <w:hideMark/>
          </w:tcPr>
          <w:p w14:paraId="028FB2A1"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−10.17</w:t>
            </w:r>
          </w:p>
        </w:tc>
        <w:tc>
          <w:tcPr>
            <w:tcW w:w="874" w:type="dxa"/>
            <w:vAlign w:val="center"/>
            <w:hideMark/>
          </w:tcPr>
          <w:p w14:paraId="5DC47486"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&lt; 0.05</w:t>
            </w:r>
          </w:p>
        </w:tc>
        <w:tc>
          <w:tcPr>
            <w:tcW w:w="4490" w:type="dxa"/>
            <w:vAlign w:val="center"/>
            <w:hideMark/>
          </w:tcPr>
          <w:p w14:paraId="54B70EB3"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Significant across all 10 PVs</w:t>
            </w:r>
          </w:p>
        </w:tc>
      </w:tr>
      <w:tr w:rsidR="00D24E54" w14:paraId="1958DBA3" w14:textId="77777777" w:rsidTr="007A76FA">
        <w:trPr>
          <w:tblCellSpacing w:w="15" w:type="dxa"/>
        </w:trPr>
        <w:tc>
          <w:tcPr>
            <w:tcW w:w="0" w:type="auto"/>
            <w:vAlign w:val="center"/>
            <w:hideMark/>
          </w:tcPr>
          <w:p w14:paraId="77E4A82B"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STAFFSHORT</w:t>
            </w:r>
          </w:p>
        </w:tc>
        <w:tc>
          <w:tcPr>
            <w:tcW w:w="0" w:type="auto"/>
            <w:vAlign w:val="center"/>
            <w:hideMark/>
          </w:tcPr>
          <w:p w14:paraId="1A14824B"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+6.98</w:t>
            </w:r>
          </w:p>
        </w:tc>
        <w:tc>
          <w:tcPr>
            <w:tcW w:w="874" w:type="dxa"/>
            <w:vAlign w:val="center"/>
            <w:hideMark/>
          </w:tcPr>
          <w:p w14:paraId="1FD736B6"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&gt; 0.10</w:t>
            </w:r>
          </w:p>
        </w:tc>
        <w:tc>
          <w:tcPr>
            <w:tcW w:w="4490" w:type="dxa"/>
            <w:vAlign w:val="center"/>
            <w:hideMark/>
          </w:tcPr>
          <w:p w14:paraId="1E5AB830"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Non-significant after controls</w:t>
            </w:r>
          </w:p>
        </w:tc>
      </w:tr>
      <w:tr w:rsidR="00D24E54" w14:paraId="45C9A57E" w14:textId="77777777" w:rsidTr="007A76FA">
        <w:trPr>
          <w:tblCellSpacing w:w="15" w:type="dxa"/>
        </w:trPr>
        <w:tc>
          <w:tcPr>
            <w:tcW w:w="0" w:type="auto"/>
            <w:vAlign w:val="center"/>
            <w:hideMark/>
          </w:tcPr>
          <w:p w14:paraId="00EEB9A9"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CERTTEACH</w:t>
            </w:r>
          </w:p>
        </w:tc>
        <w:tc>
          <w:tcPr>
            <w:tcW w:w="0" w:type="auto"/>
            <w:vAlign w:val="center"/>
            <w:hideMark/>
          </w:tcPr>
          <w:p w14:paraId="615539C5"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−0.09</w:t>
            </w:r>
          </w:p>
        </w:tc>
        <w:tc>
          <w:tcPr>
            <w:tcW w:w="874" w:type="dxa"/>
            <w:vAlign w:val="center"/>
            <w:hideMark/>
          </w:tcPr>
          <w:p w14:paraId="1D962F4F"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&gt; 0.10</w:t>
            </w:r>
          </w:p>
        </w:tc>
        <w:tc>
          <w:tcPr>
            <w:tcW w:w="4490" w:type="dxa"/>
            <w:vAlign w:val="center"/>
            <w:hideMark/>
          </w:tcPr>
          <w:p w14:paraId="25A1A87E"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Non-significant after controls</w:t>
            </w:r>
          </w:p>
        </w:tc>
      </w:tr>
      <w:tr w:rsidR="00D24E54" w14:paraId="45F408B4" w14:textId="77777777" w:rsidTr="007A76FA">
        <w:trPr>
          <w:tblCellSpacing w:w="15" w:type="dxa"/>
        </w:trPr>
        <w:tc>
          <w:tcPr>
            <w:tcW w:w="0" w:type="auto"/>
            <w:vAlign w:val="center"/>
            <w:hideMark/>
          </w:tcPr>
          <w:p w14:paraId="63DEA3B2"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RURAL</w:t>
            </w:r>
          </w:p>
        </w:tc>
        <w:tc>
          <w:tcPr>
            <w:tcW w:w="0" w:type="auto"/>
            <w:vAlign w:val="center"/>
            <w:hideMark/>
          </w:tcPr>
          <w:p w14:paraId="6F3AC418"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+12.08</w:t>
            </w:r>
          </w:p>
        </w:tc>
        <w:tc>
          <w:tcPr>
            <w:tcW w:w="874" w:type="dxa"/>
            <w:vAlign w:val="center"/>
            <w:hideMark/>
          </w:tcPr>
          <w:p w14:paraId="3C81C428"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&lt; 0.01</w:t>
            </w:r>
          </w:p>
        </w:tc>
        <w:tc>
          <w:tcPr>
            <w:tcW w:w="4490" w:type="dxa"/>
            <w:vAlign w:val="center"/>
            <w:hideMark/>
          </w:tcPr>
          <w:p w14:paraId="594EFAB0"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Compositional — see note below</w:t>
            </w:r>
          </w:p>
        </w:tc>
      </w:tr>
      <w:tr w:rsidR="00D24E54" w14:paraId="48D528F1" w14:textId="77777777" w:rsidTr="007A76FA">
        <w:trPr>
          <w:tblCellSpacing w:w="15" w:type="dxa"/>
        </w:trPr>
        <w:tc>
          <w:tcPr>
            <w:tcW w:w="0" w:type="auto"/>
            <w:vAlign w:val="center"/>
            <w:hideMark/>
          </w:tcPr>
          <w:p w14:paraId="3DFEC845"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STRATIO</w:t>
            </w:r>
          </w:p>
        </w:tc>
        <w:tc>
          <w:tcPr>
            <w:tcW w:w="0" w:type="auto"/>
            <w:vAlign w:val="center"/>
            <w:hideMark/>
          </w:tcPr>
          <w:p w14:paraId="7255C19A"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+0.09</w:t>
            </w:r>
          </w:p>
        </w:tc>
        <w:tc>
          <w:tcPr>
            <w:tcW w:w="874" w:type="dxa"/>
            <w:vAlign w:val="center"/>
            <w:hideMark/>
          </w:tcPr>
          <w:p w14:paraId="5EF1162C"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&gt; 0.10</w:t>
            </w:r>
          </w:p>
        </w:tc>
        <w:tc>
          <w:tcPr>
            <w:tcW w:w="4490" w:type="dxa"/>
            <w:vAlign w:val="center"/>
            <w:hideMark/>
          </w:tcPr>
          <w:p w14:paraId="61EC7F1B"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Non-significant after controls</w:t>
            </w:r>
          </w:p>
        </w:tc>
      </w:tr>
      <w:tr w:rsidR="00D24E54" w14:paraId="27ED835D" w14:textId="77777777" w:rsidTr="007A76FA">
        <w:trPr>
          <w:tblCellSpacing w:w="15" w:type="dxa"/>
        </w:trPr>
        <w:tc>
          <w:tcPr>
            <w:tcW w:w="0" w:type="auto"/>
            <w:vAlign w:val="center"/>
            <w:hideMark/>
          </w:tcPr>
          <w:p w14:paraId="3490823D" w14:textId="77777777" w:rsidR="00D24E54" w:rsidRPr="00231F2C" w:rsidRDefault="00D24E54" w:rsidP="007A76FA">
            <w:pPr>
              <w:rPr>
                <w:rFonts w:ascii="Times New Roman" w:hAnsi="Times New Roman" w:cs="Times New Roman"/>
              </w:rPr>
            </w:pPr>
            <w:r w:rsidRPr="00231F2C">
              <w:rPr>
                <w:rStyle w:val="Strong"/>
                <w:rFonts w:ascii="Times New Roman" w:hAnsi="Times New Roman" w:cs="Times New Roman"/>
              </w:rPr>
              <w:t>Variance components</w:t>
            </w:r>
          </w:p>
        </w:tc>
        <w:tc>
          <w:tcPr>
            <w:tcW w:w="0" w:type="auto"/>
            <w:vAlign w:val="center"/>
            <w:hideMark/>
          </w:tcPr>
          <w:p w14:paraId="26E12C16" w14:textId="77777777" w:rsidR="00D24E54" w:rsidRPr="00231F2C" w:rsidRDefault="00D24E54" w:rsidP="007A76FA">
            <w:pPr>
              <w:rPr>
                <w:rFonts w:ascii="Times New Roman" w:hAnsi="Times New Roman" w:cs="Times New Roman"/>
              </w:rPr>
            </w:pPr>
          </w:p>
        </w:tc>
        <w:tc>
          <w:tcPr>
            <w:tcW w:w="874" w:type="dxa"/>
            <w:vAlign w:val="center"/>
            <w:hideMark/>
          </w:tcPr>
          <w:p w14:paraId="27651E3D" w14:textId="77777777" w:rsidR="00D24E54" w:rsidRPr="00231F2C" w:rsidRDefault="00D24E54" w:rsidP="007A76FA">
            <w:pPr>
              <w:rPr>
                <w:rFonts w:ascii="Times New Roman" w:hAnsi="Times New Roman" w:cs="Times New Roman"/>
              </w:rPr>
            </w:pPr>
          </w:p>
        </w:tc>
        <w:tc>
          <w:tcPr>
            <w:tcW w:w="4490" w:type="dxa"/>
            <w:vAlign w:val="center"/>
            <w:hideMark/>
          </w:tcPr>
          <w:p w14:paraId="6D45C042" w14:textId="77777777" w:rsidR="00D24E54" w:rsidRPr="00231F2C" w:rsidRDefault="00D24E54" w:rsidP="007A76FA">
            <w:pPr>
              <w:rPr>
                <w:rFonts w:ascii="Times New Roman" w:hAnsi="Times New Roman" w:cs="Times New Roman"/>
              </w:rPr>
            </w:pPr>
          </w:p>
        </w:tc>
      </w:tr>
      <w:tr w:rsidR="00D24E54" w14:paraId="45DD19F0" w14:textId="77777777" w:rsidTr="007A76FA">
        <w:trPr>
          <w:tblCellSpacing w:w="15" w:type="dxa"/>
        </w:trPr>
        <w:tc>
          <w:tcPr>
            <w:tcW w:w="0" w:type="auto"/>
            <w:vAlign w:val="center"/>
            <w:hideMark/>
          </w:tcPr>
          <w:p w14:paraId="5DD5431A"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Between-school variance (τ²)</w:t>
            </w:r>
          </w:p>
        </w:tc>
        <w:tc>
          <w:tcPr>
            <w:tcW w:w="0" w:type="auto"/>
            <w:vAlign w:val="center"/>
            <w:hideMark/>
          </w:tcPr>
          <w:p w14:paraId="597C1EC0"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584.05</w:t>
            </w:r>
          </w:p>
        </w:tc>
        <w:tc>
          <w:tcPr>
            <w:tcW w:w="874" w:type="dxa"/>
            <w:vAlign w:val="center"/>
            <w:hideMark/>
          </w:tcPr>
          <w:p w14:paraId="09B49195"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w:t>
            </w:r>
          </w:p>
        </w:tc>
        <w:tc>
          <w:tcPr>
            <w:tcW w:w="4490" w:type="dxa"/>
            <w:vAlign w:val="center"/>
            <w:hideMark/>
          </w:tcPr>
          <w:p w14:paraId="6F41AED5"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↓27.9% from null model (810.44)</w:t>
            </w:r>
          </w:p>
        </w:tc>
      </w:tr>
      <w:tr w:rsidR="00D24E54" w14:paraId="45E886BB" w14:textId="77777777" w:rsidTr="007A76FA">
        <w:trPr>
          <w:tblCellSpacing w:w="15" w:type="dxa"/>
        </w:trPr>
        <w:tc>
          <w:tcPr>
            <w:tcW w:w="0" w:type="auto"/>
            <w:vAlign w:val="center"/>
            <w:hideMark/>
          </w:tcPr>
          <w:p w14:paraId="4E38F011"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Within-school variance (σ²)</w:t>
            </w:r>
          </w:p>
        </w:tc>
        <w:tc>
          <w:tcPr>
            <w:tcW w:w="0" w:type="auto"/>
            <w:vAlign w:val="center"/>
            <w:hideMark/>
          </w:tcPr>
          <w:p w14:paraId="795E9AE2"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3,369.98</w:t>
            </w:r>
          </w:p>
        </w:tc>
        <w:tc>
          <w:tcPr>
            <w:tcW w:w="874" w:type="dxa"/>
            <w:vAlign w:val="center"/>
            <w:hideMark/>
          </w:tcPr>
          <w:p w14:paraId="3D68C0B8"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w:t>
            </w:r>
          </w:p>
        </w:tc>
        <w:tc>
          <w:tcPr>
            <w:tcW w:w="4490" w:type="dxa"/>
            <w:vAlign w:val="center"/>
            <w:hideMark/>
          </w:tcPr>
          <w:p w14:paraId="76B62CFB"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↓8.2% from null model</w:t>
            </w:r>
          </w:p>
        </w:tc>
      </w:tr>
      <w:tr w:rsidR="00D24E54" w14:paraId="6C6B44B0" w14:textId="77777777" w:rsidTr="007A76FA">
        <w:trPr>
          <w:tblCellSpacing w:w="15" w:type="dxa"/>
        </w:trPr>
        <w:tc>
          <w:tcPr>
            <w:tcW w:w="0" w:type="auto"/>
            <w:vAlign w:val="center"/>
            <w:hideMark/>
          </w:tcPr>
          <w:p w14:paraId="04857CFE"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Conditional ICC</w:t>
            </w:r>
          </w:p>
        </w:tc>
        <w:tc>
          <w:tcPr>
            <w:tcW w:w="0" w:type="auto"/>
            <w:vAlign w:val="center"/>
            <w:hideMark/>
          </w:tcPr>
          <w:p w14:paraId="1018D393"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0.147</w:t>
            </w:r>
          </w:p>
        </w:tc>
        <w:tc>
          <w:tcPr>
            <w:tcW w:w="874" w:type="dxa"/>
            <w:vAlign w:val="center"/>
            <w:hideMark/>
          </w:tcPr>
          <w:p w14:paraId="237963D4"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w:t>
            </w:r>
          </w:p>
        </w:tc>
        <w:tc>
          <w:tcPr>
            <w:tcW w:w="4490" w:type="dxa"/>
            <w:vAlign w:val="center"/>
            <w:hideMark/>
          </w:tcPr>
          <w:p w14:paraId="02F7830D" w14:textId="77777777" w:rsidR="00D24E54" w:rsidRPr="00231F2C" w:rsidRDefault="00D24E54" w:rsidP="007A76FA">
            <w:pPr>
              <w:rPr>
                <w:rFonts w:ascii="Times New Roman" w:hAnsi="Times New Roman" w:cs="Times New Roman"/>
              </w:rPr>
            </w:pPr>
            <w:r w:rsidRPr="00231F2C">
              <w:rPr>
                <w:rFonts w:ascii="Times New Roman" w:hAnsi="Times New Roman" w:cs="Times New Roman"/>
              </w:rPr>
              <w:t>14.7% residual between-school variance</w:t>
            </w:r>
          </w:p>
        </w:tc>
      </w:tr>
    </w:tbl>
    <w:p w14:paraId="6A371244" w14:textId="77777777" w:rsidR="00D24E54" w:rsidRDefault="00D24E54" w:rsidP="00D24E54">
      <w:pPr>
        <w:pStyle w:val="font-claude-response-body"/>
        <w:rPr>
          <w:rStyle w:val="Emphasis"/>
          <w:i w:val="0"/>
          <w:iCs w:val="0"/>
        </w:rPr>
      </w:pPr>
      <w:r>
        <w:rPr>
          <w:rStyle w:val="Emphasis"/>
          <w:lang w:val="en-US"/>
        </w:rPr>
        <w:t>Note</w:t>
      </w:r>
      <w:r w:rsidRPr="00231F2C">
        <w:rPr>
          <w:rStyle w:val="Emphasis"/>
          <w:i w:val="0"/>
          <w:iCs w:val="0"/>
          <w:lang w:val="en-US"/>
        </w:rPr>
        <w:t>: Estimated using ML in Stata 17 mixed command. Coefficients across PV1MATH</w:t>
      </w:r>
      <w:r w:rsidRPr="00231F2C">
        <w:rPr>
          <w:rStyle w:val="Emphasis"/>
          <w:i w:val="0"/>
          <w:iCs w:val="0"/>
        </w:rPr>
        <w:t>C</w:t>
      </w:r>
      <w:r w:rsidRPr="00231F2C">
        <w:rPr>
          <w:rStyle w:val="Emphasis"/>
          <w:i w:val="0"/>
          <w:iCs w:val="0"/>
          <w:lang w:val="en-US"/>
        </w:rPr>
        <w:t xml:space="preserve">- PV10 MATH using Rubin (1987) rules. UNQUALSTAFF coefficient range across plausible values: </w:t>
      </w:r>
      <w:r w:rsidRPr="00231F2C">
        <w:rPr>
          <w:rStyle w:val="Emphasis"/>
          <w:i w:val="0"/>
          <w:iCs w:val="0"/>
        </w:rPr>
        <w:t xml:space="preserve">−8.48 to −11.23, negative in all ten, significant at p &lt; 0.05 in eight. RURAL coefficient range: +10.37 to +13.60. The positive RURAL coefficient reflects compositional differences between </w:t>
      </w:r>
      <w:r w:rsidRPr="00231F2C">
        <w:rPr>
          <w:rStyle w:val="Emphasis"/>
          <w:i w:val="0"/>
          <w:iCs w:val="0"/>
        </w:rPr>
        <w:lastRenderedPageBreak/>
        <w:t>urban and rural schools</w:t>
      </w:r>
      <w:r>
        <w:rPr>
          <w:rStyle w:val="Emphasis"/>
          <w:i w:val="0"/>
          <w:iCs w:val="0"/>
          <w:lang w:val="en-US"/>
        </w:rPr>
        <w:t xml:space="preserve">, </w:t>
      </w:r>
      <w:r w:rsidRPr="00231F2C">
        <w:rPr>
          <w:rStyle w:val="Emphasis"/>
          <w:i w:val="0"/>
          <w:iCs w:val="0"/>
        </w:rPr>
        <w:t xml:space="preserve">urban schools serve a more socioeconomically disadvantaged student population (mean ESCS_school = −0.854) than rural schools (mean ESCS_school = −0.375). When school-level mean ESCS is added as a Level 2 control, the RURAL coefficient collapses to −0.19 and becomes entirely non-significant, confirming the compositional rather than institutional nature of the apparent rural advantage. STAFFSHORT is non-significant in the HLM after full controls — its positive quantile regression coefficients (particularly at Q90) are discussed in the main text. LR test vs. linear model: p &lt; 0.0001 across all ten PVs. </w:t>
      </w:r>
    </w:p>
    <w:p w14:paraId="5DC4B50F" w14:textId="77777777" w:rsidR="00D24E54" w:rsidRPr="00231F2C" w:rsidRDefault="00D24E54" w:rsidP="00D24E54">
      <w:pPr>
        <w:pStyle w:val="font-claude-response-body"/>
        <w:rPr>
          <w:i/>
          <w:iCs/>
        </w:rPr>
      </w:pPr>
      <w:r w:rsidRPr="00231F2C">
        <w:rPr>
          <w:rStyle w:val="Emphasis"/>
          <w:i w:val="0"/>
          <w:iCs w:val="0"/>
        </w:rPr>
        <w:t>Source: Author's calculations</w:t>
      </w:r>
      <w:r>
        <w:rPr>
          <w:rStyle w:val="Emphasis"/>
          <w:i w:val="0"/>
          <w:iCs w:val="0"/>
          <w:lang w:val="en-US"/>
        </w:rPr>
        <w:t xml:space="preserve"> using </w:t>
      </w:r>
      <w:r w:rsidRPr="00231F2C">
        <w:rPr>
          <w:rStyle w:val="Emphasis"/>
          <w:i w:val="0"/>
          <w:iCs w:val="0"/>
        </w:rPr>
        <w:t>PISA 2022 Uzbekistan data</w:t>
      </w:r>
      <w:r>
        <w:rPr>
          <w:rStyle w:val="Emphasis"/>
          <w:i w:val="0"/>
          <w:iCs w:val="0"/>
          <w:lang w:val="en-US"/>
        </w:rPr>
        <w:t xml:space="preserve"> in Stata 17</w:t>
      </w:r>
      <w:r w:rsidRPr="00231F2C">
        <w:rPr>
          <w:rStyle w:val="Emphasis"/>
          <w:i w:val="0"/>
          <w:iCs w:val="0"/>
        </w:rPr>
        <w:t>.</w:t>
      </w:r>
    </w:p>
    <w:p w14:paraId="2DA2C6BC" w14:textId="77777777" w:rsidR="009542D6" w:rsidRDefault="009542D6"/>
    <w:sectPr w:rsidR="00954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54"/>
    <w:rsid w:val="00264C10"/>
    <w:rsid w:val="00470242"/>
    <w:rsid w:val="00472464"/>
    <w:rsid w:val="00726E03"/>
    <w:rsid w:val="00934BC8"/>
    <w:rsid w:val="009542D6"/>
    <w:rsid w:val="00C8679A"/>
    <w:rsid w:val="00D24E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04D6"/>
  <w15:chartTrackingRefBased/>
  <w15:docId w15:val="{3BE1B393-3CD5-4D03-8007-9EE02463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54"/>
    <w:pPr>
      <w:spacing w:after="0" w:line="240" w:lineRule="auto"/>
    </w:pPr>
    <w:rPr>
      <w:rFonts w:eastAsia="SimSun"/>
      <w:lang w:eastAsia="en-US"/>
    </w:rPr>
  </w:style>
  <w:style w:type="paragraph" w:styleId="Heading1">
    <w:name w:val="heading 1"/>
    <w:basedOn w:val="Normal"/>
    <w:next w:val="Normal"/>
    <w:link w:val="Heading1Char"/>
    <w:uiPriority w:val="9"/>
    <w:qFormat/>
    <w:rsid w:val="00D24E5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eastAsia="zh-CN"/>
    </w:rPr>
  </w:style>
  <w:style w:type="paragraph" w:styleId="Heading2">
    <w:name w:val="heading 2"/>
    <w:basedOn w:val="Normal"/>
    <w:next w:val="Normal"/>
    <w:link w:val="Heading2Char"/>
    <w:uiPriority w:val="9"/>
    <w:semiHidden/>
    <w:unhideWhenUsed/>
    <w:qFormat/>
    <w:rsid w:val="00D24E5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eastAsia="zh-CN"/>
    </w:rPr>
  </w:style>
  <w:style w:type="paragraph" w:styleId="Heading3">
    <w:name w:val="heading 3"/>
    <w:basedOn w:val="Normal"/>
    <w:next w:val="Normal"/>
    <w:link w:val="Heading3Char"/>
    <w:uiPriority w:val="9"/>
    <w:semiHidden/>
    <w:unhideWhenUsed/>
    <w:qFormat/>
    <w:rsid w:val="00D24E54"/>
    <w:pPr>
      <w:keepNext/>
      <w:keepLines/>
      <w:spacing w:before="160" w:after="80" w:line="278" w:lineRule="auto"/>
      <w:outlineLvl w:val="2"/>
    </w:pPr>
    <w:rPr>
      <w:rFonts w:eastAsiaTheme="majorEastAsia" w:cstheme="majorBidi"/>
      <w:color w:val="0F4761" w:themeColor="accent1" w:themeShade="BF"/>
      <w:sz w:val="28"/>
      <w:szCs w:val="28"/>
      <w:lang w:val="en-US" w:eastAsia="zh-CN"/>
    </w:rPr>
  </w:style>
  <w:style w:type="paragraph" w:styleId="Heading4">
    <w:name w:val="heading 4"/>
    <w:basedOn w:val="Normal"/>
    <w:next w:val="Normal"/>
    <w:link w:val="Heading4Char"/>
    <w:uiPriority w:val="9"/>
    <w:semiHidden/>
    <w:unhideWhenUsed/>
    <w:qFormat/>
    <w:rsid w:val="00D24E54"/>
    <w:pPr>
      <w:keepNext/>
      <w:keepLines/>
      <w:spacing w:before="80" w:after="40" w:line="278" w:lineRule="auto"/>
      <w:outlineLvl w:val="3"/>
    </w:pPr>
    <w:rPr>
      <w:rFonts w:eastAsiaTheme="majorEastAsia" w:cstheme="majorBidi"/>
      <w:i/>
      <w:iCs/>
      <w:color w:val="0F4761" w:themeColor="accent1" w:themeShade="BF"/>
      <w:lang w:val="en-US" w:eastAsia="zh-CN"/>
    </w:rPr>
  </w:style>
  <w:style w:type="paragraph" w:styleId="Heading5">
    <w:name w:val="heading 5"/>
    <w:basedOn w:val="Normal"/>
    <w:next w:val="Normal"/>
    <w:link w:val="Heading5Char"/>
    <w:uiPriority w:val="9"/>
    <w:semiHidden/>
    <w:unhideWhenUsed/>
    <w:qFormat/>
    <w:rsid w:val="00D24E54"/>
    <w:pPr>
      <w:keepNext/>
      <w:keepLines/>
      <w:spacing w:before="80" w:after="40" w:line="278" w:lineRule="auto"/>
      <w:outlineLvl w:val="4"/>
    </w:pPr>
    <w:rPr>
      <w:rFonts w:eastAsiaTheme="majorEastAsia" w:cstheme="majorBidi"/>
      <w:color w:val="0F4761" w:themeColor="accent1" w:themeShade="BF"/>
      <w:lang w:val="en-US" w:eastAsia="zh-CN"/>
    </w:rPr>
  </w:style>
  <w:style w:type="paragraph" w:styleId="Heading6">
    <w:name w:val="heading 6"/>
    <w:basedOn w:val="Normal"/>
    <w:next w:val="Normal"/>
    <w:link w:val="Heading6Char"/>
    <w:uiPriority w:val="9"/>
    <w:semiHidden/>
    <w:unhideWhenUsed/>
    <w:qFormat/>
    <w:rsid w:val="00D24E54"/>
    <w:pPr>
      <w:keepNext/>
      <w:keepLines/>
      <w:spacing w:before="40" w:line="278" w:lineRule="auto"/>
      <w:outlineLvl w:val="5"/>
    </w:pPr>
    <w:rPr>
      <w:rFonts w:eastAsiaTheme="majorEastAsia" w:cstheme="majorBidi"/>
      <w:i/>
      <w:iCs/>
      <w:color w:val="595959" w:themeColor="text1" w:themeTint="A6"/>
      <w:lang w:val="en-US" w:eastAsia="zh-CN"/>
    </w:rPr>
  </w:style>
  <w:style w:type="paragraph" w:styleId="Heading7">
    <w:name w:val="heading 7"/>
    <w:basedOn w:val="Normal"/>
    <w:next w:val="Normal"/>
    <w:link w:val="Heading7Char"/>
    <w:uiPriority w:val="9"/>
    <w:semiHidden/>
    <w:unhideWhenUsed/>
    <w:qFormat/>
    <w:rsid w:val="00D24E54"/>
    <w:pPr>
      <w:keepNext/>
      <w:keepLines/>
      <w:spacing w:before="40" w:line="278" w:lineRule="auto"/>
      <w:outlineLvl w:val="6"/>
    </w:pPr>
    <w:rPr>
      <w:rFonts w:eastAsiaTheme="majorEastAsia" w:cstheme="majorBidi"/>
      <w:color w:val="595959" w:themeColor="text1" w:themeTint="A6"/>
      <w:lang w:val="en-US" w:eastAsia="zh-CN"/>
    </w:rPr>
  </w:style>
  <w:style w:type="paragraph" w:styleId="Heading8">
    <w:name w:val="heading 8"/>
    <w:basedOn w:val="Normal"/>
    <w:next w:val="Normal"/>
    <w:link w:val="Heading8Char"/>
    <w:uiPriority w:val="9"/>
    <w:semiHidden/>
    <w:unhideWhenUsed/>
    <w:qFormat/>
    <w:rsid w:val="00D24E54"/>
    <w:pPr>
      <w:keepNext/>
      <w:keepLines/>
      <w:spacing w:line="278" w:lineRule="auto"/>
      <w:outlineLvl w:val="7"/>
    </w:pPr>
    <w:rPr>
      <w:rFonts w:eastAsiaTheme="majorEastAsia" w:cstheme="majorBidi"/>
      <w:i/>
      <w:iCs/>
      <w:color w:val="272727" w:themeColor="text1" w:themeTint="D8"/>
      <w:lang w:val="en-US" w:eastAsia="zh-CN"/>
    </w:rPr>
  </w:style>
  <w:style w:type="paragraph" w:styleId="Heading9">
    <w:name w:val="heading 9"/>
    <w:basedOn w:val="Normal"/>
    <w:next w:val="Normal"/>
    <w:link w:val="Heading9Char"/>
    <w:uiPriority w:val="9"/>
    <w:semiHidden/>
    <w:unhideWhenUsed/>
    <w:qFormat/>
    <w:rsid w:val="00D24E54"/>
    <w:pPr>
      <w:keepNext/>
      <w:keepLines/>
      <w:spacing w:line="278" w:lineRule="auto"/>
      <w:outlineLvl w:val="8"/>
    </w:pPr>
    <w:rPr>
      <w:rFonts w:eastAsiaTheme="majorEastAsia" w:cstheme="majorBidi"/>
      <w:color w:val="272727" w:themeColor="text1" w:themeTint="D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E54"/>
    <w:rPr>
      <w:rFonts w:eastAsiaTheme="majorEastAsia" w:cstheme="majorBidi"/>
      <w:color w:val="272727" w:themeColor="text1" w:themeTint="D8"/>
    </w:rPr>
  </w:style>
  <w:style w:type="paragraph" w:styleId="Title">
    <w:name w:val="Title"/>
    <w:basedOn w:val="Normal"/>
    <w:next w:val="Normal"/>
    <w:link w:val="TitleChar"/>
    <w:uiPriority w:val="10"/>
    <w:qFormat/>
    <w:rsid w:val="00D24E54"/>
    <w:pPr>
      <w:spacing w:after="80"/>
      <w:contextualSpacing/>
    </w:pPr>
    <w:rPr>
      <w:rFonts w:asciiTheme="majorHAnsi" w:eastAsiaTheme="majorEastAsia" w:hAnsiTheme="majorHAnsi" w:cstheme="majorBidi"/>
      <w:spacing w:val="-10"/>
      <w:kern w:val="28"/>
      <w:sz w:val="56"/>
      <w:szCs w:val="56"/>
      <w:lang w:val="en-US" w:eastAsia="zh-CN"/>
    </w:rPr>
  </w:style>
  <w:style w:type="character" w:customStyle="1" w:styleId="TitleChar">
    <w:name w:val="Title Char"/>
    <w:basedOn w:val="DefaultParagraphFont"/>
    <w:link w:val="Title"/>
    <w:uiPriority w:val="10"/>
    <w:rsid w:val="00D24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E54"/>
    <w:pPr>
      <w:numPr>
        <w:ilvl w:val="1"/>
      </w:numPr>
      <w:spacing w:after="160" w:line="278" w:lineRule="auto"/>
    </w:pPr>
    <w:rPr>
      <w:rFonts w:eastAsiaTheme="majorEastAsia" w:cstheme="majorBidi"/>
      <w:color w:val="595959" w:themeColor="text1" w:themeTint="A6"/>
      <w:spacing w:val="15"/>
      <w:sz w:val="28"/>
      <w:szCs w:val="28"/>
      <w:lang w:val="en-US" w:eastAsia="zh-CN"/>
    </w:rPr>
  </w:style>
  <w:style w:type="character" w:customStyle="1" w:styleId="SubtitleChar">
    <w:name w:val="Subtitle Char"/>
    <w:basedOn w:val="DefaultParagraphFont"/>
    <w:link w:val="Subtitle"/>
    <w:uiPriority w:val="11"/>
    <w:rsid w:val="00D24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E54"/>
    <w:pPr>
      <w:spacing w:before="160" w:after="160" w:line="278" w:lineRule="auto"/>
      <w:jc w:val="center"/>
    </w:pPr>
    <w:rPr>
      <w:rFonts w:eastAsiaTheme="minorEastAsia"/>
      <w:i/>
      <w:iCs/>
      <w:color w:val="404040" w:themeColor="text1" w:themeTint="BF"/>
      <w:lang w:val="en-US" w:eastAsia="zh-CN"/>
    </w:rPr>
  </w:style>
  <w:style w:type="character" w:customStyle="1" w:styleId="QuoteChar">
    <w:name w:val="Quote Char"/>
    <w:basedOn w:val="DefaultParagraphFont"/>
    <w:link w:val="Quote"/>
    <w:uiPriority w:val="29"/>
    <w:rsid w:val="00D24E54"/>
    <w:rPr>
      <w:i/>
      <w:iCs/>
      <w:color w:val="404040" w:themeColor="text1" w:themeTint="BF"/>
    </w:rPr>
  </w:style>
  <w:style w:type="paragraph" w:styleId="ListParagraph">
    <w:name w:val="List Paragraph"/>
    <w:basedOn w:val="Normal"/>
    <w:uiPriority w:val="34"/>
    <w:qFormat/>
    <w:rsid w:val="00D24E54"/>
    <w:pPr>
      <w:spacing w:after="160" w:line="278" w:lineRule="auto"/>
      <w:ind w:left="720"/>
      <w:contextualSpacing/>
    </w:pPr>
    <w:rPr>
      <w:rFonts w:eastAsiaTheme="minorEastAsia"/>
      <w:lang w:val="en-US" w:eastAsia="zh-CN"/>
    </w:rPr>
  </w:style>
  <w:style w:type="character" w:styleId="IntenseEmphasis">
    <w:name w:val="Intense Emphasis"/>
    <w:basedOn w:val="DefaultParagraphFont"/>
    <w:uiPriority w:val="21"/>
    <w:qFormat/>
    <w:rsid w:val="00D24E54"/>
    <w:rPr>
      <w:i/>
      <w:iCs/>
      <w:color w:val="0F4761" w:themeColor="accent1" w:themeShade="BF"/>
    </w:rPr>
  </w:style>
  <w:style w:type="paragraph" w:styleId="IntenseQuote">
    <w:name w:val="Intense Quote"/>
    <w:basedOn w:val="Normal"/>
    <w:next w:val="Normal"/>
    <w:link w:val="IntenseQuoteChar"/>
    <w:uiPriority w:val="30"/>
    <w:qFormat/>
    <w:rsid w:val="00D24E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lang w:val="en-US" w:eastAsia="zh-CN"/>
    </w:rPr>
  </w:style>
  <w:style w:type="character" w:customStyle="1" w:styleId="IntenseQuoteChar">
    <w:name w:val="Intense Quote Char"/>
    <w:basedOn w:val="DefaultParagraphFont"/>
    <w:link w:val="IntenseQuote"/>
    <w:uiPriority w:val="30"/>
    <w:rsid w:val="00D24E54"/>
    <w:rPr>
      <w:i/>
      <w:iCs/>
      <w:color w:val="0F4761" w:themeColor="accent1" w:themeShade="BF"/>
    </w:rPr>
  </w:style>
  <w:style w:type="character" w:styleId="IntenseReference">
    <w:name w:val="Intense Reference"/>
    <w:basedOn w:val="DefaultParagraphFont"/>
    <w:uiPriority w:val="32"/>
    <w:qFormat/>
    <w:rsid w:val="00D24E54"/>
    <w:rPr>
      <w:b/>
      <w:bCs/>
      <w:smallCaps/>
      <w:color w:val="0F4761" w:themeColor="accent1" w:themeShade="BF"/>
      <w:spacing w:val="5"/>
    </w:rPr>
  </w:style>
  <w:style w:type="paragraph" w:customStyle="1" w:styleId="font-claude-response-body">
    <w:name w:val="font-claude-response-body"/>
    <w:basedOn w:val="Normal"/>
    <w:rsid w:val="00D24E5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24E54"/>
    <w:rPr>
      <w:b/>
      <w:bCs/>
    </w:rPr>
  </w:style>
  <w:style w:type="character" w:styleId="Emphasis">
    <w:name w:val="Emphasis"/>
    <w:basedOn w:val="DefaultParagraphFont"/>
    <w:uiPriority w:val="20"/>
    <w:qFormat/>
    <w:rsid w:val="00D24E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Pawar</dc:creator>
  <cp:keywords/>
  <dc:description/>
  <cp:lastModifiedBy>Sachin Pawar</cp:lastModifiedBy>
  <cp:revision>1</cp:revision>
  <dcterms:created xsi:type="dcterms:W3CDTF">2026-07-14T15:35:00Z</dcterms:created>
  <dcterms:modified xsi:type="dcterms:W3CDTF">2026-07-14T15:36:00Z</dcterms:modified>
</cp:coreProperties>
</file>