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9A070" w14:textId="77777777" w:rsidR="002564DF" w:rsidRDefault="002564DF" w:rsidP="002564DF">
      <w:pPr>
        <w:pStyle w:val="Title"/>
      </w:pPr>
      <w:r>
        <w:t>Supplementary Information</w:t>
      </w:r>
    </w:p>
    <w:p w14:paraId="183CAD1A" w14:textId="77777777" w:rsidR="002564DF" w:rsidRDefault="002564DF" w:rsidP="002564DF">
      <w:pPr>
        <w:spacing w:line="360" w:lineRule="auto"/>
        <w:rPr>
          <w:b/>
          <w:sz w:val="32"/>
          <w:szCs w:val="32"/>
        </w:rPr>
      </w:pPr>
    </w:p>
    <w:p w14:paraId="6AC96BB3" w14:textId="77777777" w:rsidR="002564DF" w:rsidRDefault="002564DF" w:rsidP="002564DF">
      <w:pPr>
        <w:spacing w:line="240" w:lineRule="auto"/>
        <w:rPr>
          <w:b/>
          <w:sz w:val="32"/>
          <w:szCs w:val="32"/>
        </w:rPr>
      </w:pPr>
      <w:r>
        <w:rPr>
          <w:b/>
          <w:sz w:val="32"/>
          <w:szCs w:val="32"/>
        </w:rPr>
        <w:t>Contents</w:t>
      </w:r>
    </w:p>
    <w:p w14:paraId="4C35A724" w14:textId="77777777" w:rsidR="002564DF" w:rsidRDefault="002564DF" w:rsidP="002564DF">
      <w:pPr>
        <w:spacing w:line="360" w:lineRule="auto"/>
        <w:jc w:val="left"/>
        <w:rPr>
          <w:b/>
          <w:sz w:val="2"/>
          <w:szCs w:val="2"/>
        </w:rPr>
      </w:pPr>
      <w:r>
        <w:pict w14:anchorId="51B59032">
          <v:rect id="_x0000_i1025" style="width:0;height:1.5pt" o:hralign="center" o:hrstd="t" o:hr="t" fillcolor="#a0a0a0" stroked="f"/>
        </w:pict>
      </w:r>
    </w:p>
    <w:sdt>
      <w:sdtPr>
        <w:id w:val="-1475215790"/>
        <w:docPartObj>
          <w:docPartGallery w:val="Table of Contents"/>
          <w:docPartUnique/>
        </w:docPartObj>
      </w:sdtPr>
      <w:sdtContent>
        <w:p w14:paraId="6D8AAAE0" w14:textId="0E1F3A97" w:rsidR="00312006" w:rsidRDefault="0006238C">
          <w:pPr>
            <w:pStyle w:val="TOC1"/>
            <w:rPr>
              <w:rFonts w:asciiTheme="minorHAnsi" w:hAnsiTheme="minorHAnsi" w:cstheme="minorBidi"/>
              <w:b w:val="0"/>
              <w:bCs w:val="0"/>
              <w:kern w:val="2"/>
              <w:sz w:val="21"/>
              <w:szCs w:val="22"/>
              <w:lang w:val="en-US"/>
            </w:rPr>
          </w:pPr>
          <w:r>
            <w:fldChar w:fldCharType="begin"/>
          </w:r>
          <w:r>
            <w:instrText xml:space="preserve"> TOC \o "1-3" \h \z \u </w:instrText>
          </w:r>
          <w:r>
            <w:fldChar w:fldCharType="separate"/>
          </w:r>
          <w:hyperlink w:anchor="_Toc86071808" w:history="1">
            <w:r w:rsidR="00312006" w:rsidRPr="006A4ED9">
              <w:rPr>
                <w:rStyle w:val="Hyperlink"/>
              </w:rPr>
              <w:t>A. Methodology</w:t>
            </w:r>
            <w:r w:rsidR="00312006">
              <w:rPr>
                <w:webHidden/>
              </w:rPr>
              <w:tab/>
            </w:r>
            <w:r w:rsidR="00312006">
              <w:rPr>
                <w:webHidden/>
              </w:rPr>
              <w:fldChar w:fldCharType="begin"/>
            </w:r>
            <w:r w:rsidR="00312006">
              <w:rPr>
                <w:webHidden/>
              </w:rPr>
              <w:instrText xml:space="preserve"> PAGEREF _Toc86071808 \h </w:instrText>
            </w:r>
            <w:r w:rsidR="00312006">
              <w:rPr>
                <w:webHidden/>
              </w:rPr>
            </w:r>
            <w:r w:rsidR="00312006">
              <w:rPr>
                <w:webHidden/>
              </w:rPr>
              <w:fldChar w:fldCharType="separate"/>
            </w:r>
            <w:r w:rsidR="00312006">
              <w:rPr>
                <w:webHidden/>
              </w:rPr>
              <w:t>2</w:t>
            </w:r>
            <w:r w:rsidR="00312006">
              <w:rPr>
                <w:webHidden/>
              </w:rPr>
              <w:fldChar w:fldCharType="end"/>
            </w:r>
          </w:hyperlink>
        </w:p>
        <w:p w14:paraId="7BCA46E9" w14:textId="5F41E7F5"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09" w:history="1">
            <w:r w:rsidRPr="006A4ED9">
              <w:rPr>
                <w:rStyle w:val="Hyperlink"/>
                <w:noProof/>
              </w:rPr>
              <w:t>A1. Derivation of the basic reproduction number from SIR model</w:t>
            </w:r>
            <w:r>
              <w:rPr>
                <w:noProof/>
                <w:webHidden/>
              </w:rPr>
              <w:tab/>
            </w:r>
            <w:r>
              <w:rPr>
                <w:noProof/>
                <w:webHidden/>
              </w:rPr>
              <w:fldChar w:fldCharType="begin"/>
            </w:r>
            <w:r>
              <w:rPr>
                <w:noProof/>
                <w:webHidden/>
              </w:rPr>
              <w:instrText xml:space="preserve"> PAGEREF _Toc86071809 \h </w:instrText>
            </w:r>
            <w:r>
              <w:rPr>
                <w:noProof/>
                <w:webHidden/>
              </w:rPr>
            </w:r>
            <w:r>
              <w:rPr>
                <w:noProof/>
                <w:webHidden/>
              </w:rPr>
              <w:fldChar w:fldCharType="separate"/>
            </w:r>
            <w:r>
              <w:rPr>
                <w:noProof/>
                <w:webHidden/>
              </w:rPr>
              <w:t>2</w:t>
            </w:r>
            <w:r>
              <w:rPr>
                <w:noProof/>
                <w:webHidden/>
              </w:rPr>
              <w:fldChar w:fldCharType="end"/>
            </w:r>
          </w:hyperlink>
        </w:p>
        <w:p w14:paraId="1A0F5C72" w14:textId="4B3F6ADF"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0" w:history="1">
            <w:r w:rsidRPr="006A4ED9">
              <w:rPr>
                <w:rStyle w:val="Hyperlink"/>
                <w:noProof/>
              </w:rPr>
              <w:t>A2. Calculation of the instantaneous basic reproduction number</w:t>
            </w:r>
            <w:r>
              <w:rPr>
                <w:noProof/>
                <w:webHidden/>
              </w:rPr>
              <w:tab/>
            </w:r>
            <w:r>
              <w:rPr>
                <w:noProof/>
                <w:webHidden/>
              </w:rPr>
              <w:fldChar w:fldCharType="begin"/>
            </w:r>
            <w:r>
              <w:rPr>
                <w:noProof/>
                <w:webHidden/>
              </w:rPr>
              <w:instrText xml:space="preserve"> PAGEREF _Toc86071810 \h </w:instrText>
            </w:r>
            <w:r>
              <w:rPr>
                <w:noProof/>
                <w:webHidden/>
              </w:rPr>
            </w:r>
            <w:r>
              <w:rPr>
                <w:noProof/>
                <w:webHidden/>
              </w:rPr>
              <w:fldChar w:fldCharType="separate"/>
            </w:r>
            <w:r>
              <w:rPr>
                <w:noProof/>
                <w:webHidden/>
              </w:rPr>
              <w:t>3</w:t>
            </w:r>
            <w:r>
              <w:rPr>
                <w:noProof/>
                <w:webHidden/>
              </w:rPr>
              <w:fldChar w:fldCharType="end"/>
            </w:r>
          </w:hyperlink>
        </w:p>
        <w:p w14:paraId="5A5A485F" w14:textId="16280344"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1" w:history="1">
            <w:r w:rsidRPr="006A4ED9">
              <w:rPr>
                <w:rStyle w:val="Hyperlink"/>
                <w:noProof/>
              </w:rPr>
              <w:t>A3. Calculation of the practical vaccination rate</w:t>
            </w:r>
            <w:r>
              <w:rPr>
                <w:noProof/>
                <w:webHidden/>
              </w:rPr>
              <w:tab/>
            </w:r>
            <w:r>
              <w:rPr>
                <w:noProof/>
                <w:webHidden/>
              </w:rPr>
              <w:fldChar w:fldCharType="begin"/>
            </w:r>
            <w:r>
              <w:rPr>
                <w:noProof/>
                <w:webHidden/>
              </w:rPr>
              <w:instrText xml:space="preserve"> PAGEREF _Toc86071811 \h </w:instrText>
            </w:r>
            <w:r>
              <w:rPr>
                <w:noProof/>
                <w:webHidden/>
              </w:rPr>
            </w:r>
            <w:r>
              <w:rPr>
                <w:noProof/>
                <w:webHidden/>
              </w:rPr>
              <w:fldChar w:fldCharType="separate"/>
            </w:r>
            <w:r>
              <w:rPr>
                <w:noProof/>
                <w:webHidden/>
              </w:rPr>
              <w:t>4</w:t>
            </w:r>
            <w:r>
              <w:rPr>
                <w:noProof/>
                <w:webHidden/>
              </w:rPr>
              <w:fldChar w:fldCharType="end"/>
            </w:r>
          </w:hyperlink>
        </w:p>
        <w:p w14:paraId="54973EE0" w14:textId="1DBCC118" w:rsidR="00312006" w:rsidRDefault="00312006">
          <w:pPr>
            <w:pStyle w:val="TOC1"/>
            <w:rPr>
              <w:rFonts w:asciiTheme="minorHAnsi" w:hAnsiTheme="minorHAnsi" w:cstheme="minorBidi"/>
              <w:b w:val="0"/>
              <w:bCs w:val="0"/>
              <w:kern w:val="2"/>
              <w:sz w:val="21"/>
              <w:szCs w:val="22"/>
              <w:lang w:val="en-US"/>
            </w:rPr>
          </w:pPr>
          <w:hyperlink w:anchor="_Toc86071812" w:history="1">
            <w:r w:rsidRPr="006A4ED9">
              <w:rPr>
                <w:rStyle w:val="Hyperlink"/>
              </w:rPr>
              <w:t>B. Additional results</w:t>
            </w:r>
            <w:r>
              <w:rPr>
                <w:webHidden/>
              </w:rPr>
              <w:tab/>
            </w:r>
            <w:r>
              <w:rPr>
                <w:webHidden/>
              </w:rPr>
              <w:fldChar w:fldCharType="begin"/>
            </w:r>
            <w:r>
              <w:rPr>
                <w:webHidden/>
              </w:rPr>
              <w:instrText xml:space="preserve"> PAGEREF _Toc86071812 \h </w:instrText>
            </w:r>
            <w:r>
              <w:rPr>
                <w:webHidden/>
              </w:rPr>
            </w:r>
            <w:r>
              <w:rPr>
                <w:webHidden/>
              </w:rPr>
              <w:fldChar w:fldCharType="separate"/>
            </w:r>
            <w:r>
              <w:rPr>
                <w:webHidden/>
              </w:rPr>
              <w:t>7</w:t>
            </w:r>
            <w:r>
              <w:rPr>
                <w:webHidden/>
              </w:rPr>
              <w:fldChar w:fldCharType="end"/>
            </w:r>
          </w:hyperlink>
        </w:p>
        <w:p w14:paraId="4953F376" w14:textId="5B7A3461"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3" w:history="1">
            <w:r w:rsidRPr="006A4ED9">
              <w:rPr>
                <w:rStyle w:val="Hyperlink"/>
                <w:noProof/>
              </w:rPr>
              <w:t>B1. MCMC convergence</w:t>
            </w:r>
            <w:r>
              <w:rPr>
                <w:noProof/>
                <w:webHidden/>
              </w:rPr>
              <w:tab/>
            </w:r>
            <w:r>
              <w:rPr>
                <w:noProof/>
                <w:webHidden/>
              </w:rPr>
              <w:fldChar w:fldCharType="begin"/>
            </w:r>
            <w:r>
              <w:rPr>
                <w:noProof/>
                <w:webHidden/>
              </w:rPr>
              <w:instrText xml:space="preserve"> PAGEREF _Toc86071813 \h </w:instrText>
            </w:r>
            <w:r>
              <w:rPr>
                <w:noProof/>
                <w:webHidden/>
              </w:rPr>
            </w:r>
            <w:r>
              <w:rPr>
                <w:noProof/>
                <w:webHidden/>
              </w:rPr>
              <w:fldChar w:fldCharType="separate"/>
            </w:r>
            <w:r>
              <w:rPr>
                <w:noProof/>
                <w:webHidden/>
              </w:rPr>
              <w:t>7</w:t>
            </w:r>
            <w:r>
              <w:rPr>
                <w:noProof/>
                <w:webHidden/>
              </w:rPr>
              <w:fldChar w:fldCharType="end"/>
            </w:r>
          </w:hyperlink>
        </w:p>
        <w:p w14:paraId="34AFD8C6" w14:textId="1E41871E"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4" w:history="1">
            <w:r w:rsidRPr="006A4ED9">
              <w:rPr>
                <w:rStyle w:val="Hyperlink"/>
                <w:noProof/>
              </w:rPr>
              <w:t>B2. Meta-analysis</w:t>
            </w:r>
            <w:r>
              <w:rPr>
                <w:noProof/>
                <w:webHidden/>
              </w:rPr>
              <w:tab/>
            </w:r>
            <w:r>
              <w:rPr>
                <w:noProof/>
                <w:webHidden/>
              </w:rPr>
              <w:fldChar w:fldCharType="begin"/>
            </w:r>
            <w:r>
              <w:rPr>
                <w:noProof/>
                <w:webHidden/>
              </w:rPr>
              <w:instrText xml:space="preserve"> PAGEREF _Toc86071814 \h </w:instrText>
            </w:r>
            <w:r>
              <w:rPr>
                <w:noProof/>
                <w:webHidden/>
              </w:rPr>
            </w:r>
            <w:r>
              <w:rPr>
                <w:noProof/>
                <w:webHidden/>
              </w:rPr>
              <w:fldChar w:fldCharType="separate"/>
            </w:r>
            <w:r>
              <w:rPr>
                <w:noProof/>
                <w:webHidden/>
              </w:rPr>
              <w:t>8</w:t>
            </w:r>
            <w:r>
              <w:rPr>
                <w:noProof/>
                <w:webHidden/>
              </w:rPr>
              <w:fldChar w:fldCharType="end"/>
            </w:r>
          </w:hyperlink>
        </w:p>
        <w:p w14:paraId="591BF4C7" w14:textId="53AE4C1E"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5" w:history="1">
            <w:r w:rsidRPr="006A4ED9">
              <w:rPr>
                <w:rStyle w:val="Hyperlink"/>
                <w:noProof/>
              </w:rPr>
              <w:t>B3. Collinearity</w:t>
            </w:r>
            <w:r>
              <w:rPr>
                <w:noProof/>
                <w:webHidden/>
              </w:rPr>
              <w:tab/>
            </w:r>
            <w:r>
              <w:rPr>
                <w:noProof/>
                <w:webHidden/>
              </w:rPr>
              <w:fldChar w:fldCharType="begin"/>
            </w:r>
            <w:r>
              <w:rPr>
                <w:noProof/>
                <w:webHidden/>
              </w:rPr>
              <w:instrText xml:space="preserve"> PAGEREF _Toc86071815 \h </w:instrText>
            </w:r>
            <w:r>
              <w:rPr>
                <w:noProof/>
                <w:webHidden/>
              </w:rPr>
            </w:r>
            <w:r>
              <w:rPr>
                <w:noProof/>
                <w:webHidden/>
              </w:rPr>
              <w:fldChar w:fldCharType="separate"/>
            </w:r>
            <w:r>
              <w:rPr>
                <w:noProof/>
                <w:webHidden/>
              </w:rPr>
              <w:t>14</w:t>
            </w:r>
            <w:r>
              <w:rPr>
                <w:noProof/>
                <w:webHidden/>
              </w:rPr>
              <w:fldChar w:fldCharType="end"/>
            </w:r>
          </w:hyperlink>
        </w:p>
        <w:p w14:paraId="208A4FC2" w14:textId="08615D96"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6" w:history="1">
            <w:r w:rsidRPr="006A4ED9">
              <w:rPr>
                <w:rStyle w:val="Hyperlink"/>
                <w:noProof/>
              </w:rPr>
              <w:t>B4. Herd immunity threshold</w:t>
            </w:r>
            <w:r>
              <w:rPr>
                <w:noProof/>
                <w:webHidden/>
              </w:rPr>
              <w:tab/>
            </w:r>
            <w:r>
              <w:rPr>
                <w:noProof/>
                <w:webHidden/>
              </w:rPr>
              <w:fldChar w:fldCharType="begin"/>
            </w:r>
            <w:r>
              <w:rPr>
                <w:noProof/>
                <w:webHidden/>
              </w:rPr>
              <w:instrText xml:space="preserve"> PAGEREF _Toc86071816 \h </w:instrText>
            </w:r>
            <w:r>
              <w:rPr>
                <w:noProof/>
                <w:webHidden/>
              </w:rPr>
            </w:r>
            <w:r>
              <w:rPr>
                <w:noProof/>
                <w:webHidden/>
              </w:rPr>
              <w:fldChar w:fldCharType="separate"/>
            </w:r>
            <w:r>
              <w:rPr>
                <w:noProof/>
                <w:webHidden/>
              </w:rPr>
              <w:t>14</w:t>
            </w:r>
            <w:r>
              <w:rPr>
                <w:noProof/>
                <w:webHidden/>
              </w:rPr>
              <w:fldChar w:fldCharType="end"/>
            </w:r>
          </w:hyperlink>
        </w:p>
        <w:p w14:paraId="75229AAB" w14:textId="36580131"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7" w:history="1">
            <w:r w:rsidRPr="006A4ED9">
              <w:rPr>
                <w:rStyle w:val="Hyperlink"/>
                <w:noProof/>
              </w:rPr>
              <w:t>B5. Sensitivity analysis</w:t>
            </w:r>
            <w:r>
              <w:rPr>
                <w:noProof/>
                <w:webHidden/>
              </w:rPr>
              <w:tab/>
            </w:r>
            <w:r>
              <w:rPr>
                <w:noProof/>
                <w:webHidden/>
              </w:rPr>
              <w:fldChar w:fldCharType="begin"/>
            </w:r>
            <w:r>
              <w:rPr>
                <w:noProof/>
                <w:webHidden/>
              </w:rPr>
              <w:instrText xml:space="preserve"> PAGEREF _Toc86071817 \h </w:instrText>
            </w:r>
            <w:r>
              <w:rPr>
                <w:noProof/>
                <w:webHidden/>
              </w:rPr>
            </w:r>
            <w:r>
              <w:rPr>
                <w:noProof/>
                <w:webHidden/>
              </w:rPr>
              <w:fldChar w:fldCharType="separate"/>
            </w:r>
            <w:r>
              <w:rPr>
                <w:noProof/>
                <w:webHidden/>
              </w:rPr>
              <w:t>15</w:t>
            </w:r>
            <w:r>
              <w:rPr>
                <w:noProof/>
                <w:webHidden/>
              </w:rPr>
              <w:fldChar w:fldCharType="end"/>
            </w:r>
          </w:hyperlink>
        </w:p>
        <w:p w14:paraId="4B94801E" w14:textId="14A3E2BD" w:rsidR="00312006" w:rsidRDefault="00312006">
          <w:pPr>
            <w:pStyle w:val="TOC1"/>
            <w:rPr>
              <w:rFonts w:asciiTheme="minorHAnsi" w:hAnsiTheme="minorHAnsi" w:cstheme="minorBidi"/>
              <w:b w:val="0"/>
              <w:bCs w:val="0"/>
              <w:kern w:val="2"/>
              <w:sz w:val="21"/>
              <w:szCs w:val="22"/>
              <w:lang w:val="en-US"/>
            </w:rPr>
          </w:pPr>
          <w:hyperlink w:anchor="_Toc86071818" w:history="1">
            <w:r w:rsidRPr="006A4ED9">
              <w:rPr>
                <w:rStyle w:val="Hyperlink"/>
              </w:rPr>
              <w:t>C. Additional discussions</w:t>
            </w:r>
            <w:r>
              <w:rPr>
                <w:webHidden/>
              </w:rPr>
              <w:tab/>
            </w:r>
            <w:r>
              <w:rPr>
                <w:webHidden/>
              </w:rPr>
              <w:fldChar w:fldCharType="begin"/>
            </w:r>
            <w:r>
              <w:rPr>
                <w:webHidden/>
              </w:rPr>
              <w:instrText xml:space="preserve"> PAGEREF _Toc86071818 \h </w:instrText>
            </w:r>
            <w:r>
              <w:rPr>
                <w:webHidden/>
              </w:rPr>
            </w:r>
            <w:r>
              <w:rPr>
                <w:webHidden/>
              </w:rPr>
              <w:fldChar w:fldCharType="separate"/>
            </w:r>
            <w:r>
              <w:rPr>
                <w:webHidden/>
              </w:rPr>
              <w:t>18</w:t>
            </w:r>
            <w:r>
              <w:rPr>
                <w:webHidden/>
              </w:rPr>
              <w:fldChar w:fldCharType="end"/>
            </w:r>
          </w:hyperlink>
        </w:p>
        <w:p w14:paraId="1B03CB41" w14:textId="7E17814C"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19" w:history="1">
            <w:r w:rsidRPr="006A4ED9">
              <w:rPr>
                <w:rStyle w:val="Hyperlink"/>
                <w:noProof/>
              </w:rPr>
              <w:t>C1. limitations of the reproduction number</w:t>
            </w:r>
            <w:r>
              <w:rPr>
                <w:noProof/>
                <w:webHidden/>
              </w:rPr>
              <w:tab/>
            </w:r>
            <w:r>
              <w:rPr>
                <w:noProof/>
                <w:webHidden/>
              </w:rPr>
              <w:fldChar w:fldCharType="begin"/>
            </w:r>
            <w:r>
              <w:rPr>
                <w:noProof/>
                <w:webHidden/>
              </w:rPr>
              <w:instrText xml:space="preserve"> PAGEREF _Toc86071819 \h </w:instrText>
            </w:r>
            <w:r>
              <w:rPr>
                <w:noProof/>
                <w:webHidden/>
              </w:rPr>
            </w:r>
            <w:r>
              <w:rPr>
                <w:noProof/>
                <w:webHidden/>
              </w:rPr>
              <w:fldChar w:fldCharType="separate"/>
            </w:r>
            <w:r>
              <w:rPr>
                <w:noProof/>
                <w:webHidden/>
              </w:rPr>
              <w:t>18</w:t>
            </w:r>
            <w:r>
              <w:rPr>
                <w:noProof/>
                <w:webHidden/>
              </w:rPr>
              <w:fldChar w:fldCharType="end"/>
            </w:r>
          </w:hyperlink>
        </w:p>
        <w:p w14:paraId="7B99339B" w14:textId="5B399272" w:rsidR="00312006" w:rsidRDefault="00312006">
          <w:pPr>
            <w:pStyle w:val="TOC2"/>
            <w:tabs>
              <w:tab w:val="right" w:leader="dot" w:pos="8290"/>
            </w:tabs>
            <w:ind w:left="480"/>
            <w:rPr>
              <w:rFonts w:asciiTheme="minorHAnsi" w:hAnsiTheme="minorHAnsi" w:cstheme="minorBidi"/>
              <w:noProof/>
              <w:kern w:val="2"/>
              <w:sz w:val="21"/>
              <w:szCs w:val="22"/>
              <w:lang w:val="en-US"/>
            </w:rPr>
          </w:pPr>
          <w:hyperlink w:anchor="_Toc86071820" w:history="1">
            <w:r w:rsidRPr="006A4ED9">
              <w:rPr>
                <w:rStyle w:val="Hyperlink"/>
                <w:noProof/>
              </w:rPr>
              <w:t>C2. Using stringency index of NPIs</w:t>
            </w:r>
            <w:r>
              <w:rPr>
                <w:noProof/>
                <w:webHidden/>
              </w:rPr>
              <w:tab/>
            </w:r>
            <w:r>
              <w:rPr>
                <w:noProof/>
                <w:webHidden/>
              </w:rPr>
              <w:fldChar w:fldCharType="begin"/>
            </w:r>
            <w:r>
              <w:rPr>
                <w:noProof/>
                <w:webHidden/>
              </w:rPr>
              <w:instrText xml:space="preserve"> PAGEREF _Toc86071820 \h </w:instrText>
            </w:r>
            <w:r>
              <w:rPr>
                <w:noProof/>
                <w:webHidden/>
              </w:rPr>
            </w:r>
            <w:r>
              <w:rPr>
                <w:noProof/>
                <w:webHidden/>
              </w:rPr>
              <w:fldChar w:fldCharType="separate"/>
            </w:r>
            <w:r>
              <w:rPr>
                <w:noProof/>
                <w:webHidden/>
              </w:rPr>
              <w:t>19</w:t>
            </w:r>
            <w:r>
              <w:rPr>
                <w:noProof/>
                <w:webHidden/>
              </w:rPr>
              <w:fldChar w:fldCharType="end"/>
            </w:r>
          </w:hyperlink>
        </w:p>
        <w:p w14:paraId="3F5DCDF3" w14:textId="75C8F5B2" w:rsidR="00312006" w:rsidRDefault="00312006">
          <w:pPr>
            <w:pStyle w:val="TOC1"/>
            <w:rPr>
              <w:rFonts w:asciiTheme="minorHAnsi" w:hAnsiTheme="minorHAnsi" w:cstheme="minorBidi"/>
              <w:b w:val="0"/>
              <w:bCs w:val="0"/>
              <w:kern w:val="2"/>
              <w:sz w:val="21"/>
              <w:szCs w:val="22"/>
              <w:lang w:val="en-US"/>
            </w:rPr>
          </w:pPr>
          <w:hyperlink w:anchor="_Toc86071821" w:history="1">
            <w:r w:rsidRPr="006A4ED9">
              <w:rPr>
                <w:rStyle w:val="Hyperlink"/>
              </w:rPr>
              <w:t>Reference</w:t>
            </w:r>
            <w:r>
              <w:rPr>
                <w:webHidden/>
              </w:rPr>
              <w:tab/>
            </w:r>
            <w:r>
              <w:rPr>
                <w:webHidden/>
              </w:rPr>
              <w:fldChar w:fldCharType="begin"/>
            </w:r>
            <w:r>
              <w:rPr>
                <w:webHidden/>
              </w:rPr>
              <w:instrText xml:space="preserve"> PAGEREF _Toc86071821 \h </w:instrText>
            </w:r>
            <w:r>
              <w:rPr>
                <w:webHidden/>
              </w:rPr>
            </w:r>
            <w:r>
              <w:rPr>
                <w:webHidden/>
              </w:rPr>
              <w:fldChar w:fldCharType="separate"/>
            </w:r>
            <w:r>
              <w:rPr>
                <w:webHidden/>
              </w:rPr>
              <w:t>20</w:t>
            </w:r>
            <w:r>
              <w:rPr>
                <w:webHidden/>
              </w:rPr>
              <w:fldChar w:fldCharType="end"/>
            </w:r>
          </w:hyperlink>
        </w:p>
        <w:p w14:paraId="35BB5D1D" w14:textId="0CB2BADF" w:rsidR="0006238C" w:rsidRDefault="0006238C">
          <w:r>
            <w:rPr>
              <w:b/>
              <w:bCs/>
              <w:noProof/>
            </w:rPr>
            <w:fldChar w:fldCharType="end"/>
          </w:r>
        </w:p>
      </w:sdtContent>
    </w:sdt>
    <w:p w14:paraId="4159E652" w14:textId="77777777" w:rsidR="002564DF" w:rsidRDefault="002564DF" w:rsidP="002564DF">
      <w:pPr>
        <w:spacing w:line="360" w:lineRule="auto"/>
        <w:rPr>
          <w:b/>
          <w:sz w:val="32"/>
          <w:szCs w:val="32"/>
        </w:rPr>
      </w:pPr>
    </w:p>
    <w:p w14:paraId="30E5B440" w14:textId="7D7676B7" w:rsidR="002564DF" w:rsidRDefault="002564DF" w:rsidP="002564DF">
      <w:pPr>
        <w:spacing w:line="360" w:lineRule="auto"/>
        <w:rPr>
          <w:rFonts w:hint="eastAsia"/>
          <w:b/>
          <w:sz w:val="32"/>
          <w:szCs w:val="32"/>
        </w:rPr>
      </w:pPr>
    </w:p>
    <w:p w14:paraId="7740DAA1" w14:textId="77777777" w:rsidR="002564DF" w:rsidRDefault="002564DF" w:rsidP="002564DF">
      <w:pPr>
        <w:spacing w:line="240" w:lineRule="auto"/>
        <w:jc w:val="left"/>
        <w:rPr>
          <w:b/>
        </w:rPr>
      </w:pPr>
      <w:r>
        <w:br w:type="page"/>
      </w:r>
    </w:p>
    <w:p w14:paraId="0E105B76" w14:textId="77777777" w:rsidR="002564DF" w:rsidRDefault="002564DF" w:rsidP="002564DF">
      <w:pPr>
        <w:pStyle w:val="Heading1"/>
        <w:spacing w:line="480" w:lineRule="auto"/>
      </w:pPr>
      <w:bookmarkStart w:id="0" w:name="_mjwv6n47d9jl" w:colFirst="0" w:colLast="0"/>
      <w:bookmarkStart w:id="1" w:name="_Toc86071808"/>
      <w:bookmarkEnd w:id="0"/>
      <w:r>
        <w:lastRenderedPageBreak/>
        <w:t>A. Methodology</w:t>
      </w:r>
      <w:bookmarkEnd w:id="1"/>
    </w:p>
    <w:p w14:paraId="249172D8" w14:textId="77777777" w:rsidR="002564DF" w:rsidRDefault="002564DF" w:rsidP="002564DF">
      <w:pPr>
        <w:pStyle w:val="Heading2"/>
        <w:spacing w:line="480" w:lineRule="auto"/>
      </w:pPr>
      <w:bookmarkStart w:id="2" w:name="_noekqpmghl8a" w:colFirst="0" w:colLast="0"/>
      <w:bookmarkStart w:id="3" w:name="_Toc86071809"/>
      <w:bookmarkEnd w:id="2"/>
      <w:r>
        <w:t>A1. Derivation of the basic reproduction number from SIR model</w:t>
      </w:r>
      <w:bookmarkEnd w:id="3"/>
    </w:p>
    <w:p w14:paraId="7AEF8C0D" w14:textId="6A560ED3" w:rsidR="002564DF" w:rsidRDefault="002564DF" w:rsidP="002564DF">
      <w:r>
        <w:t xml:space="preserve">The basic reproduction number, denoted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is an important epidemiological parameter, representing the expected number of infections caused by an imported infection during the corresponding infection period when everyone else is susceptible. When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&lt;1</m:t>
        </m:r>
      </m:oMath>
      <w:r>
        <w:t>, the average number of the second-generation infections will be less than 1, where the epidemic will gradually vanish. Though incubation period does exist for Covid-19, we used the Susceptible-Infectious-Recovered (SIR) model to derive the basic reproduction number because cases identified by mass screening include both the infectious and the exposed population. Assuming there is no significant natural births and deaths, the standard SIR model without any intervention can be described as</w:t>
      </w:r>
    </w:p>
    <w:p w14:paraId="52DCC8C8" w14:textId="77777777" w:rsidR="002564DF" w:rsidRDefault="002564DF" w:rsidP="002564DF">
      <w:pPr>
        <w:jc w:val="center"/>
      </w:pPr>
      <m:oMathPara>
        <m:oMath>
          <m:r>
            <w:rPr>
              <w:rFonts w:ascii="Cambria Math" w:hAnsi="Cambria Math"/>
            </w:rPr>
            <m:t>dS=-βIS</m:t>
          </m:r>
        </m:oMath>
      </m:oMathPara>
    </w:p>
    <w:p w14:paraId="7B0F7672" w14:textId="77777777" w:rsidR="002564DF" w:rsidRDefault="002564DF" w:rsidP="002564DF">
      <w:pPr>
        <w:jc w:val="center"/>
      </w:pPr>
      <m:oMathPara>
        <m:oMath>
          <m:r>
            <w:rPr>
              <w:rFonts w:ascii="Cambria Math" w:hAnsi="Cambria Math"/>
            </w:rPr>
            <m:t>dI=βIS-γI</m:t>
          </m:r>
        </m:oMath>
      </m:oMathPara>
    </w:p>
    <w:p w14:paraId="1B3FF2CB" w14:textId="77777777" w:rsidR="002564DF" w:rsidRDefault="002564DF" w:rsidP="002564DF">
      <w:pPr>
        <w:jc w:val="center"/>
      </w:pPr>
      <m:oMathPara>
        <m:oMath>
          <m:r>
            <w:rPr>
              <w:rFonts w:ascii="Cambria Math" w:hAnsi="Cambria Math"/>
            </w:rPr>
            <m:t>dR=γI</m:t>
          </m:r>
        </m:oMath>
      </m:oMathPara>
    </w:p>
    <w:p w14:paraId="7F52277D" w14:textId="116D8ADB" w:rsidR="002564DF" w:rsidRDefault="002564DF" w:rsidP="002564DF">
      <w:r>
        <w:t xml:space="preserve">where </w:t>
      </w:r>
      <m:oMath>
        <m:r>
          <w:rPr>
            <w:rFonts w:ascii="Cambria Math" w:hAnsi="Cambria Math"/>
          </w:rPr>
          <m:t>β</m:t>
        </m:r>
      </m:oMath>
      <w:r>
        <w:t xml:space="preserve"> is the transmission rate and </w:t>
      </w:r>
      <m:oMath>
        <m:r>
          <w:rPr>
            <w:rFonts w:ascii="Cambria Math" w:hAnsi="Cambria Math"/>
          </w:rPr>
          <m:t>γ</m:t>
        </m:r>
      </m:oMath>
      <w:r>
        <w:t xml:space="preserve"> is the recovery </w:t>
      </w:r>
      <w:proofErr w:type="gramStart"/>
      <w:r>
        <w:t>rate.</w:t>
      </w:r>
      <w:proofErr w:type="gramEnd"/>
      <w:r>
        <w:t xml:space="preserve"> Here, we use the </w:t>
      </w:r>
      <w:r w:rsidR="00FA7E11">
        <w:t>disease-free</w:t>
      </w:r>
      <w:r>
        <w:t xml:space="preserve"> equilibrium of the above epidemiological model to derive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from the regeneration matrix. In specific, assuming</w:t>
      </w:r>
    </w:p>
    <w:p w14:paraId="0DC1ED22" w14:textId="77777777" w:rsidR="002564DF" w:rsidRDefault="002564DF" w:rsidP="002564DF">
      <w:pPr>
        <w:jc w:val="center"/>
      </w:pPr>
      <m:oMathPara>
        <m:oMath>
          <m:r>
            <w:rPr>
              <w:rFonts w:ascii="Cambria Math" w:hAnsi="Cambria Math"/>
            </w:rPr>
            <m:t>dx/dt=f(x)=r(x)-h(x)</m:t>
          </m:r>
        </m:oMath>
      </m:oMathPara>
    </w:p>
    <w:p w14:paraId="63B2FB9B" w14:textId="77777777" w:rsidR="002564DF" w:rsidRDefault="002564DF" w:rsidP="002564DF">
      <w:r>
        <w:t xml:space="preserve">where </w:t>
      </w:r>
      <m:oMath>
        <m:r>
          <w:rPr>
            <w:rFonts w:ascii="Cambria Math" w:hAnsi="Cambria Math"/>
          </w:rPr>
          <m:t>r(x)</m:t>
        </m:r>
      </m:oMath>
      <w:r>
        <w:t xml:space="preserve"> is the ratio of new infection, </w:t>
      </w:r>
      <m:oMath>
        <m:r>
          <w:rPr>
            <w:rFonts w:ascii="Cambria Math" w:hAnsi="Cambria Math"/>
          </w:rPr>
          <m:t>h(x)</m:t>
        </m:r>
      </m:oMath>
      <w:r>
        <w:t xml:space="preserve"> is the transfer rate that infections moved to the recovered </w:t>
      </w:r>
      <w:proofErr w:type="gramStart"/>
      <w:r>
        <w:t>population.</w:t>
      </w:r>
      <w:proofErr w:type="gramEnd"/>
      <w:r>
        <w:t xml:space="preserve"> The regeneration matrix is defined as</w:t>
      </w:r>
    </w:p>
    <w:p w14:paraId="646B435F" w14:textId="77777777" w:rsidR="002564DF" w:rsidRDefault="002564DF" w:rsidP="002564DF">
      <w:pPr>
        <w:jc w:val="center"/>
      </w:pPr>
      <m:oMathPara>
        <m:oMath>
          <m:r>
            <w:rPr>
              <w:rFonts w:ascii="Cambria Math" w:hAnsi="Cambria Math"/>
            </w:rPr>
            <m:t>F</m:t>
          </m:r>
          <m:sSup>
            <m:sSupPr>
              <m:ctrlPr>
                <w:rPr>
                  <w:rFonts w:ascii="Cambria Math" w:hAnsi="Cambria Math"/>
                </w:rPr>
              </m:ctrlPr>
            </m:sSupPr>
            <m:e>
              <m:r>
                <w:rPr>
                  <w:rFonts w:ascii="Cambria Math" w:hAnsi="Cambria Math"/>
                </w:rPr>
                <m:t>V</m:t>
              </m:r>
            </m:e>
            <m:sup>
              <m:r>
                <w:rPr>
                  <w:rFonts w:ascii="Cambria Math" w:hAnsi="Cambria Math"/>
                </w:rPr>
                <m:t>-1</m:t>
              </m:r>
            </m:sup>
          </m:sSup>
          <m:r>
            <w:rPr>
              <w:rFonts w:ascii="Cambria Math" w:hAnsi="Cambria Math"/>
            </w:rPr>
            <m:t>=dr/dx*(dh/dx</m:t>
          </m:r>
          <m:sSup>
            <m:sSupPr>
              <m:ctrlPr>
                <w:rPr>
                  <w:rFonts w:ascii="Cambria Math" w:hAnsi="Cambria Math"/>
                </w:rPr>
              </m:ctrlPr>
            </m:sSupPr>
            <m:e>
              <m:r>
                <w:rPr>
                  <w:rFonts w:ascii="Cambria Math" w:hAnsi="Cambria Math"/>
                </w:rPr>
                <m:t>)</m:t>
              </m:r>
            </m:e>
            <m:sup>
              <m:r>
                <w:rPr>
                  <w:rFonts w:ascii="Cambria Math" w:hAnsi="Cambria Math"/>
                </w:rPr>
                <m:t>-1</m:t>
              </m:r>
            </m:sup>
          </m:sSup>
        </m:oMath>
      </m:oMathPara>
    </w:p>
    <w:p w14:paraId="02047A18" w14:textId="40332D34" w:rsidR="002564DF" w:rsidRDefault="002564DF" w:rsidP="002564DF">
      <w:r>
        <w:t xml:space="preserve">Now, the basic reproduction number,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is the spectral radius of the regeneration matrix, i.e., the eigenvalue with the maximum norm. With respect to the above standard SIR model, the regeneration matrix is</w:t>
      </w:r>
    </w:p>
    <w:p w14:paraId="00CC9163" w14:textId="77777777" w:rsidR="002564DF" w:rsidRDefault="002564DF" w:rsidP="002564DF">
      <w:pPr>
        <w:jc w:val="center"/>
      </w:pPr>
      <m:oMath>
        <m:r>
          <w:rPr>
            <w:rFonts w:ascii="Cambria Math" w:hAnsi="Cambria Math"/>
          </w:rPr>
          <m:t>F</m:t>
        </m:r>
        <m:sSup>
          <m:sSupPr>
            <m:ctrlPr>
              <w:rPr>
                <w:rFonts w:ascii="Cambria Math" w:hAnsi="Cambria Math"/>
              </w:rPr>
            </m:ctrlPr>
          </m:sSupPr>
          <m:e>
            <m:r>
              <w:rPr>
                <w:rFonts w:ascii="Cambria Math" w:hAnsi="Cambria Math"/>
              </w:rPr>
              <m:t>V</m:t>
            </m:r>
          </m:e>
          <m:sup>
            <m:r>
              <w:rPr>
                <w:rFonts w:ascii="Cambria Math" w:hAnsi="Cambria Math"/>
              </w:rPr>
              <m:t>-1</m:t>
            </m:r>
          </m:sup>
        </m:sSup>
      </m:oMath>
      <w:r>
        <w:t>=</w:t>
      </w:r>
      <m:oMath>
        <m:r>
          <w:rPr>
            <w:rFonts w:ascii="Cambria Math" w:hAnsi="Cambria Math"/>
          </w:rPr>
          <m:t>d(βIS)/dI*(d(γI)/dI</m:t>
        </m:r>
        <m:sSup>
          <m:sSupPr>
            <m:ctrlPr>
              <w:rPr>
                <w:rFonts w:ascii="Cambria Math" w:hAnsi="Cambria Math"/>
              </w:rPr>
            </m:ctrlPr>
          </m:sSupPr>
          <m:e>
            <m:r>
              <w:rPr>
                <w:rFonts w:ascii="Cambria Math" w:hAnsi="Cambria Math"/>
              </w:rPr>
              <m:t>)</m:t>
            </m:r>
          </m:e>
          <m:sup>
            <m:r>
              <w:rPr>
                <w:rFonts w:ascii="Cambria Math" w:hAnsi="Cambria Math"/>
              </w:rPr>
              <m:t>-1</m:t>
            </m:r>
          </m:sup>
        </m:sSup>
        <m:r>
          <w:rPr>
            <w:rFonts w:ascii="Cambria Math" w:hAnsi="Cambria Math"/>
          </w:rPr>
          <m:t>=βS/γ</m:t>
        </m:r>
      </m:oMath>
    </w:p>
    <w:p w14:paraId="42F22BF4" w14:textId="6117E703" w:rsidR="002564DF" w:rsidRDefault="002564DF" w:rsidP="002564DF">
      <w:r>
        <w:lastRenderedPageBreak/>
        <w:t xml:space="preserve">and the </w:t>
      </w:r>
      <w:r w:rsidR="00FA7E11">
        <w:t>disease-free</w:t>
      </w:r>
      <w:r>
        <w:t xml:space="preserve"> equilibrium is (1,0,0). Thus, the basic reproduction number is </w:t>
      </w:r>
    </w:p>
    <w:p w14:paraId="5F8D07D3" w14:textId="77777777" w:rsidR="002564DF" w:rsidRDefault="002564DF" w:rsidP="002564DF">
      <w:pPr>
        <w:jc w:val="center"/>
      </w:pPr>
      <m:oMathPara>
        <m:oMath>
          <m:sSub>
            <m:sSubPr>
              <m:ctrlPr>
                <w:rPr>
                  <w:rFonts w:ascii="Cambria Math" w:hAnsi="Cambria Math"/>
                </w:rPr>
              </m:ctrlPr>
            </m:sSubPr>
            <m:e>
              <m:r>
                <w:rPr>
                  <w:rFonts w:ascii="Cambria Math" w:hAnsi="Cambria Math"/>
                </w:rPr>
                <m:t>R</m:t>
              </m:r>
            </m:e>
            <m:sub>
              <m:r>
                <w:rPr>
                  <w:rFonts w:ascii="Cambria Math" w:hAnsi="Cambria Math"/>
                </w:rPr>
                <m:t>0</m:t>
              </m:r>
            </m:sub>
          </m:sSub>
          <m:r>
            <w:rPr>
              <w:rFonts w:ascii="Cambria Math" w:hAnsi="Cambria Math"/>
            </w:rPr>
            <m:t>=β/γ</m:t>
          </m:r>
        </m:oMath>
      </m:oMathPara>
    </w:p>
    <w:p w14:paraId="40720EBB" w14:textId="15352F6D" w:rsidR="002564DF" w:rsidRDefault="002564DF" w:rsidP="002564DF">
      <w:r>
        <w:t xml:space="preserve">The effective reproduction number, denoted </w:t>
      </w:r>
      <m:oMath>
        <m:sSub>
          <m:sSubPr>
            <m:ctrlPr>
              <w:rPr>
                <w:rFonts w:ascii="Cambria Math" w:hAnsi="Cambria Math"/>
                <w:i/>
              </w:rPr>
            </m:ctrlPr>
          </m:sSubPr>
          <m:e>
            <m:r>
              <w:rPr>
                <w:rFonts w:ascii="Cambria Math" w:hAnsi="Cambria Math"/>
              </w:rPr>
              <m:t>R</m:t>
            </m:r>
          </m:e>
          <m:sub>
            <m:r>
              <w:rPr>
                <w:rFonts w:ascii="Cambria Math" w:hAnsi="Cambria Math"/>
              </w:rPr>
              <m:t>t</m:t>
            </m:r>
          </m:sub>
        </m:sSub>
      </m:oMath>
      <w:r>
        <w:t>, is defined as</w:t>
      </w:r>
    </w:p>
    <w:p w14:paraId="72ABF70B" w14:textId="77777777" w:rsidR="002564DF" w:rsidRDefault="002564DF" w:rsidP="002564DF">
      <w:pPr>
        <w:jc w:val="center"/>
      </w:pPr>
      <w:r>
        <w:t xml:space="preserve"> </w:t>
      </w:r>
      <m:oMath>
        <m:sSub>
          <m:sSubPr>
            <m:ctrlPr>
              <w:rPr>
                <w:rFonts w:ascii="Cambria Math" w:hAnsi="Cambria Math"/>
              </w:rPr>
            </m:ctrlPr>
          </m:sSubPr>
          <m:e>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=R</m:t>
            </m:r>
          </m:e>
          <m:sub>
            <m:r>
              <w:rPr>
                <w:rFonts w:ascii="Cambria Math" w:hAnsi="Cambria Math"/>
              </w:rPr>
              <m:t>0</m:t>
            </m:r>
          </m:sub>
        </m:sSub>
        <m:r>
          <w:rPr>
            <w:rFonts w:ascii="Cambria Math" w:hAnsi="Cambria Math"/>
          </w:rPr>
          <m:t>*(S/S+I+R)</m:t>
        </m:r>
      </m:oMath>
    </w:p>
    <w:p w14:paraId="4A315C67" w14:textId="77777777" w:rsidR="002564DF" w:rsidRDefault="002564DF" w:rsidP="002564DF">
      <w:r>
        <w:t>which is equals to the average number of individuals infected by a single infection when a fraction (</w:t>
      </w:r>
      <m:oMath>
        <m:r>
          <w:rPr>
            <w:rFonts w:ascii="Cambria Math" w:hAnsi="Cambria Math"/>
          </w:rPr>
          <m:t>S/S+I+R</m:t>
        </m:r>
      </m:oMath>
      <w:r>
        <w:t>) of the population is susceptible. Finally, the daily growth rate (</w:t>
      </w:r>
      <m:oMath>
        <m:sSub>
          <m:sSubPr>
            <m:ctrlPr>
              <w:rPr>
                <w:rFonts w:ascii="Cambria Math" w:hAnsi="Cambria Math"/>
              </w:rPr>
            </m:ctrlPr>
          </m:sSubPr>
          <m:e>
            <m:r>
              <w:rPr>
                <w:rFonts w:ascii="Cambria Math" w:hAnsi="Cambria Math"/>
              </w:rPr>
              <m:t>g</m:t>
            </m:r>
          </m:e>
          <m:sub>
            <m:r>
              <w:rPr>
                <w:rFonts w:ascii="Cambria Math" w:hAnsi="Cambria Math"/>
              </w:rPr>
              <m:t>t</m:t>
            </m:r>
          </m:sub>
        </m:sSub>
      </m:oMath>
      <w:r>
        <w:t>) of the number of infections is</w:t>
      </w:r>
    </w:p>
    <w:p w14:paraId="62B2BB8D" w14:textId="77777777" w:rsidR="002564DF" w:rsidRDefault="002564DF" w:rsidP="002564DF">
      <w:pPr>
        <w:jc w:val="center"/>
      </w:pPr>
      <m:oMathPara>
        <m:oMath>
          <m:sSub>
            <m:sSubPr>
              <m:ctrlPr>
                <w:rPr>
                  <w:rFonts w:ascii="Cambria Math" w:hAnsi="Cambria Math"/>
                </w:rPr>
              </m:ctrlPr>
            </m:sSubPr>
            <m:e>
              <m:r>
                <w:rPr>
                  <w:rFonts w:ascii="Cambria Math" w:hAnsi="Cambria Math"/>
                </w:rPr>
                <m:t>g</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=γ(</m:t>
          </m:r>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-1)</m:t>
          </m:r>
        </m:oMath>
      </m:oMathPara>
    </w:p>
    <w:p w14:paraId="7DD1EBC8" w14:textId="77777777" w:rsidR="002564DF" w:rsidRDefault="002564DF" w:rsidP="002564DF">
      <w:pPr>
        <w:pStyle w:val="Heading2"/>
        <w:spacing w:line="480" w:lineRule="auto"/>
      </w:pPr>
      <w:bookmarkStart w:id="4" w:name="_92hiieihvg54" w:colFirst="0" w:colLast="0"/>
      <w:bookmarkStart w:id="5" w:name="_Toc86071810"/>
      <w:bookmarkEnd w:id="4"/>
      <w:r>
        <w:t>A2. Calculation of the instantaneous basic reproduction number</w:t>
      </w:r>
      <w:bookmarkEnd w:id="5"/>
    </w:p>
    <w:p w14:paraId="794F5682" w14:textId="24E826B5" w:rsidR="002564DF" w:rsidRDefault="002564DF" w:rsidP="002564DF">
      <w:r>
        <w:t>The basic reproduction number of an infection is the expected number of cases directly generated by one case in a population where all individuals are susceptible to infection</w:t>
      </w:r>
      <w:hyperlink w:anchor="_Reference">
        <w:r>
          <w:rPr>
            <w:color w:val="1155CC"/>
            <w:u w:val="single"/>
            <w:vertAlign w:val="superscript"/>
          </w:rPr>
          <w:t>1</w:t>
        </w:r>
      </w:hyperlink>
      <w:r>
        <w:t xml:space="preserve">. The basic reproduction number is affected by several factors, including the duration of infectivity of affected people, the infectiousness of the microorganism, and the number of susceptible people in the population that the infected people contact. Within the same local context, because of the different infectiousness between SARS-CoV-2, the original virus caused Covid-19, and its variants, different coronavirus implies different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There were many studies </w:t>
      </w:r>
      <w:hyperlink w:anchor="_Reference">
        <w:r>
          <w:rPr>
            <w:color w:val="1155CC"/>
            <w:u w:val="single"/>
            <w:vertAlign w:val="superscript"/>
          </w:rPr>
          <w:t>2-11</w:t>
        </w:r>
      </w:hyperlink>
      <w:r>
        <w:t xml:space="preserve"> about the transmissibility of SARS-CoV-2 as well as its variants, reported by the corresponding estimated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For each country, we estimated the instantaneous basic reproduction number, denoted </w:t>
      </w:r>
      <m:oMath>
        <m:sSub>
          <m:sSubPr>
            <m:ctrlPr>
              <w:rPr>
                <w:rFonts w:ascii="Cambria Math" w:hAnsi="Cambria Math"/>
                <w:i/>
              </w:rPr>
            </m:ctrlPr>
          </m:sSubPr>
          <m:e>
            <m:r>
              <w:rPr>
                <w:rFonts w:ascii="Cambria Math" w:hAnsi="Cambria Math"/>
              </w:rPr>
              <m:t>R</m:t>
            </m:r>
          </m:e>
          <m:sub>
            <m:r>
              <w:rPr>
                <w:rFonts w:ascii="Cambria Math" w:hAnsi="Cambria Math"/>
              </w:rPr>
              <m:t>0</m:t>
            </m:r>
            <m:r>
              <w:rPr>
                <w:rFonts w:ascii="Cambria Math" w:hAnsi="Cambria Math"/>
              </w:rPr>
              <m:t>,t</m:t>
            </m:r>
          </m:sub>
        </m:sSub>
      </m:oMath>
      <w:r>
        <w:t>, to account for the different structures of variants that produced the identified Covid-19 cases over time. We used the weighted average of the basic reproduction number of each coronavirus as the instantaneous basic reproduction number,</w:t>
      </w:r>
    </w:p>
    <w:p w14:paraId="73B6A6FE" w14:textId="2E175B4D" w:rsidR="002564DF" w:rsidRDefault="002564DF" w:rsidP="002564DF">
      <w:pPr>
        <w:jc w:val="center"/>
      </w:pPr>
      <m:oMathPara>
        <m:oMath>
          <m:sSub>
            <m:sSubPr>
              <m:ctrlPr>
                <w:rPr>
                  <w:rFonts w:ascii="Cambria Math" w:hAnsi="Cambria Math"/>
                </w:rPr>
              </m:ctrlPr>
            </m:sSubPr>
            <m:e>
              <m:r>
                <w:rPr>
                  <w:rFonts w:ascii="Cambria Math" w:hAnsi="Cambria Math"/>
                </w:rPr>
                <m:t>R</m:t>
              </m:r>
            </m:e>
            <m:sub>
              <m:r>
                <w:rPr>
                  <w:rFonts w:ascii="Cambria Math" w:hAnsi="Cambria Math"/>
                </w:rPr>
                <m:t>0,t</m:t>
              </m:r>
            </m:sub>
          </m:sSub>
          <m:r>
            <w:rPr>
              <w:rFonts w:ascii="Cambria Math" w:hAnsi="Cambria Math"/>
            </w:rPr>
            <m:t>=</m:t>
          </m:r>
          <m:nary>
            <m:naryPr>
              <m:chr m:val="∑"/>
              <m:ctrlPr>
                <w:rPr>
                  <w:rFonts w:ascii="Cambria Math" w:hAnsi="Cambria Math"/>
                </w:rPr>
              </m:ctrlPr>
            </m:naryPr>
            <m:sub>
              <m:r>
                <w:rPr>
                  <w:rFonts w:ascii="Cambria Math" w:hAnsi="Cambria Math"/>
                </w:rPr>
                <m:t>i=1</m:t>
              </m:r>
            </m:sub>
            <m:sup>
              <m:r>
                <w:rPr>
                  <w:rFonts w:ascii="Cambria Math" w:hAnsi="Cambria Math"/>
                </w:rPr>
                <m:t>7</m:t>
              </m:r>
            </m:sup>
            <m:e>
              <m:sSub>
                <m:sSubPr>
                  <m:ctrlPr>
                    <w:rPr>
                      <w:rFonts w:ascii="Cambria Math" w:hAnsi="Cambria Math"/>
                    </w:rPr>
                  </m:ctrlPr>
                </m:sSubPr>
                <m:e>
                  <m:r>
                    <w:rPr>
                      <w:rFonts w:ascii="Cambria Math" w:hAnsi="Cambria Math"/>
                    </w:rPr>
                    <m:t>w</m:t>
                  </m:r>
                </m:e>
                <m:sub>
                  <m:r>
                    <w:rPr>
                      <w:rFonts w:ascii="Cambria Math" w:hAnsi="Cambria Math"/>
                    </w:rPr>
                    <m:t>i,t</m:t>
                  </m:r>
                </m:sub>
              </m:sSub>
              <m:sSub>
                <m:sSubPr>
                  <m:ctrlPr>
                    <w:rPr>
                      <w:rFonts w:ascii="Cambria Math" w:hAnsi="Cambria Math"/>
                    </w:rPr>
                  </m:ctrlPr>
                </m:sSubPr>
                <m:e>
                  <m:r>
                    <w:rPr>
                      <w:rFonts w:ascii="Cambria Math" w:hAnsi="Cambria Math"/>
                    </w:rPr>
                    <m:t>R</m:t>
                  </m:r>
                </m:e>
                <m:sub>
                  <m:r>
                    <w:rPr>
                      <w:rFonts w:ascii="Cambria Math" w:hAnsi="Cambria Math"/>
                    </w:rPr>
                    <m:t>0,i</m:t>
                  </m:r>
                </m:sub>
              </m:sSub>
            </m:e>
          </m:nary>
        </m:oMath>
      </m:oMathPara>
    </w:p>
    <w:p w14:paraId="41316286" w14:textId="27660EF2" w:rsidR="002564DF" w:rsidRDefault="002564DF" w:rsidP="002564DF">
      <w:r>
        <w:lastRenderedPageBreak/>
        <w:t xml:space="preserve">where </w:t>
      </w:r>
      <m:oMath>
        <m:sSub>
          <m:sSubPr>
            <m:ctrlPr>
              <w:rPr>
                <w:rFonts w:ascii="Cambria Math" w:hAnsi="Cambria Math"/>
              </w:rPr>
            </m:ctrlPr>
          </m:sSubPr>
          <m:e>
            <m:r>
              <w:rPr>
                <w:rFonts w:ascii="Cambria Math" w:hAnsi="Cambria Math"/>
              </w:rPr>
              <m:t>w</m:t>
            </m:r>
          </m:e>
          <m:sub>
            <m:r>
              <w:rPr>
                <w:rFonts w:ascii="Cambria Math" w:hAnsi="Cambria Math"/>
              </w:rPr>
              <m:t>i,t</m:t>
            </m:r>
          </m:sub>
        </m:sSub>
      </m:oMath>
      <w:r>
        <w:t xml:space="preserve"> is the weight of the basic reproduction number of the coronavirus i, </w:t>
      </w:r>
      <m:oMath>
        <m:sSub>
          <m:sSubPr>
            <m:ctrlPr>
              <w:rPr>
                <w:rFonts w:ascii="Cambria Math" w:hAnsi="Cambria Math"/>
              </w:rPr>
            </m:ctrlPr>
          </m:sSubPr>
          <m:e>
            <m:r>
              <w:rPr>
                <w:rFonts w:ascii="Cambria Math" w:hAnsi="Cambria Math"/>
              </w:rPr>
              <m:t>R</m:t>
            </m:r>
          </m:e>
          <m:sub>
            <m:r>
              <w:rPr>
                <w:rFonts w:ascii="Cambria Math" w:hAnsi="Cambria Math"/>
              </w:rPr>
              <m:t>0,i</m:t>
            </m:r>
          </m:sub>
        </m:sSub>
      </m:oMath>
      <w:r>
        <w:t xml:space="preserve">, at day </w:t>
      </w:r>
      <m:oMath>
        <m:r>
          <w:rPr>
            <w:rFonts w:ascii="Cambria Math" w:hAnsi="Cambria Math"/>
          </w:rPr>
          <m:t>t</m:t>
        </m:r>
      </m:oMath>
      <w:r>
        <w:t xml:space="preserve">, calculated by the proportion of infections caused by that </w:t>
      </w:r>
      <w:proofErr w:type="gramStart"/>
      <w:r>
        <w:t>virus.</w:t>
      </w:r>
      <w:proofErr w:type="gramEnd"/>
      <w:r>
        <w:t xml:space="preserve"> The basic reproduction number of SARS-CoV-2 and its variants can be found in Table A1. Of note, the transmissibility of variants was mainly reported by the expansion of the basic reproduction number of SARS-CoV-2. However, the basic reproduction numbers estimated across countries worldwide were different. Thus, we place a normal distribution with a mean of 3.25 over </w:t>
      </w:r>
      <m:oMath>
        <m:sSub>
          <m:sSubPr>
            <m:ctrlPr>
              <w:rPr>
                <w:rFonts w:ascii="Cambria Math" w:eastAsia="Cambria Math" w:hAnsi="Cambria Math" w:cs="Cambria Math"/>
              </w:rPr>
            </m:ctrlPr>
          </m:sSubPr>
          <m:e>
            <m:r>
              <w:rPr>
                <w:rFonts w:ascii="Cambria Math" w:eastAsia="Cambria Math" w:hAnsi="Cambria Math" w:cs="Cambria Math"/>
              </w:rPr>
              <m:t>R</m:t>
            </m:r>
          </m:e>
          <m:sub>
            <m:r>
              <w:rPr>
                <w:rFonts w:ascii="Cambria Math" w:eastAsia="Cambria Math" w:hAnsi="Cambria Math" w:cs="Cambria Math"/>
              </w:rPr>
              <m:t>0</m:t>
            </m:r>
          </m:sub>
        </m:sSub>
      </m:oMath>
      <w:hyperlink w:anchor="_Reference">
        <w:r w:rsidR="00EE47C1">
          <w:rPr>
            <w:color w:val="1155CC"/>
            <w:u w:val="single"/>
            <w:vertAlign w:val="superscript"/>
          </w:rPr>
          <w:t>12</w:t>
        </w:r>
      </w:hyperlink>
      <w:r>
        <w:t xml:space="preserve">, </w:t>
      </w:r>
      <m:oMath>
        <m:sSub>
          <m:sSubPr>
            <m:ctrlPr>
              <w:rPr>
                <w:rFonts w:ascii="Cambria Math" w:eastAsia="Cambria Math" w:hAnsi="Cambria Math" w:cs="Cambria Math"/>
              </w:rPr>
            </m:ctrlPr>
          </m:sSubPr>
          <m:e>
            <m:r>
              <w:rPr>
                <w:rFonts w:ascii="Cambria Math" w:eastAsia="Cambria Math" w:hAnsi="Cambria Math" w:cs="Cambria Math"/>
              </w:rPr>
              <m:t>R</m:t>
            </m:r>
          </m:e>
          <m:sub>
            <m:r>
              <w:rPr>
                <w:rFonts w:ascii="Cambria Math" w:eastAsia="Cambria Math" w:hAnsi="Cambria Math" w:cs="Cambria Math"/>
              </w:rPr>
              <m:t>0</m:t>
            </m:r>
          </m:sub>
        </m:sSub>
        <m:r>
          <m:rPr>
            <m:sty m:val="p"/>
          </m:rPr>
          <w:rPr>
            <w:rFonts w:ascii="Cambria Math" w:hAnsi="Cambria Math"/>
          </w:rPr>
          <m:t xml:space="preserve">~normal(3.25, </m:t>
        </m:r>
        <m:r>
          <w:rPr>
            <w:rFonts w:ascii="Cambria Math" w:hAnsi="Cambria Math"/>
          </w:rPr>
          <m:t>k</m:t>
        </m:r>
        <m:r>
          <m:rPr>
            <m:sty m:val="p"/>
          </m:rPr>
          <w:rPr>
            <w:rFonts w:ascii="Cambria Math" w:hAnsi="Cambria Math"/>
          </w:rPr>
          <m:t>)</m:t>
        </m:r>
      </m:oMath>
      <w:r>
        <w:t xml:space="preserve">, </w:t>
      </w:r>
      <m:oMath>
        <m:r>
          <w:rPr>
            <w:rFonts w:ascii="Cambria Math" w:hAnsi="Cambria Math"/>
          </w:rPr>
          <m:t>k~</m:t>
        </m:r>
        <m:r>
          <m:rPr>
            <m:sty m:val="p"/>
          </m:rPr>
          <w:rPr>
            <w:rFonts w:ascii="Cambria Math" w:hAnsi="Cambria Math"/>
          </w:rPr>
          <m:t>half_normal</m:t>
        </m:r>
        <m:r>
          <w:rPr>
            <w:rFonts w:ascii="Cambria Math" w:hAnsi="Cambria Math"/>
          </w:rPr>
          <m:t>(0, 0.5)</m:t>
        </m:r>
      </m:oMath>
      <w:r>
        <w:t xml:space="preserve">, reflecting the heterogeneity of regional estimates. Moverover, the uncertainty of the coefficient of expansion regarding </w:t>
      </w:r>
      <m:oMath>
        <m:sSub>
          <m:sSubPr>
            <m:ctrlPr>
              <w:rPr>
                <w:rFonts w:ascii="Cambria Math" w:eastAsia="Cambria Math" w:hAnsi="Cambria Math" w:cs="Cambria Math"/>
              </w:rPr>
            </m:ctrlPr>
          </m:sSubPr>
          <m:e>
            <m:r>
              <w:rPr>
                <w:rFonts w:ascii="Cambria Math" w:eastAsia="Cambria Math" w:hAnsi="Cambria Math" w:cs="Cambria Math"/>
              </w:rPr>
              <m:t>R</m:t>
            </m:r>
          </m:e>
          <m:sub>
            <m:r>
              <w:rPr>
                <w:rFonts w:ascii="Cambria Math" w:eastAsia="Cambria Math" w:hAnsi="Cambria Math" w:cs="Cambria Math"/>
              </w:rPr>
              <m:t>0</m:t>
            </m:r>
          </m:sub>
        </m:sSub>
      </m:oMath>
      <w:r>
        <w:t xml:space="preserve"> of SARS-CoV-2 was integrated into our model during data preprocessing. We assumed that the coefficient of expansion following normal distribution where the parameter of variation was determined by the consequent 95% credible interval listed in Table A1. Then, we performed the estimation described in the main text 30 times, and for each time, the coefficient of expansion for variants was independently sampled from their distributions.</w:t>
      </w:r>
    </w:p>
    <w:p w14:paraId="1E9D7916" w14:textId="77777777" w:rsidR="002564DF" w:rsidRDefault="002564DF" w:rsidP="002564DF"/>
    <w:p w14:paraId="1A3B02A2" w14:textId="77777777" w:rsidR="002564DF" w:rsidRDefault="002564DF" w:rsidP="002564DF">
      <w:pPr>
        <w:spacing w:line="240" w:lineRule="auto"/>
      </w:pPr>
      <w:r>
        <w:rPr>
          <w:b/>
        </w:rPr>
        <w:t xml:space="preserve">Table A1. Transmissibility of SARS-CoV-2 variants. </w:t>
      </w:r>
      <w:r>
        <w:t>The estimates are shown by its medians and IQR. These parameters were used in the calculation of synthetic basic reproduction numbers.</w:t>
      </w:r>
    </w:p>
    <w:tbl>
      <w:tblPr>
        <w:tblW w:w="8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5"/>
        <w:gridCol w:w="5085"/>
        <w:gridCol w:w="2010"/>
      </w:tblGrid>
      <w:tr w:rsidR="002564DF" w14:paraId="32912D68" w14:textId="77777777" w:rsidTr="00B6088E">
        <w:trPr>
          <w:trHeight w:val="270"/>
        </w:trPr>
        <w:tc>
          <w:tcPr>
            <w:tcW w:w="1275" w:type="dxa"/>
            <w:shd w:val="clear" w:color="auto" w:fill="auto"/>
            <w:vAlign w:val="center"/>
          </w:tcPr>
          <w:p w14:paraId="64E0B8D2" w14:textId="77777777" w:rsidR="002564DF" w:rsidRDefault="002564DF" w:rsidP="00B6088E">
            <w:pPr>
              <w:spacing w:line="240" w:lineRule="auto"/>
              <w:jc w:val="center"/>
            </w:pPr>
            <w:r>
              <w:t>Variants</w:t>
            </w:r>
          </w:p>
        </w:tc>
        <w:tc>
          <w:tcPr>
            <w:tcW w:w="5085" w:type="dxa"/>
            <w:shd w:val="clear" w:color="auto" w:fill="auto"/>
            <w:vAlign w:val="center"/>
          </w:tcPr>
          <w:p w14:paraId="1C1F446E" w14:textId="77777777" w:rsidR="002564DF" w:rsidRDefault="002564DF" w:rsidP="00B6088E">
            <w:pPr>
              <w:spacing w:line="240" w:lineRule="auto"/>
              <w:jc w:val="center"/>
            </w:pPr>
            <w:r>
              <w:t>Coefficient of expansion regarding R0 of SARS-CoV-2 (Q1-Q3)</w:t>
            </w:r>
          </w:p>
        </w:tc>
        <w:tc>
          <w:tcPr>
            <w:tcW w:w="2010" w:type="dxa"/>
            <w:shd w:val="clear" w:color="auto" w:fill="auto"/>
            <w:vAlign w:val="center"/>
          </w:tcPr>
          <w:p w14:paraId="7690F844" w14:textId="77777777" w:rsidR="002564DF" w:rsidRDefault="002564DF" w:rsidP="00B6088E">
            <w:pPr>
              <w:spacing w:line="240" w:lineRule="auto"/>
              <w:jc w:val="center"/>
            </w:pPr>
            <w:r>
              <w:t>Source</w:t>
            </w:r>
          </w:p>
        </w:tc>
      </w:tr>
      <w:tr w:rsidR="002564DF" w14:paraId="2DB16BAF" w14:textId="77777777" w:rsidTr="00B6088E">
        <w:trPr>
          <w:trHeight w:val="270"/>
        </w:trPr>
        <w:tc>
          <w:tcPr>
            <w:tcW w:w="1275" w:type="dxa"/>
            <w:shd w:val="clear" w:color="auto" w:fill="auto"/>
            <w:vAlign w:val="center"/>
          </w:tcPr>
          <w:p w14:paraId="0687CD6B" w14:textId="77777777" w:rsidR="002564DF" w:rsidRDefault="002564DF" w:rsidP="00B6088E">
            <w:pPr>
              <w:spacing w:line="240" w:lineRule="auto"/>
              <w:jc w:val="center"/>
            </w:pPr>
            <w:r>
              <w:t>Alpha</w:t>
            </w:r>
          </w:p>
        </w:tc>
        <w:tc>
          <w:tcPr>
            <w:tcW w:w="5085" w:type="dxa"/>
            <w:shd w:val="clear" w:color="auto" w:fill="auto"/>
            <w:vAlign w:val="center"/>
          </w:tcPr>
          <w:p w14:paraId="22E04529" w14:textId="77777777" w:rsidR="002564DF" w:rsidRDefault="002564DF" w:rsidP="00B6088E">
            <w:pPr>
              <w:spacing w:line="240" w:lineRule="auto"/>
              <w:jc w:val="center"/>
            </w:pPr>
            <w:r>
              <w:t>1.29 (1.24-1.33)</w:t>
            </w:r>
          </w:p>
        </w:tc>
        <w:tc>
          <w:tcPr>
            <w:tcW w:w="2010" w:type="dxa"/>
            <w:shd w:val="clear" w:color="auto" w:fill="auto"/>
            <w:vAlign w:val="center"/>
          </w:tcPr>
          <w:p w14:paraId="10C9EDB8" w14:textId="6FE0F497" w:rsidR="002564DF" w:rsidRDefault="002564DF" w:rsidP="00B6088E">
            <w:pPr>
              <w:spacing w:line="240" w:lineRule="auto"/>
              <w:jc w:val="center"/>
            </w:pPr>
            <w:r>
              <w:t>Curran, J., et al.</w:t>
            </w:r>
            <w:hyperlink w:anchor="_Reference">
              <w:r>
                <w:rPr>
                  <w:color w:val="1155CC"/>
                  <w:u w:val="single"/>
                  <w:vertAlign w:val="superscript"/>
                </w:rPr>
                <w:t>13</w:t>
              </w:r>
            </w:hyperlink>
            <w:r>
              <w:t xml:space="preserve"> </w:t>
            </w:r>
          </w:p>
        </w:tc>
      </w:tr>
      <w:tr w:rsidR="002564DF" w14:paraId="5467EE9A" w14:textId="77777777" w:rsidTr="00B6088E">
        <w:trPr>
          <w:trHeight w:val="270"/>
        </w:trPr>
        <w:tc>
          <w:tcPr>
            <w:tcW w:w="1275" w:type="dxa"/>
            <w:shd w:val="clear" w:color="auto" w:fill="auto"/>
            <w:vAlign w:val="center"/>
          </w:tcPr>
          <w:p w14:paraId="0A7CE920" w14:textId="77777777" w:rsidR="002564DF" w:rsidRDefault="002564DF" w:rsidP="00B6088E">
            <w:pPr>
              <w:spacing w:line="240" w:lineRule="auto"/>
              <w:jc w:val="center"/>
            </w:pPr>
            <w:r>
              <w:t>Beta</w:t>
            </w:r>
          </w:p>
        </w:tc>
        <w:tc>
          <w:tcPr>
            <w:tcW w:w="5085" w:type="dxa"/>
            <w:shd w:val="clear" w:color="auto" w:fill="auto"/>
            <w:vAlign w:val="center"/>
          </w:tcPr>
          <w:p w14:paraId="75082E37" w14:textId="77777777" w:rsidR="002564DF" w:rsidRDefault="002564DF" w:rsidP="00B6088E">
            <w:pPr>
              <w:spacing w:line="240" w:lineRule="auto"/>
              <w:jc w:val="center"/>
            </w:pPr>
            <w:r>
              <w:t>1.25 (1.20-1.30)</w:t>
            </w:r>
          </w:p>
        </w:tc>
        <w:tc>
          <w:tcPr>
            <w:tcW w:w="2010" w:type="dxa"/>
            <w:shd w:val="clear" w:color="auto" w:fill="auto"/>
            <w:vAlign w:val="center"/>
          </w:tcPr>
          <w:p w14:paraId="55E1D9A8" w14:textId="4790DEC9" w:rsidR="002564DF" w:rsidRDefault="002564DF" w:rsidP="00B6088E">
            <w:pPr>
              <w:spacing w:line="240" w:lineRule="auto"/>
              <w:jc w:val="center"/>
              <w:rPr>
                <w:vertAlign w:val="superscript"/>
              </w:rPr>
            </w:pPr>
            <w:r>
              <w:t>CDC</w:t>
            </w:r>
            <w:hyperlink w:anchor="_Reference">
              <w:r>
                <w:rPr>
                  <w:color w:val="1155CC"/>
                  <w:u w:val="single"/>
                  <w:vertAlign w:val="superscript"/>
                </w:rPr>
                <w:t>14</w:t>
              </w:r>
            </w:hyperlink>
          </w:p>
        </w:tc>
      </w:tr>
      <w:tr w:rsidR="002564DF" w14:paraId="1F07DB02" w14:textId="77777777" w:rsidTr="00B6088E">
        <w:trPr>
          <w:trHeight w:val="270"/>
        </w:trPr>
        <w:tc>
          <w:tcPr>
            <w:tcW w:w="1275" w:type="dxa"/>
            <w:shd w:val="clear" w:color="auto" w:fill="auto"/>
            <w:vAlign w:val="center"/>
          </w:tcPr>
          <w:p w14:paraId="32396B5A" w14:textId="77777777" w:rsidR="002564DF" w:rsidRDefault="002564DF" w:rsidP="00B6088E">
            <w:pPr>
              <w:spacing w:line="240" w:lineRule="auto"/>
              <w:jc w:val="center"/>
            </w:pPr>
            <w:r>
              <w:t>Gamma</w:t>
            </w:r>
          </w:p>
        </w:tc>
        <w:tc>
          <w:tcPr>
            <w:tcW w:w="5085" w:type="dxa"/>
            <w:shd w:val="clear" w:color="auto" w:fill="auto"/>
            <w:vAlign w:val="center"/>
          </w:tcPr>
          <w:p w14:paraId="5FD83AA1" w14:textId="77777777" w:rsidR="002564DF" w:rsidRDefault="002564DF" w:rsidP="00B6088E">
            <w:pPr>
              <w:spacing w:line="240" w:lineRule="auto"/>
              <w:jc w:val="center"/>
            </w:pPr>
            <w:r>
              <w:t>1.38 (1.29-1.48)</w:t>
            </w:r>
          </w:p>
        </w:tc>
        <w:tc>
          <w:tcPr>
            <w:tcW w:w="2010" w:type="dxa"/>
            <w:vMerge w:val="restart"/>
            <w:shd w:val="clear" w:color="auto" w:fill="auto"/>
            <w:vAlign w:val="center"/>
          </w:tcPr>
          <w:p w14:paraId="054E11A7" w14:textId="0E0DEEDA" w:rsidR="002564DF" w:rsidRDefault="002564DF" w:rsidP="00B6088E">
            <w:pPr>
              <w:spacing w:line="240" w:lineRule="auto"/>
              <w:jc w:val="center"/>
              <w:rPr>
                <w:vertAlign w:val="superscript"/>
              </w:rPr>
            </w:pPr>
            <w:r>
              <w:t>Campbell, et al.</w:t>
            </w:r>
            <w:hyperlink w:anchor="_Reference">
              <w:r>
                <w:rPr>
                  <w:color w:val="1155CC"/>
                  <w:u w:val="single"/>
                  <w:vertAlign w:val="superscript"/>
                </w:rPr>
                <w:t>15</w:t>
              </w:r>
            </w:hyperlink>
          </w:p>
        </w:tc>
      </w:tr>
      <w:tr w:rsidR="002564DF" w14:paraId="611F9D47" w14:textId="77777777" w:rsidTr="00B6088E">
        <w:trPr>
          <w:trHeight w:val="270"/>
        </w:trPr>
        <w:tc>
          <w:tcPr>
            <w:tcW w:w="1275" w:type="dxa"/>
            <w:shd w:val="clear" w:color="auto" w:fill="auto"/>
            <w:vAlign w:val="center"/>
          </w:tcPr>
          <w:p w14:paraId="0B699D11" w14:textId="77777777" w:rsidR="002564DF" w:rsidRDefault="002564DF" w:rsidP="00B6088E">
            <w:pPr>
              <w:spacing w:line="240" w:lineRule="auto"/>
              <w:jc w:val="center"/>
            </w:pPr>
            <w:r>
              <w:t>Delta</w:t>
            </w:r>
          </w:p>
        </w:tc>
        <w:tc>
          <w:tcPr>
            <w:tcW w:w="5085" w:type="dxa"/>
            <w:shd w:val="clear" w:color="auto" w:fill="auto"/>
            <w:vAlign w:val="center"/>
          </w:tcPr>
          <w:p w14:paraId="6DBB57A2" w14:textId="77777777" w:rsidR="002564DF" w:rsidRDefault="002564DF" w:rsidP="00B6088E">
            <w:pPr>
              <w:spacing w:line="240" w:lineRule="auto"/>
              <w:jc w:val="center"/>
            </w:pPr>
            <w:r>
              <w:t>1.97 (1.76-2.17)</w:t>
            </w:r>
          </w:p>
        </w:tc>
        <w:tc>
          <w:tcPr>
            <w:tcW w:w="2010" w:type="dxa"/>
            <w:vMerge/>
            <w:shd w:val="clear" w:color="auto" w:fill="auto"/>
            <w:vAlign w:val="center"/>
          </w:tcPr>
          <w:p w14:paraId="471DE679" w14:textId="77777777" w:rsidR="002564DF" w:rsidRDefault="002564DF" w:rsidP="00B6088E">
            <w:pPr>
              <w:spacing w:line="240" w:lineRule="auto"/>
              <w:jc w:val="center"/>
            </w:pPr>
          </w:p>
        </w:tc>
      </w:tr>
      <w:tr w:rsidR="002564DF" w14:paraId="165F9E30" w14:textId="77777777" w:rsidTr="00B6088E">
        <w:trPr>
          <w:trHeight w:val="270"/>
        </w:trPr>
        <w:tc>
          <w:tcPr>
            <w:tcW w:w="1275" w:type="dxa"/>
            <w:shd w:val="clear" w:color="auto" w:fill="auto"/>
            <w:vAlign w:val="center"/>
          </w:tcPr>
          <w:p w14:paraId="14E18729" w14:textId="77777777" w:rsidR="002564DF" w:rsidRDefault="002564DF" w:rsidP="00B6088E">
            <w:pPr>
              <w:spacing w:line="240" w:lineRule="auto"/>
              <w:jc w:val="center"/>
            </w:pPr>
            <w:r>
              <w:t>Eta</w:t>
            </w:r>
          </w:p>
        </w:tc>
        <w:tc>
          <w:tcPr>
            <w:tcW w:w="5085" w:type="dxa"/>
            <w:shd w:val="clear" w:color="auto" w:fill="auto"/>
            <w:vAlign w:val="center"/>
          </w:tcPr>
          <w:p w14:paraId="2B0AE59F" w14:textId="77777777" w:rsidR="002564DF" w:rsidRDefault="002564DF" w:rsidP="00B6088E">
            <w:pPr>
              <w:spacing w:line="240" w:lineRule="auto"/>
              <w:jc w:val="center"/>
            </w:pPr>
            <w:r>
              <w:t>1.29 (1.23-1.35)</w:t>
            </w:r>
          </w:p>
        </w:tc>
        <w:tc>
          <w:tcPr>
            <w:tcW w:w="2010" w:type="dxa"/>
            <w:vMerge w:val="restart"/>
            <w:shd w:val="clear" w:color="auto" w:fill="auto"/>
            <w:vAlign w:val="center"/>
          </w:tcPr>
          <w:p w14:paraId="5C17C14D" w14:textId="00DC60EF" w:rsidR="002564DF" w:rsidRDefault="002564DF" w:rsidP="00B6088E">
            <w:pPr>
              <w:spacing w:line="240" w:lineRule="auto"/>
              <w:jc w:val="center"/>
              <w:rPr>
                <w:vertAlign w:val="superscript"/>
              </w:rPr>
            </w:pPr>
            <w:hyperlink w:anchor="_Reference">
              <w:r>
                <w:rPr>
                  <w:color w:val="1155CC"/>
                  <w:u w:val="single"/>
                  <w:vertAlign w:val="superscript"/>
                </w:rPr>
                <w:t>16</w:t>
              </w:r>
            </w:hyperlink>
          </w:p>
        </w:tc>
      </w:tr>
      <w:tr w:rsidR="002564DF" w14:paraId="796CD119" w14:textId="77777777" w:rsidTr="00B6088E">
        <w:trPr>
          <w:trHeight w:val="270"/>
        </w:trPr>
        <w:tc>
          <w:tcPr>
            <w:tcW w:w="1275" w:type="dxa"/>
            <w:shd w:val="clear" w:color="auto" w:fill="auto"/>
            <w:vAlign w:val="center"/>
          </w:tcPr>
          <w:p w14:paraId="6D444A89" w14:textId="77777777" w:rsidR="002564DF" w:rsidRDefault="002564DF" w:rsidP="00B6088E">
            <w:pPr>
              <w:spacing w:line="240" w:lineRule="auto"/>
              <w:jc w:val="center"/>
            </w:pPr>
            <w:r>
              <w:t>Kappa</w:t>
            </w:r>
          </w:p>
        </w:tc>
        <w:tc>
          <w:tcPr>
            <w:tcW w:w="5085" w:type="dxa"/>
            <w:shd w:val="clear" w:color="auto" w:fill="auto"/>
            <w:vAlign w:val="center"/>
          </w:tcPr>
          <w:p w14:paraId="6FEC6553" w14:textId="77777777" w:rsidR="002564DF" w:rsidRDefault="002564DF" w:rsidP="00B6088E">
            <w:pPr>
              <w:spacing w:line="240" w:lineRule="auto"/>
              <w:jc w:val="center"/>
            </w:pPr>
            <w:r>
              <w:t>1.48 (1.28-1.69)</w:t>
            </w:r>
          </w:p>
        </w:tc>
        <w:tc>
          <w:tcPr>
            <w:tcW w:w="2010" w:type="dxa"/>
            <w:vMerge/>
            <w:shd w:val="clear" w:color="auto" w:fill="auto"/>
            <w:vAlign w:val="center"/>
          </w:tcPr>
          <w:p w14:paraId="5AF80F38" w14:textId="77777777" w:rsidR="002564DF" w:rsidRDefault="002564DF" w:rsidP="00B6088E">
            <w:pPr>
              <w:spacing w:line="240" w:lineRule="auto"/>
              <w:jc w:val="center"/>
            </w:pPr>
          </w:p>
        </w:tc>
      </w:tr>
    </w:tbl>
    <w:p w14:paraId="5E9EB2A7" w14:textId="77777777" w:rsidR="002564DF" w:rsidRDefault="002564DF" w:rsidP="002564DF"/>
    <w:p w14:paraId="09389334" w14:textId="77777777" w:rsidR="002564DF" w:rsidRDefault="002564DF" w:rsidP="002564DF">
      <w:pPr>
        <w:pStyle w:val="Heading2"/>
        <w:spacing w:line="480" w:lineRule="auto"/>
      </w:pPr>
      <w:bookmarkStart w:id="6" w:name="_54juwynzog4" w:colFirst="0" w:colLast="0"/>
      <w:bookmarkStart w:id="7" w:name="_Toc86071811"/>
      <w:bookmarkEnd w:id="6"/>
      <w:r>
        <w:t>A3. Calculation of the practical vaccination rate</w:t>
      </w:r>
      <w:bookmarkEnd w:id="7"/>
    </w:p>
    <w:p w14:paraId="5A73DFE5" w14:textId="31DA5FA5" w:rsidR="002564DF" w:rsidRDefault="002564DF" w:rsidP="002564DF">
      <w:r>
        <w:t>The reported vaccination rates (</w:t>
      </w:r>
      <m:oMath>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V</m:t>
            </m:r>
          </m:e>
          <m:sub>
            <m:r>
              <w:rPr>
                <w:rFonts w:ascii="Cambria Math" w:eastAsia="Cambria Math" w:hAnsi="Cambria Math" w:cs="Cambria Math"/>
                <w:sz w:val="21"/>
                <w:szCs w:val="21"/>
              </w:rPr>
              <m:t>t</m:t>
            </m:r>
          </m:sub>
        </m:sSub>
      </m:oMath>
      <w:r>
        <w:t xml:space="preserve">) across countries were only the statistics of the population who have received at least two doses of the Covid-19 vaccine. While the de facto population that is immune is lower than the fully vaccinated population due to the </w:t>
      </w:r>
      <w:r>
        <w:lastRenderedPageBreak/>
        <w:t xml:space="preserve">effectiveness of the used vaccine products, especially facing various SARS-CoV-2 variants. It indicated the importance of using the immune population in the estimation of the effectiveness of vaccination. For example, assuming that the basic reproduction number of Delta is about 5, we need 80 percent of the population to be immune to stop the Covid-19. Under the circumstances, even if we vaccinated 100 percent of the residents, we still need to assure the effect of vaccines against Delta has 80%. Without any ambiguity, we termed the fraction of the de facto population that is immune to vaccination as </w:t>
      </w:r>
      <w:r w:rsidR="00133157">
        <w:t>a</w:t>
      </w:r>
      <w:r>
        <w:t xml:space="preserve"> practical vaccination rate. However, the practical vaccination rate cannot be statistics. </w:t>
      </w:r>
    </w:p>
    <w:p w14:paraId="2A614243" w14:textId="77777777" w:rsidR="002564DF" w:rsidRDefault="002564DF" w:rsidP="002564DF"/>
    <w:p w14:paraId="7037D7A8" w14:textId="763AB105" w:rsidR="002564DF" w:rsidRDefault="002564DF" w:rsidP="002564DF">
      <w:r>
        <w:t>Here, we evaluated the biweekly practical vaccination rate (</w:t>
      </w:r>
      <m:oMath>
        <m:sSub>
          <m:sSubPr>
            <m:ctrlPr>
              <w:rPr>
                <w:rFonts w:ascii="Cambria Math" w:eastAsia="Cambria Math" w:hAnsi="Cambria Math" w:cs="Cambria Math"/>
                <w:sz w:val="21"/>
                <w:szCs w:val="21"/>
              </w:rPr>
            </m:ctrlPr>
          </m:sSubPr>
          <m:e>
            <m:r>
              <w:rPr>
                <w:rFonts w:ascii="Cambria Math" w:eastAsia="Cambria Math" w:hAnsi="Cambria Math" w:cs="Cambria Math"/>
              </w:rPr>
              <m:t>E</m:t>
            </m:r>
            <m:r>
              <w:rPr>
                <w:rFonts w:ascii="Cambria Math" w:eastAsia="Cambria Math" w:hAnsi="Cambria Math" w:cs="Cambria Math"/>
                <w:sz w:val="21"/>
                <w:szCs w:val="21"/>
              </w:rPr>
              <m:t>V</m:t>
            </m:r>
          </m:e>
          <m:sub>
            <m:r>
              <w:rPr>
                <w:rFonts w:ascii="Cambria Math" w:eastAsia="Cambria Math" w:hAnsi="Cambria Math" w:cs="Cambria Math"/>
                <w:sz w:val="21"/>
                <w:szCs w:val="21"/>
              </w:rPr>
              <m:t>t</m:t>
            </m:r>
          </m:sub>
        </m:sSub>
      </m:oMath>
      <w:r>
        <w:t xml:space="preserve">) according to the used vaccine products as well as the active coronavirus across countries. We estimated the fraction of the population vaccinated by the specific vaccine product </w:t>
      </w:r>
      <m:oMath>
        <m:r>
          <w:rPr>
            <w:rFonts w:ascii="Cambria Math" w:hAnsi="Cambria Math"/>
          </w:rPr>
          <m:t>i</m:t>
        </m:r>
      </m:oMath>
      <w:r>
        <w:t xml:space="preserve"> by multiplying the documented vaccination rate with the proportion of the vaccine product </w:t>
      </w:r>
      <m:oMath>
        <m:r>
          <w:rPr>
            <w:rFonts w:ascii="Cambria Math" w:hAnsi="Cambria Math"/>
          </w:rPr>
          <m:t>i</m:t>
        </m:r>
      </m:oMath>
      <w:r>
        <w:t xml:space="preserve">, denoted </w:t>
      </w:r>
      <m:oMath>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P</m:t>
            </m:r>
          </m:e>
          <m:sub>
            <m:r>
              <w:rPr>
                <w:rFonts w:ascii="Cambria Math" w:eastAsia="Cambria Math" w:hAnsi="Cambria Math" w:cs="Cambria Math"/>
                <w:sz w:val="21"/>
                <w:szCs w:val="21"/>
              </w:rPr>
              <m:t>i,t</m:t>
            </m:r>
          </m:sub>
        </m:sSub>
      </m:oMath>
      <w:r>
        <w:t xml:space="preserve">. Then, the fraction of the population that is immune by the vaccine product </w:t>
      </w:r>
      <m:oMath>
        <m:r>
          <w:rPr>
            <w:rFonts w:ascii="Cambria Math" w:hAnsi="Cambria Math"/>
          </w:rPr>
          <m:t>i</m:t>
        </m:r>
      </m:oMath>
      <w:r>
        <w:t xml:space="preserve"> was evaluated by further multiplying the context-based effectiveness of the vaccine </w:t>
      </w:r>
      <m:oMath>
        <m:r>
          <w:rPr>
            <w:rFonts w:ascii="Cambria Math" w:hAnsi="Cambria Math"/>
          </w:rPr>
          <m:t>i</m:t>
        </m:r>
      </m:oMath>
      <w:r>
        <w:t xml:space="preserve">. The context-based effectiveness was estimated by the average effect of vaccine </w:t>
      </w:r>
      <w:bookmarkStart w:id="8" w:name="_Hlk86071308"/>
      <m:oMath>
        <m:r>
          <w:rPr>
            <w:rFonts w:ascii="Cambria Math" w:hAnsi="Cambria Math"/>
          </w:rPr>
          <m:t>i</m:t>
        </m:r>
      </m:oMath>
      <w:bookmarkEnd w:id="8"/>
      <w:r>
        <w:t xml:space="preserve"> against the active variants, wherein the weights were determined by the proportion of infection caused by various coronaviruses. That is,</w:t>
      </w:r>
    </w:p>
    <w:p w14:paraId="295947A3" w14:textId="5E162CCA" w:rsidR="002564DF" w:rsidRDefault="002564DF" w:rsidP="002564DF">
      <w:pPr>
        <w:jc w:val="center"/>
        <w:rPr>
          <w:rFonts w:ascii="Cambria Math" w:eastAsia="Cambria Math" w:hAnsi="Cambria Math" w:cs="Cambria Math"/>
          <w:sz w:val="21"/>
          <w:szCs w:val="21"/>
        </w:rPr>
      </w:pPr>
      <m:oMathPara>
        <m:oMath>
          <m:sSub>
            <m:sSubPr>
              <m:ctrlPr>
                <w:rPr>
                  <w:rFonts w:ascii="Cambria Math" w:eastAsia="Cambria Math" w:hAnsi="Cambria Math" w:cs="Cambria Math"/>
                  <w:sz w:val="21"/>
                  <w:szCs w:val="21"/>
                </w:rPr>
              </m:ctrlPr>
            </m:sSubPr>
            <m:e>
              <m:r>
                <w:rPr>
                  <w:rFonts w:ascii="Cambria Math" w:eastAsia="Cambria Math" w:hAnsi="Cambria Math" w:cs="Cambria Math"/>
                </w:rPr>
                <m:t>E</m:t>
              </m:r>
              <m:r>
                <w:rPr>
                  <w:rFonts w:ascii="Cambria Math" w:eastAsia="Cambria Math" w:hAnsi="Cambria Math" w:cs="Cambria Math"/>
                  <w:sz w:val="21"/>
                  <w:szCs w:val="21"/>
                </w:rPr>
                <m:t>V</m:t>
              </m:r>
            </m:e>
            <m:sub>
              <m:r>
                <w:rPr>
                  <w:rFonts w:ascii="Cambria Math" w:eastAsia="Cambria Math" w:hAnsi="Cambria Math" w:cs="Cambria Math"/>
                  <w:sz w:val="21"/>
                  <w:szCs w:val="21"/>
                </w:rPr>
                <m:t>t</m:t>
              </m:r>
            </m:sub>
          </m:sSub>
          <m:r>
            <w:rPr>
              <w:rFonts w:ascii="Cambria Math" w:eastAsia="Cambria Math" w:hAnsi="Cambria Math" w:cs="Cambria Math"/>
              <w:sz w:val="21"/>
              <w:szCs w:val="21"/>
            </w:rPr>
            <m:t>=</m:t>
          </m:r>
          <m:nary>
            <m:naryPr>
              <m:chr m:val="∑"/>
              <m:ctrlPr>
                <w:rPr>
                  <w:rFonts w:ascii="Cambria Math" w:eastAsia="Cambria Math" w:hAnsi="Cambria Math" w:cs="Cambria Math"/>
                  <w:sz w:val="21"/>
                  <w:szCs w:val="21"/>
                </w:rPr>
              </m:ctrlPr>
            </m:naryPr>
            <m:sub>
              <m:r>
                <w:rPr>
                  <w:rFonts w:ascii="Cambria Math" w:eastAsia="Cambria Math" w:hAnsi="Cambria Math" w:cs="Cambria Math"/>
                  <w:sz w:val="21"/>
                  <w:szCs w:val="21"/>
                </w:rPr>
                <m:t>i=1</m:t>
              </m:r>
            </m:sub>
            <m:sup>
              <m:r>
                <w:rPr>
                  <w:rFonts w:ascii="Cambria Math" w:eastAsia="Cambria Math" w:hAnsi="Cambria Math" w:cs="Cambria Math"/>
                  <w:sz w:val="21"/>
                  <w:szCs w:val="21"/>
                </w:rPr>
                <m:t>6</m:t>
              </m:r>
            </m:sup>
            <m:e>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V</m:t>
                  </m:r>
                </m:e>
                <m:sub>
                  <m:r>
                    <w:rPr>
                      <w:rFonts w:ascii="Cambria Math" w:eastAsia="Cambria Math" w:hAnsi="Cambria Math" w:cs="Cambria Math"/>
                      <w:sz w:val="21"/>
                      <w:szCs w:val="21"/>
                    </w:rPr>
                    <m:t>t</m:t>
                  </m:r>
                </m:sub>
              </m:sSub>
              <m:r>
                <w:rPr>
                  <w:rFonts w:ascii="Cambria Math" w:eastAsia="Cambria Math" w:hAnsi="Cambria Math" w:cs="Cambria Math"/>
                  <w:sz w:val="21"/>
                  <w:szCs w:val="21"/>
                </w:rPr>
                <m:t>*</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P</m:t>
                  </m:r>
                </m:e>
                <m:sub>
                  <m:r>
                    <w:rPr>
                      <w:rFonts w:ascii="Cambria Math" w:eastAsia="Cambria Math" w:hAnsi="Cambria Math" w:cs="Cambria Math"/>
                      <w:sz w:val="21"/>
                      <w:szCs w:val="21"/>
                    </w:rPr>
                    <m:t>i,t</m:t>
                  </m:r>
                </m:sub>
              </m:sSub>
              <m:r>
                <w:rPr>
                  <w:rFonts w:ascii="Cambria Math" w:eastAsia="Cambria Math" w:hAnsi="Cambria Math" w:cs="Cambria Math"/>
                  <w:sz w:val="21"/>
                  <w:szCs w:val="21"/>
                </w:rPr>
                <m:t>*</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e</m:t>
                  </m:r>
                </m:e>
                <m:sub>
                  <m:r>
                    <w:rPr>
                      <w:rFonts w:ascii="Cambria Math" w:eastAsia="Cambria Math" w:hAnsi="Cambria Math" w:cs="Cambria Math"/>
                      <w:sz w:val="21"/>
                      <w:szCs w:val="21"/>
                    </w:rPr>
                    <m:t>i,t</m:t>
                  </m:r>
                </m:sub>
              </m:sSub>
            </m:e>
          </m:nary>
        </m:oMath>
      </m:oMathPara>
    </w:p>
    <w:p w14:paraId="611DF894" w14:textId="1A4383B2" w:rsidR="002564DF" w:rsidRDefault="002564DF" w:rsidP="002564DF">
      <w:pPr>
        <w:jc w:val="center"/>
      </w:pPr>
      <m:oMathPara>
        <m:oMath>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e</m:t>
              </m:r>
            </m:e>
            <m:sub>
              <m:r>
                <w:rPr>
                  <w:rFonts w:ascii="Cambria Math" w:eastAsia="Cambria Math" w:hAnsi="Cambria Math" w:cs="Cambria Math"/>
                  <w:sz w:val="21"/>
                  <w:szCs w:val="21"/>
                </w:rPr>
                <m:t>i,t</m:t>
              </m:r>
            </m:sub>
          </m:sSub>
          <m:r>
            <w:rPr>
              <w:rFonts w:ascii="Cambria Math" w:eastAsia="Cambria Math" w:hAnsi="Cambria Math" w:cs="Cambria Math"/>
              <w:sz w:val="21"/>
              <w:szCs w:val="21"/>
            </w:rPr>
            <m:t>=</m:t>
          </m:r>
          <m:nary>
            <m:naryPr>
              <m:chr m:val="∑"/>
              <m:ctrlPr>
                <w:rPr>
                  <w:rFonts w:ascii="Cambria Math" w:eastAsia="Cambria Math" w:hAnsi="Cambria Math" w:cs="Cambria Math"/>
                  <w:sz w:val="21"/>
                  <w:szCs w:val="21"/>
                </w:rPr>
              </m:ctrlPr>
            </m:naryPr>
            <m:sub>
              <m:r>
                <w:rPr>
                  <w:rFonts w:ascii="Cambria Math" w:eastAsia="Cambria Math" w:hAnsi="Cambria Math" w:cs="Cambria Math"/>
                  <w:sz w:val="21"/>
                  <w:szCs w:val="21"/>
                </w:rPr>
                <m:t>j=1</m:t>
              </m:r>
            </m:sub>
            <m:sup>
              <m:r>
                <w:rPr>
                  <w:rFonts w:ascii="Cambria Math" w:eastAsia="Cambria Math" w:hAnsi="Cambria Math" w:cs="Cambria Math"/>
                  <w:sz w:val="21"/>
                  <w:szCs w:val="21"/>
                </w:rPr>
                <m:t>7</m:t>
              </m:r>
            </m:sup>
            <m:e>
              <m:r>
                <w:rPr>
                  <w:rFonts w:ascii="Cambria Math" w:eastAsia="Cambria Math" w:hAnsi="Cambria Math" w:cs="Cambria Math"/>
                  <w:sz w:val="21"/>
                  <w:szCs w:val="21"/>
                </w:rPr>
                <m:t>vaccin</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e</m:t>
                  </m:r>
                </m:e>
                <m:sub>
                  <m:r>
                    <w:rPr>
                      <w:rFonts w:ascii="Cambria Math" w:eastAsia="Cambria Math" w:hAnsi="Cambria Math" w:cs="Cambria Math"/>
                      <w:sz w:val="21"/>
                      <w:szCs w:val="21"/>
                    </w:rPr>
                    <m:t>i,j</m:t>
                  </m:r>
                </m:sub>
              </m:sSub>
              <m:r>
                <w:rPr>
                  <w:rFonts w:ascii="Cambria Math" w:eastAsia="Cambria Math" w:hAnsi="Cambria Math" w:cs="Cambria Math"/>
                  <w:sz w:val="21"/>
                  <w:szCs w:val="21"/>
                </w:rPr>
                <m:t>*viru</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s</m:t>
                  </m:r>
                </m:e>
                <m:sub>
                  <m:r>
                    <w:rPr>
                      <w:rFonts w:ascii="Cambria Math" w:eastAsia="Cambria Math" w:hAnsi="Cambria Math" w:cs="Cambria Math"/>
                      <w:sz w:val="21"/>
                      <w:szCs w:val="21"/>
                    </w:rPr>
                    <m:t>j,t</m:t>
                  </m:r>
                </m:sub>
              </m:sSub>
            </m:e>
          </m:nary>
        </m:oMath>
      </m:oMathPara>
    </w:p>
    <w:p w14:paraId="55D620BA" w14:textId="5350B62B" w:rsidR="002564DF" w:rsidRDefault="002564DF" w:rsidP="002564DF">
      <w:r>
        <w:t>The effective vaccination rate (</w:t>
      </w:r>
      <m:oMath>
        <m:sSub>
          <m:sSubPr>
            <m:ctrlPr>
              <w:rPr>
                <w:rFonts w:ascii="Cambria Math" w:eastAsia="Cambria Math" w:hAnsi="Cambria Math" w:cs="Cambria Math"/>
                <w:sz w:val="21"/>
                <w:szCs w:val="21"/>
              </w:rPr>
            </m:ctrlPr>
          </m:sSubPr>
          <m:e>
            <m:r>
              <w:rPr>
                <w:rFonts w:ascii="Cambria Math" w:hAnsi="Cambria Math"/>
              </w:rPr>
              <m:t>E</m:t>
            </m:r>
            <m:r>
              <w:rPr>
                <w:rFonts w:ascii="Cambria Math" w:eastAsia="Cambria Math" w:hAnsi="Cambria Math" w:cs="Cambria Math"/>
                <w:sz w:val="21"/>
                <w:szCs w:val="21"/>
              </w:rPr>
              <m:t>V</m:t>
            </m:r>
          </m:e>
          <m:sub>
            <m:r>
              <w:rPr>
                <w:rFonts w:ascii="Cambria Math" w:eastAsia="Cambria Math" w:hAnsi="Cambria Math" w:cs="Cambria Math"/>
                <w:sz w:val="21"/>
                <w:szCs w:val="21"/>
              </w:rPr>
              <m:t>t</m:t>
            </m:r>
          </m:sub>
        </m:sSub>
      </m:oMath>
      <w:r>
        <w:t xml:space="preserve">) was variants-adjusted vaccination rate in terms of the used 6 vaccine products and their effectiveness against the original SARS-CoV-2 virus and its 6 popular variants over time. Due to the changing situation of structure of </w:t>
      </w:r>
      <w:r>
        <w:lastRenderedPageBreak/>
        <w:t>vaccines and variants, the practical effect (</w:t>
      </w:r>
      <m:oMath>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e</m:t>
            </m:r>
          </m:e>
          <m:sub>
            <m:r>
              <w:rPr>
                <w:rFonts w:ascii="Cambria Math" w:eastAsia="Cambria Math" w:hAnsi="Cambria Math" w:cs="Cambria Math"/>
                <w:sz w:val="21"/>
                <w:szCs w:val="21"/>
              </w:rPr>
              <m:t>i,t</m:t>
            </m:r>
          </m:sub>
        </m:sSub>
      </m:oMath>
      <w:r>
        <w:t xml:space="preserve">) of each vaccine </w:t>
      </w:r>
      <m:oMath>
        <m:r>
          <w:rPr>
            <w:rFonts w:ascii="Cambria Math" w:hAnsi="Cambria Math"/>
          </w:rPr>
          <m:t>i</m:t>
        </m:r>
      </m:oMath>
      <w:r>
        <w:t xml:space="preserve"> was the weighted average of its effectiveness against each coronavirus </w:t>
      </w:r>
      <m:oMath>
        <m:r>
          <w:rPr>
            <w:rFonts w:ascii="Cambria Math" w:hAnsi="Cambria Math"/>
          </w:rPr>
          <m:t>j</m:t>
        </m:r>
      </m:oMath>
      <w:r>
        <w:t xml:space="preserve"> (</w:t>
      </w:r>
      <m:oMath>
        <m:r>
          <w:rPr>
            <w:rFonts w:ascii="Cambria Math" w:eastAsia="Cambria Math" w:hAnsi="Cambria Math" w:cs="Cambria Math"/>
            <w:sz w:val="21"/>
            <w:szCs w:val="21"/>
          </w:rPr>
          <m:t>vaccin</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e</m:t>
            </m:r>
          </m:e>
          <m:sub>
            <m:r>
              <w:rPr>
                <w:rFonts w:ascii="Cambria Math" w:eastAsia="Cambria Math" w:hAnsi="Cambria Math" w:cs="Cambria Math"/>
                <w:sz w:val="21"/>
                <w:szCs w:val="21"/>
              </w:rPr>
              <m:t>i,j</m:t>
            </m:r>
          </m:sub>
        </m:sSub>
      </m:oMath>
      <w:r>
        <w:t>), where the weight (</w:t>
      </w:r>
      <m:oMath>
        <m:r>
          <w:rPr>
            <w:rFonts w:ascii="Cambria Math" w:eastAsia="Cambria Math" w:hAnsi="Cambria Math" w:cs="Cambria Math"/>
            <w:sz w:val="21"/>
            <w:szCs w:val="21"/>
          </w:rPr>
          <m:t>viru</m:t>
        </m:r>
        <m:sSub>
          <m:sSubPr>
            <m:ctrlPr>
              <w:rPr>
                <w:rFonts w:ascii="Cambria Math" w:eastAsia="Cambria Math" w:hAnsi="Cambria Math" w:cs="Cambria Math"/>
                <w:sz w:val="21"/>
                <w:szCs w:val="21"/>
              </w:rPr>
            </m:ctrlPr>
          </m:sSubPr>
          <m:e>
            <m:r>
              <w:rPr>
                <w:rFonts w:ascii="Cambria Math" w:eastAsia="Cambria Math" w:hAnsi="Cambria Math" w:cs="Cambria Math"/>
                <w:sz w:val="21"/>
                <w:szCs w:val="21"/>
              </w:rPr>
              <m:t>s</m:t>
            </m:r>
          </m:e>
          <m:sub>
            <m:r>
              <w:rPr>
                <w:rFonts w:ascii="Cambria Math" w:eastAsia="Cambria Math" w:hAnsi="Cambria Math" w:cs="Cambria Math"/>
                <w:sz w:val="21"/>
                <w:szCs w:val="21"/>
              </w:rPr>
              <m:t>j,t</m:t>
            </m:r>
          </m:sub>
        </m:sSub>
      </m:oMath>
      <w:r>
        <w:t xml:space="preserve">) is the proportion of corresponding positive testing caused by the virus </w:t>
      </w:r>
      <m:oMath>
        <m:r>
          <w:rPr>
            <w:rFonts w:ascii="Cambria Math" w:hAnsi="Cambria Math"/>
          </w:rPr>
          <m:t>j</m:t>
        </m:r>
      </m:oMath>
      <w:r>
        <w:t xml:space="preserve"> at time period </w:t>
      </w:r>
      <m:oMath>
        <m:r>
          <w:rPr>
            <w:rFonts w:ascii="Cambria Math" w:hAnsi="Cambria Math"/>
          </w:rPr>
          <m:t>t</m:t>
        </m:r>
      </m:oMath>
      <w:r>
        <w:t xml:space="preserve">. </w:t>
      </w:r>
    </w:p>
    <w:p w14:paraId="12B26D0B" w14:textId="77777777" w:rsidR="002564DF" w:rsidRPr="00011DE9" w:rsidRDefault="002564DF" w:rsidP="002564DF"/>
    <w:p w14:paraId="620E00EE" w14:textId="77777777" w:rsidR="002564DF" w:rsidRDefault="002564DF" w:rsidP="002564DF">
      <w:r>
        <w:t xml:space="preserve">The effectiveness of different vaccines against various variants and SARS-CoV-2 was listed in Table A2. By 20 September 2021, there was still some </w:t>
      </w:r>
      <w:proofErr w:type="gramStart"/>
      <w:r>
        <w:t>particular effectiveness</w:t>
      </w:r>
      <w:proofErr w:type="gramEnd"/>
      <w:r>
        <w:t xml:space="preserve"> absent in the existing literature. Thus, we made assumptions on the missing effect in Table A2 as the default setting (i.e., the absent effect was the same as that of the same vaccine against SARS-CoV-2). We also conceived another two scenarios of the absent effect, as shown in B5. Sensitivity analysis, to examine the impact of our assumptions on the main results documented in this article.</w:t>
      </w:r>
    </w:p>
    <w:p w14:paraId="4E46A4AB" w14:textId="77777777" w:rsidR="002564DF" w:rsidRDefault="002564DF" w:rsidP="002564DF"/>
    <w:p w14:paraId="072817C8" w14:textId="77777777" w:rsidR="002564DF" w:rsidRDefault="002564DF" w:rsidP="002564DF">
      <w:pPr>
        <w:spacing w:line="240" w:lineRule="auto"/>
      </w:pPr>
      <w:r>
        <w:rPr>
          <w:b/>
        </w:rPr>
        <w:t>Table A2. Effectiveness of various vaccines against SARS-CoV-2 as well as its 6 variants.</w:t>
      </w:r>
      <w:r>
        <w:t xml:space="preserve"> The estimates are shown by its medians and IQR. *: these estimates are absent in the literature which were assumed to be the same as the vaccine product against SARS-CoV-2.</w:t>
      </w:r>
    </w:p>
    <w:tbl>
      <w:tblPr>
        <w:tblW w:w="82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1365"/>
        <w:gridCol w:w="1065"/>
        <w:gridCol w:w="1305"/>
        <w:gridCol w:w="1230"/>
        <w:gridCol w:w="1140"/>
        <w:gridCol w:w="1187"/>
      </w:tblGrid>
      <w:tr w:rsidR="002564DF" w14:paraId="5CAB540E" w14:textId="77777777" w:rsidTr="00B6088E">
        <w:trPr>
          <w:trHeight w:val="1234"/>
          <w:jc w:val="center"/>
        </w:trPr>
        <w:tc>
          <w:tcPr>
            <w:tcW w:w="1005" w:type="dxa"/>
            <w:shd w:val="clear" w:color="auto" w:fill="auto"/>
            <w:vAlign w:val="center"/>
          </w:tcPr>
          <w:p w14:paraId="2824F719" w14:textId="77777777" w:rsidR="002564DF" w:rsidRDefault="002564DF" w:rsidP="00B6088E">
            <w:pPr>
              <w:spacing w:line="240" w:lineRule="auto"/>
              <w:jc w:val="left"/>
            </w:pPr>
          </w:p>
        </w:tc>
        <w:tc>
          <w:tcPr>
            <w:tcW w:w="1365" w:type="dxa"/>
            <w:shd w:val="clear" w:color="auto" w:fill="auto"/>
            <w:vAlign w:val="center"/>
          </w:tcPr>
          <w:p w14:paraId="2D2850B3" w14:textId="77777777" w:rsidR="002564DF" w:rsidRDefault="002564DF" w:rsidP="00B6088E">
            <w:pPr>
              <w:spacing w:line="240" w:lineRule="auto"/>
              <w:jc w:val="center"/>
            </w:pPr>
            <w:proofErr w:type="spellStart"/>
            <w:r>
              <w:t>Sinopharm.Beijing</w:t>
            </w:r>
            <w:proofErr w:type="spellEnd"/>
          </w:p>
        </w:tc>
        <w:tc>
          <w:tcPr>
            <w:tcW w:w="1065" w:type="dxa"/>
            <w:shd w:val="clear" w:color="auto" w:fill="auto"/>
            <w:vAlign w:val="center"/>
          </w:tcPr>
          <w:p w14:paraId="7EACBBF7" w14:textId="77777777" w:rsidR="002564DF" w:rsidRDefault="002564DF" w:rsidP="00B6088E">
            <w:pPr>
              <w:spacing w:line="240" w:lineRule="auto"/>
              <w:jc w:val="center"/>
            </w:pPr>
            <w:proofErr w:type="spellStart"/>
            <w:r>
              <w:t>Sputnik.V</w:t>
            </w:r>
            <w:proofErr w:type="spellEnd"/>
          </w:p>
        </w:tc>
        <w:tc>
          <w:tcPr>
            <w:tcW w:w="1305" w:type="dxa"/>
            <w:shd w:val="clear" w:color="auto" w:fill="auto"/>
            <w:vAlign w:val="center"/>
          </w:tcPr>
          <w:p w14:paraId="43B3E3DF" w14:textId="77777777" w:rsidR="002564DF" w:rsidRDefault="002564DF" w:rsidP="00B6088E">
            <w:pPr>
              <w:spacing w:line="240" w:lineRule="auto"/>
              <w:jc w:val="center"/>
            </w:pPr>
            <w:r>
              <w:t>Pfizer</w:t>
            </w:r>
          </w:p>
        </w:tc>
        <w:tc>
          <w:tcPr>
            <w:tcW w:w="1230" w:type="dxa"/>
            <w:shd w:val="clear" w:color="auto" w:fill="auto"/>
            <w:vAlign w:val="center"/>
          </w:tcPr>
          <w:p w14:paraId="6739C6A3" w14:textId="77777777" w:rsidR="002564DF" w:rsidRDefault="002564DF" w:rsidP="00B6088E">
            <w:pPr>
              <w:spacing w:line="240" w:lineRule="auto"/>
              <w:jc w:val="center"/>
            </w:pPr>
            <w:r>
              <w:t>AstraZeneca</w:t>
            </w:r>
          </w:p>
        </w:tc>
        <w:tc>
          <w:tcPr>
            <w:tcW w:w="1140" w:type="dxa"/>
            <w:shd w:val="clear" w:color="auto" w:fill="auto"/>
            <w:vAlign w:val="center"/>
          </w:tcPr>
          <w:p w14:paraId="2E86593F" w14:textId="77777777" w:rsidR="002564DF" w:rsidRDefault="002564DF" w:rsidP="00B6088E">
            <w:pPr>
              <w:spacing w:line="240" w:lineRule="auto"/>
              <w:jc w:val="center"/>
            </w:pPr>
            <w:r>
              <w:t>Moderna</w:t>
            </w:r>
          </w:p>
        </w:tc>
        <w:tc>
          <w:tcPr>
            <w:tcW w:w="1187" w:type="dxa"/>
            <w:shd w:val="clear" w:color="auto" w:fill="auto"/>
            <w:vAlign w:val="center"/>
          </w:tcPr>
          <w:p w14:paraId="731A8D4A" w14:textId="77777777" w:rsidR="002564DF" w:rsidRDefault="002564DF" w:rsidP="00B6088E">
            <w:pPr>
              <w:spacing w:line="240" w:lineRule="auto"/>
              <w:jc w:val="center"/>
            </w:pPr>
            <w:r>
              <w:t>Johnson &amp; Johnson</w:t>
            </w:r>
          </w:p>
        </w:tc>
      </w:tr>
      <w:tr w:rsidR="002564DF" w14:paraId="795658B5" w14:textId="77777777" w:rsidTr="00B6088E">
        <w:trPr>
          <w:trHeight w:val="1234"/>
          <w:jc w:val="center"/>
        </w:trPr>
        <w:tc>
          <w:tcPr>
            <w:tcW w:w="1005" w:type="dxa"/>
            <w:shd w:val="clear" w:color="auto" w:fill="auto"/>
            <w:vAlign w:val="center"/>
          </w:tcPr>
          <w:p w14:paraId="33C486D0" w14:textId="77777777" w:rsidR="002564DF" w:rsidRDefault="002564DF" w:rsidP="00B6088E">
            <w:pPr>
              <w:spacing w:line="240" w:lineRule="auto"/>
            </w:pPr>
            <w:r>
              <w:t>SARS-CoV-2</w:t>
            </w:r>
          </w:p>
        </w:tc>
        <w:tc>
          <w:tcPr>
            <w:tcW w:w="1365" w:type="dxa"/>
            <w:shd w:val="clear" w:color="auto" w:fill="auto"/>
            <w:vAlign w:val="center"/>
          </w:tcPr>
          <w:p w14:paraId="1574985B" w14:textId="77777777" w:rsidR="002564DF" w:rsidRDefault="002564DF" w:rsidP="00B6088E">
            <w:pPr>
              <w:spacing w:line="240" w:lineRule="auto"/>
              <w:jc w:val="center"/>
            </w:pPr>
            <w:r>
              <w:t>78.10</w:t>
            </w:r>
          </w:p>
          <w:p w14:paraId="350596C7" w14:textId="77777777" w:rsidR="002564DF" w:rsidRDefault="002564DF" w:rsidP="00B6088E">
            <w:pPr>
              <w:spacing w:line="240" w:lineRule="auto"/>
              <w:jc w:val="center"/>
            </w:pPr>
            <w:r>
              <w:t>(IQR: 64.90,86.30)</w:t>
            </w:r>
          </w:p>
        </w:tc>
        <w:tc>
          <w:tcPr>
            <w:tcW w:w="1065" w:type="dxa"/>
            <w:shd w:val="clear" w:color="auto" w:fill="auto"/>
            <w:vAlign w:val="center"/>
          </w:tcPr>
          <w:p w14:paraId="32762137" w14:textId="77777777" w:rsidR="002564DF" w:rsidRDefault="002564DF" w:rsidP="00B6088E">
            <w:pPr>
              <w:spacing w:line="240" w:lineRule="auto"/>
              <w:jc w:val="center"/>
            </w:pPr>
            <w:r>
              <w:t>91.60</w:t>
            </w:r>
          </w:p>
          <w:p w14:paraId="78E51B69" w14:textId="77777777" w:rsidR="002564DF" w:rsidRDefault="002564DF" w:rsidP="00B6088E">
            <w:pPr>
              <w:spacing w:line="240" w:lineRule="auto"/>
              <w:jc w:val="center"/>
            </w:pPr>
            <w:r>
              <w:t>(IQR: 85.60,95.20)</w:t>
            </w:r>
          </w:p>
        </w:tc>
        <w:tc>
          <w:tcPr>
            <w:tcW w:w="1305" w:type="dxa"/>
            <w:shd w:val="clear" w:color="auto" w:fill="auto"/>
            <w:vAlign w:val="center"/>
          </w:tcPr>
          <w:p w14:paraId="08598295" w14:textId="77777777" w:rsidR="002564DF" w:rsidRDefault="002564DF" w:rsidP="00B6088E">
            <w:pPr>
              <w:spacing w:line="240" w:lineRule="auto"/>
              <w:jc w:val="center"/>
            </w:pPr>
            <w:r>
              <w:t>95.00</w:t>
            </w:r>
          </w:p>
          <w:p w14:paraId="6CF35648" w14:textId="77777777" w:rsidR="002564DF" w:rsidRDefault="002564DF" w:rsidP="00B6088E">
            <w:pPr>
              <w:spacing w:line="240" w:lineRule="auto"/>
              <w:jc w:val="center"/>
            </w:pPr>
            <w:r>
              <w:t>(IQR: 90.30,97.60)</w:t>
            </w:r>
          </w:p>
        </w:tc>
        <w:tc>
          <w:tcPr>
            <w:tcW w:w="1230" w:type="dxa"/>
            <w:shd w:val="clear" w:color="auto" w:fill="auto"/>
            <w:vAlign w:val="center"/>
          </w:tcPr>
          <w:p w14:paraId="4E420549" w14:textId="77777777" w:rsidR="002564DF" w:rsidRDefault="002564DF" w:rsidP="00B6088E">
            <w:pPr>
              <w:spacing w:line="240" w:lineRule="auto"/>
              <w:jc w:val="center"/>
            </w:pPr>
            <w:r>
              <w:t>66.70</w:t>
            </w:r>
          </w:p>
          <w:p w14:paraId="55D1A88C" w14:textId="77777777" w:rsidR="002564DF" w:rsidRDefault="002564DF" w:rsidP="00B6088E">
            <w:pPr>
              <w:spacing w:line="240" w:lineRule="auto"/>
              <w:jc w:val="center"/>
            </w:pPr>
            <w:r>
              <w:t>(IQR: 57.40,74.00)</w:t>
            </w:r>
          </w:p>
        </w:tc>
        <w:tc>
          <w:tcPr>
            <w:tcW w:w="1140" w:type="dxa"/>
            <w:shd w:val="clear" w:color="auto" w:fill="auto"/>
            <w:vAlign w:val="center"/>
          </w:tcPr>
          <w:p w14:paraId="673BD355" w14:textId="77777777" w:rsidR="002564DF" w:rsidRDefault="002564DF" w:rsidP="00B6088E">
            <w:pPr>
              <w:spacing w:line="240" w:lineRule="auto"/>
              <w:jc w:val="center"/>
            </w:pPr>
            <w:r>
              <w:t>94.10</w:t>
            </w:r>
          </w:p>
          <w:p w14:paraId="7D2740DD" w14:textId="77777777" w:rsidR="002564DF" w:rsidRDefault="002564DF" w:rsidP="00B6088E">
            <w:pPr>
              <w:spacing w:line="240" w:lineRule="auto"/>
              <w:jc w:val="center"/>
            </w:pPr>
            <w:r>
              <w:t>(IQR: 89.30,96.80)</w:t>
            </w:r>
          </w:p>
        </w:tc>
        <w:tc>
          <w:tcPr>
            <w:tcW w:w="1187" w:type="dxa"/>
            <w:shd w:val="clear" w:color="auto" w:fill="auto"/>
            <w:vAlign w:val="center"/>
          </w:tcPr>
          <w:p w14:paraId="65F04815" w14:textId="77777777" w:rsidR="002564DF" w:rsidRDefault="002564DF" w:rsidP="00B6088E">
            <w:pPr>
              <w:spacing w:line="240" w:lineRule="auto"/>
              <w:jc w:val="center"/>
            </w:pPr>
            <w:r>
              <w:t>66.90</w:t>
            </w:r>
          </w:p>
          <w:p w14:paraId="4E0A39C0" w14:textId="77777777" w:rsidR="002564DF" w:rsidRDefault="002564DF" w:rsidP="00B6088E">
            <w:pPr>
              <w:spacing w:line="240" w:lineRule="auto"/>
              <w:jc w:val="center"/>
            </w:pPr>
            <w:r>
              <w:t>(IQR: 59.10,73.40)</w:t>
            </w:r>
          </w:p>
        </w:tc>
      </w:tr>
      <w:tr w:rsidR="002564DF" w14:paraId="141E9161" w14:textId="77777777" w:rsidTr="00B6088E">
        <w:trPr>
          <w:trHeight w:val="1234"/>
          <w:jc w:val="center"/>
        </w:trPr>
        <w:tc>
          <w:tcPr>
            <w:tcW w:w="1005" w:type="dxa"/>
            <w:shd w:val="clear" w:color="auto" w:fill="auto"/>
            <w:vAlign w:val="center"/>
          </w:tcPr>
          <w:p w14:paraId="00960F6B" w14:textId="77777777" w:rsidR="002564DF" w:rsidRDefault="002564DF" w:rsidP="00B6088E">
            <w:pPr>
              <w:spacing w:line="240" w:lineRule="auto"/>
              <w:jc w:val="center"/>
            </w:pPr>
            <w:r>
              <w:t>Alpha</w:t>
            </w:r>
          </w:p>
        </w:tc>
        <w:tc>
          <w:tcPr>
            <w:tcW w:w="1365" w:type="dxa"/>
            <w:shd w:val="clear" w:color="auto" w:fill="auto"/>
            <w:vAlign w:val="center"/>
          </w:tcPr>
          <w:p w14:paraId="17DA327F" w14:textId="77777777" w:rsidR="002564DF" w:rsidRDefault="002564DF" w:rsidP="00B6088E">
            <w:pPr>
              <w:spacing w:line="240" w:lineRule="auto"/>
              <w:jc w:val="center"/>
            </w:pPr>
            <w:r>
              <w:t>65.00</w:t>
            </w:r>
          </w:p>
          <w:p w14:paraId="28CFF593" w14:textId="77777777" w:rsidR="002564DF" w:rsidRDefault="002564DF" w:rsidP="00B6088E">
            <w:pPr>
              <w:spacing w:line="240" w:lineRule="auto"/>
              <w:jc w:val="center"/>
            </w:pPr>
            <w:r>
              <w:t>(IQR: 54.01,71.82)</w:t>
            </w:r>
          </w:p>
        </w:tc>
        <w:tc>
          <w:tcPr>
            <w:tcW w:w="1065" w:type="dxa"/>
            <w:shd w:val="clear" w:color="auto" w:fill="auto"/>
            <w:vAlign w:val="center"/>
          </w:tcPr>
          <w:p w14:paraId="4D0CD9A9" w14:textId="77777777" w:rsidR="002564DF" w:rsidRDefault="002564DF" w:rsidP="00B6088E">
            <w:pPr>
              <w:spacing w:line="240" w:lineRule="auto"/>
              <w:jc w:val="center"/>
            </w:pPr>
            <w:r>
              <w:t>81.00</w:t>
            </w:r>
          </w:p>
          <w:p w14:paraId="01071502" w14:textId="77777777" w:rsidR="002564DF" w:rsidRDefault="002564DF" w:rsidP="00B6088E">
            <w:pPr>
              <w:spacing w:line="240" w:lineRule="auto"/>
              <w:jc w:val="center"/>
            </w:pPr>
            <w:r>
              <w:t>(IQR: 75.69,84.18)</w:t>
            </w:r>
          </w:p>
        </w:tc>
        <w:tc>
          <w:tcPr>
            <w:tcW w:w="1305" w:type="dxa"/>
            <w:shd w:val="clear" w:color="auto" w:fill="auto"/>
            <w:vAlign w:val="center"/>
          </w:tcPr>
          <w:p w14:paraId="07BD990A" w14:textId="77777777" w:rsidR="002564DF" w:rsidRDefault="002564DF" w:rsidP="00B6088E">
            <w:pPr>
              <w:spacing w:line="240" w:lineRule="auto"/>
              <w:jc w:val="center"/>
            </w:pPr>
            <w:r>
              <w:t>93.70</w:t>
            </w:r>
          </w:p>
          <w:p w14:paraId="0FA4C7AA" w14:textId="77777777" w:rsidR="002564DF" w:rsidRDefault="002564DF" w:rsidP="00B6088E">
            <w:pPr>
              <w:spacing w:line="240" w:lineRule="auto"/>
              <w:jc w:val="center"/>
            </w:pPr>
            <w:r>
              <w:t>(IQR: 91.60,95.30)</w:t>
            </w:r>
          </w:p>
        </w:tc>
        <w:tc>
          <w:tcPr>
            <w:tcW w:w="1230" w:type="dxa"/>
            <w:shd w:val="clear" w:color="auto" w:fill="auto"/>
            <w:vAlign w:val="center"/>
          </w:tcPr>
          <w:p w14:paraId="3F8C781F" w14:textId="77777777" w:rsidR="002564DF" w:rsidRDefault="002564DF" w:rsidP="00B6088E">
            <w:pPr>
              <w:spacing w:line="240" w:lineRule="auto"/>
              <w:jc w:val="center"/>
            </w:pPr>
            <w:r>
              <w:t>74.50</w:t>
            </w:r>
          </w:p>
          <w:p w14:paraId="0AE917AB" w14:textId="77777777" w:rsidR="002564DF" w:rsidRDefault="002564DF" w:rsidP="00B6088E">
            <w:pPr>
              <w:spacing w:line="240" w:lineRule="auto"/>
              <w:jc w:val="center"/>
            </w:pPr>
            <w:r>
              <w:t>(IQR: 68.40,79.40)</w:t>
            </w:r>
          </w:p>
        </w:tc>
        <w:tc>
          <w:tcPr>
            <w:tcW w:w="1140" w:type="dxa"/>
            <w:shd w:val="clear" w:color="auto" w:fill="auto"/>
            <w:vAlign w:val="center"/>
          </w:tcPr>
          <w:p w14:paraId="2B3DA130" w14:textId="77777777" w:rsidR="002564DF" w:rsidRDefault="002564DF" w:rsidP="00B6088E">
            <w:pPr>
              <w:spacing w:line="240" w:lineRule="auto"/>
              <w:jc w:val="center"/>
            </w:pPr>
            <w:r>
              <w:t>100.00</w:t>
            </w:r>
          </w:p>
          <w:p w14:paraId="765D6C66" w14:textId="77777777" w:rsidR="002564DF" w:rsidRDefault="002564DF" w:rsidP="00B6088E">
            <w:pPr>
              <w:spacing w:line="240" w:lineRule="auto"/>
              <w:jc w:val="center"/>
            </w:pPr>
            <w:r>
              <w:t>(IQR: 91.80,100.00)</w:t>
            </w:r>
          </w:p>
        </w:tc>
        <w:tc>
          <w:tcPr>
            <w:tcW w:w="1187" w:type="dxa"/>
            <w:shd w:val="clear" w:color="auto" w:fill="auto"/>
            <w:vAlign w:val="center"/>
          </w:tcPr>
          <w:p w14:paraId="79148D92" w14:textId="77777777" w:rsidR="002564DF" w:rsidRDefault="002564DF" w:rsidP="00B6088E">
            <w:pPr>
              <w:spacing w:line="240" w:lineRule="auto"/>
              <w:jc w:val="center"/>
            </w:pPr>
            <w:r>
              <w:t>72.00</w:t>
            </w:r>
          </w:p>
          <w:p w14:paraId="24881872" w14:textId="77777777" w:rsidR="002564DF" w:rsidRDefault="002564DF" w:rsidP="00B6088E">
            <w:pPr>
              <w:spacing w:line="240" w:lineRule="auto"/>
              <w:jc w:val="center"/>
            </w:pPr>
            <w:r>
              <w:t>(IQR: 63.61,79.00)</w:t>
            </w:r>
          </w:p>
        </w:tc>
      </w:tr>
      <w:tr w:rsidR="002564DF" w14:paraId="345DA0F0" w14:textId="77777777" w:rsidTr="00B6088E">
        <w:trPr>
          <w:trHeight w:val="1234"/>
          <w:jc w:val="center"/>
        </w:trPr>
        <w:tc>
          <w:tcPr>
            <w:tcW w:w="1005" w:type="dxa"/>
            <w:shd w:val="clear" w:color="auto" w:fill="auto"/>
            <w:vAlign w:val="center"/>
          </w:tcPr>
          <w:p w14:paraId="73BBE00C" w14:textId="77777777" w:rsidR="002564DF" w:rsidRDefault="002564DF" w:rsidP="00B6088E">
            <w:pPr>
              <w:spacing w:line="240" w:lineRule="auto"/>
              <w:jc w:val="center"/>
            </w:pPr>
            <w:r>
              <w:t>Beta</w:t>
            </w:r>
          </w:p>
        </w:tc>
        <w:tc>
          <w:tcPr>
            <w:tcW w:w="1365" w:type="dxa"/>
            <w:shd w:val="clear" w:color="auto" w:fill="auto"/>
            <w:vAlign w:val="center"/>
          </w:tcPr>
          <w:p w14:paraId="098F13D7" w14:textId="77777777" w:rsidR="002564DF" w:rsidRDefault="002564DF" w:rsidP="00B6088E">
            <w:pPr>
              <w:spacing w:line="240" w:lineRule="auto"/>
              <w:jc w:val="center"/>
            </w:pPr>
            <w:r>
              <w:t>56.00</w:t>
            </w:r>
          </w:p>
          <w:p w14:paraId="50F8CCBC" w14:textId="77777777" w:rsidR="002564DF" w:rsidRDefault="002564DF" w:rsidP="00B6088E">
            <w:pPr>
              <w:spacing w:line="240" w:lineRule="auto"/>
              <w:jc w:val="center"/>
            </w:pPr>
            <w:r>
              <w:t>(IQR: 46.54,61.88)</w:t>
            </w:r>
          </w:p>
        </w:tc>
        <w:tc>
          <w:tcPr>
            <w:tcW w:w="1065" w:type="dxa"/>
            <w:shd w:val="clear" w:color="auto" w:fill="auto"/>
            <w:vAlign w:val="center"/>
          </w:tcPr>
          <w:p w14:paraId="73D339E3" w14:textId="77777777" w:rsidR="002564DF" w:rsidRDefault="002564DF" w:rsidP="00B6088E">
            <w:pPr>
              <w:spacing w:line="240" w:lineRule="auto"/>
              <w:jc w:val="center"/>
            </w:pPr>
            <w:r>
              <w:t>70.00</w:t>
            </w:r>
          </w:p>
          <w:p w14:paraId="0960A165" w14:textId="77777777" w:rsidR="002564DF" w:rsidRDefault="002564DF" w:rsidP="00B6088E">
            <w:pPr>
              <w:spacing w:line="240" w:lineRule="auto"/>
              <w:jc w:val="center"/>
            </w:pPr>
            <w:r>
              <w:t>(IQR: 65.41,72.75)</w:t>
            </w:r>
          </w:p>
        </w:tc>
        <w:tc>
          <w:tcPr>
            <w:tcW w:w="1305" w:type="dxa"/>
            <w:shd w:val="clear" w:color="auto" w:fill="auto"/>
            <w:vAlign w:val="center"/>
          </w:tcPr>
          <w:p w14:paraId="5B1C50C5" w14:textId="77777777" w:rsidR="002564DF" w:rsidRDefault="002564DF" w:rsidP="00B6088E">
            <w:pPr>
              <w:spacing w:line="240" w:lineRule="auto"/>
              <w:jc w:val="center"/>
            </w:pPr>
            <w:r>
              <w:t>84.00</w:t>
            </w:r>
          </w:p>
          <w:p w14:paraId="68536E6E" w14:textId="77777777" w:rsidR="002564DF" w:rsidRDefault="002564DF" w:rsidP="00B6088E">
            <w:pPr>
              <w:spacing w:line="240" w:lineRule="auto"/>
              <w:jc w:val="center"/>
            </w:pPr>
            <w:r>
              <w:t>(IQR: 69.00,92.00)</w:t>
            </w:r>
          </w:p>
        </w:tc>
        <w:tc>
          <w:tcPr>
            <w:tcW w:w="1230" w:type="dxa"/>
            <w:shd w:val="clear" w:color="auto" w:fill="auto"/>
            <w:vAlign w:val="center"/>
          </w:tcPr>
          <w:p w14:paraId="63C05C22" w14:textId="77777777" w:rsidR="002564DF" w:rsidRDefault="002564DF" w:rsidP="00B6088E">
            <w:pPr>
              <w:spacing w:line="240" w:lineRule="auto"/>
              <w:jc w:val="center"/>
            </w:pPr>
            <w:r>
              <w:t>21.90</w:t>
            </w:r>
          </w:p>
          <w:p w14:paraId="659B6CF3" w14:textId="77777777" w:rsidR="002564DF" w:rsidRDefault="002564DF" w:rsidP="00B6088E">
            <w:pPr>
              <w:spacing w:line="240" w:lineRule="auto"/>
              <w:jc w:val="center"/>
            </w:pPr>
            <w:r>
              <w:t>(IQR: -49.90,72.80)</w:t>
            </w:r>
          </w:p>
        </w:tc>
        <w:tc>
          <w:tcPr>
            <w:tcW w:w="1140" w:type="dxa"/>
            <w:shd w:val="clear" w:color="auto" w:fill="auto"/>
            <w:vAlign w:val="center"/>
          </w:tcPr>
          <w:p w14:paraId="16AF9600" w14:textId="77777777" w:rsidR="002564DF" w:rsidRDefault="002564DF" w:rsidP="00B6088E">
            <w:pPr>
              <w:spacing w:line="240" w:lineRule="auto"/>
              <w:jc w:val="center"/>
            </w:pPr>
            <w:r>
              <w:t>96.40</w:t>
            </w:r>
          </w:p>
          <w:p w14:paraId="691A2ACE" w14:textId="77777777" w:rsidR="002564DF" w:rsidRDefault="002564DF" w:rsidP="00B6088E">
            <w:pPr>
              <w:spacing w:line="240" w:lineRule="auto"/>
              <w:jc w:val="center"/>
            </w:pPr>
            <w:r>
              <w:t>(IQR: 91.90,98.70)</w:t>
            </w:r>
          </w:p>
        </w:tc>
        <w:tc>
          <w:tcPr>
            <w:tcW w:w="1187" w:type="dxa"/>
            <w:shd w:val="clear" w:color="auto" w:fill="auto"/>
            <w:vAlign w:val="center"/>
          </w:tcPr>
          <w:p w14:paraId="2BE91281" w14:textId="77777777" w:rsidR="002564DF" w:rsidRDefault="002564DF" w:rsidP="00B6088E">
            <w:pPr>
              <w:spacing w:line="240" w:lineRule="auto"/>
              <w:jc w:val="center"/>
            </w:pPr>
            <w:r>
              <w:t>52.00</w:t>
            </w:r>
          </w:p>
          <w:p w14:paraId="2777A765" w14:textId="77777777" w:rsidR="002564DF" w:rsidRDefault="002564DF" w:rsidP="00B6088E">
            <w:pPr>
              <w:spacing w:line="240" w:lineRule="auto"/>
              <w:jc w:val="center"/>
            </w:pPr>
            <w:r>
              <w:t>(IQR: 30.30,67.40)</w:t>
            </w:r>
          </w:p>
        </w:tc>
      </w:tr>
      <w:tr w:rsidR="002564DF" w14:paraId="73B15C6E" w14:textId="77777777" w:rsidTr="00B6088E">
        <w:trPr>
          <w:trHeight w:val="1234"/>
          <w:jc w:val="center"/>
        </w:trPr>
        <w:tc>
          <w:tcPr>
            <w:tcW w:w="1005" w:type="dxa"/>
            <w:shd w:val="clear" w:color="auto" w:fill="auto"/>
            <w:vAlign w:val="center"/>
          </w:tcPr>
          <w:p w14:paraId="06F3E976" w14:textId="77777777" w:rsidR="002564DF" w:rsidRDefault="002564DF" w:rsidP="00B6088E">
            <w:pPr>
              <w:spacing w:line="240" w:lineRule="auto"/>
              <w:jc w:val="center"/>
            </w:pPr>
            <w:r>
              <w:lastRenderedPageBreak/>
              <w:t>Gamma</w:t>
            </w:r>
          </w:p>
        </w:tc>
        <w:tc>
          <w:tcPr>
            <w:tcW w:w="1365" w:type="dxa"/>
            <w:shd w:val="clear" w:color="auto" w:fill="auto"/>
            <w:vAlign w:val="center"/>
          </w:tcPr>
          <w:p w14:paraId="56501847" w14:textId="77777777" w:rsidR="002564DF" w:rsidRDefault="002564DF" w:rsidP="00B6088E">
            <w:pPr>
              <w:spacing w:line="240" w:lineRule="auto"/>
              <w:jc w:val="center"/>
            </w:pPr>
            <w:r>
              <w:t>56.00</w:t>
            </w:r>
          </w:p>
          <w:p w14:paraId="59C02F69" w14:textId="77777777" w:rsidR="002564DF" w:rsidRDefault="002564DF" w:rsidP="00B6088E">
            <w:pPr>
              <w:spacing w:line="240" w:lineRule="auto"/>
              <w:jc w:val="center"/>
            </w:pPr>
            <w:r>
              <w:t>(IQR: 46.54,61.88)</w:t>
            </w:r>
          </w:p>
        </w:tc>
        <w:tc>
          <w:tcPr>
            <w:tcW w:w="1065" w:type="dxa"/>
            <w:shd w:val="clear" w:color="auto" w:fill="auto"/>
            <w:vAlign w:val="center"/>
          </w:tcPr>
          <w:p w14:paraId="3CE7C442" w14:textId="77777777" w:rsidR="002564DF" w:rsidRDefault="002564DF" w:rsidP="00B6088E">
            <w:pPr>
              <w:spacing w:line="240" w:lineRule="auto"/>
              <w:jc w:val="center"/>
            </w:pPr>
            <w:r>
              <w:t>70.00</w:t>
            </w:r>
          </w:p>
          <w:p w14:paraId="2260EE25" w14:textId="77777777" w:rsidR="002564DF" w:rsidRDefault="002564DF" w:rsidP="00B6088E">
            <w:pPr>
              <w:spacing w:line="240" w:lineRule="auto"/>
              <w:jc w:val="center"/>
            </w:pPr>
            <w:r>
              <w:t>(IQR: 65.41,72.75)</w:t>
            </w:r>
          </w:p>
        </w:tc>
        <w:tc>
          <w:tcPr>
            <w:tcW w:w="1305" w:type="dxa"/>
            <w:shd w:val="clear" w:color="auto" w:fill="auto"/>
            <w:vAlign w:val="center"/>
          </w:tcPr>
          <w:p w14:paraId="7B9CD6EE" w14:textId="77777777" w:rsidR="002564DF" w:rsidRDefault="002564DF" w:rsidP="00B6088E">
            <w:pPr>
              <w:spacing w:line="240" w:lineRule="auto"/>
              <w:jc w:val="center"/>
            </w:pPr>
            <w:r>
              <w:t>84.00</w:t>
            </w:r>
          </w:p>
          <w:p w14:paraId="4AEE7254" w14:textId="77777777" w:rsidR="002564DF" w:rsidRDefault="002564DF" w:rsidP="00B6088E">
            <w:pPr>
              <w:spacing w:line="240" w:lineRule="auto"/>
              <w:jc w:val="center"/>
            </w:pPr>
            <w:r>
              <w:t>(IQR: 69.00,92.00)</w:t>
            </w:r>
          </w:p>
        </w:tc>
        <w:tc>
          <w:tcPr>
            <w:tcW w:w="1230" w:type="dxa"/>
            <w:shd w:val="clear" w:color="auto" w:fill="auto"/>
            <w:vAlign w:val="center"/>
          </w:tcPr>
          <w:p w14:paraId="38A4E2BF" w14:textId="77777777" w:rsidR="002564DF" w:rsidRDefault="002564DF" w:rsidP="00B6088E">
            <w:pPr>
              <w:spacing w:line="240" w:lineRule="auto"/>
              <w:jc w:val="center"/>
            </w:pPr>
            <w:r>
              <w:t>51.00</w:t>
            </w:r>
          </w:p>
          <w:p w14:paraId="289B983F" w14:textId="77777777" w:rsidR="002564DF" w:rsidRDefault="002564DF" w:rsidP="00B6088E">
            <w:pPr>
              <w:spacing w:line="240" w:lineRule="auto"/>
              <w:jc w:val="center"/>
            </w:pPr>
            <w:r>
              <w:t>(IQR: 43.89,56.58)</w:t>
            </w:r>
          </w:p>
        </w:tc>
        <w:tc>
          <w:tcPr>
            <w:tcW w:w="1140" w:type="dxa"/>
            <w:shd w:val="clear" w:color="auto" w:fill="auto"/>
            <w:vAlign w:val="center"/>
          </w:tcPr>
          <w:p w14:paraId="742C8113" w14:textId="77777777" w:rsidR="002564DF" w:rsidRDefault="002564DF" w:rsidP="00B6088E">
            <w:pPr>
              <w:spacing w:line="240" w:lineRule="auto"/>
              <w:jc w:val="center"/>
            </w:pPr>
            <w:r>
              <w:t>80.00</w:t>
            </w:r>
          </w:p>
          <w:p w14:paraId="6A60AE16" w14:textId="77777777" w:rsidR="002564DF" w:rsidRDefault="002564DF" w:rsidP="00B6088E">
            <w:pPr>
              <w:spacing w:line="240" w:lineRule="auto"/>
              <w:jc w:val="center"/>
            </w:pPr>
            <w:r>
              <w:t>(IQR: 75.92,82.30)</w:t>
            </w:r>
          </w:p>
        </w:tc>
        <w:tc>
          <w:tcPr>
            <w:tcW w:w="1187" w:type="dxa"/>
            <w:shd w:val="clear" w:color="auto" w:fill="auto"/>
            <w:vAlign w:val="center"/>
          </w:tcPr>
          <w:p w14:paraId="1A036952" w14:textId="77777777" w:rsidR="002564DF" w:rsidRDefault="002564DF" w:rsidP="00B6088E">
            <w:pPr>
              <w:spacing w:line="240" w:lineRule="auto"/>
              <w:jc w:val="center"/>
            </w:pPr>
            <w:r>
              <w:t>66.20</w:t>
            </w:r>
          </w:p>
          <w:p w14:paraId="0FEC34C6" w14:textId="77777777" w:rsidR="002564DF" w:rsidRDefault="002564DF" w:rsidP="00B6088E">
            <w:pPr>
              <w:spacing w:line="240" w:lineRule="auto"/>
              <w:jc w:val="center"/>
            </w:pPr>
            <w:r>
              <w:t>(IQR: 51.00,77.10)</w:t>
            </w:r>
          </w:p>
        </w:tc>
      </w:tr>
      <w:tr w:rsidR="002564DF" w14:paraId="6CF3A033" w14:textId="77777777" w:rsidTr="00B6088E">
        <w:trPr>
          <w:trHeight w:val="1234"/>
          <w:jc w:val="center"/>
        </w:trPr>
        <w:tc>
          <w:tcPr>
            <w:tcW w:w="1005" w:type="dxa"/>
            <w:shd w:val="clear" w:color="auto" w:fill="auto"/>
            <w:vAlign w:val="center"/>
          </w:tcPr>
          <w:p w14:paraId="7633D341" w14:textId="77777777" w:rsidR="002564DF" w:rsidRDefault="002564DF" w:rsidP="00B6088E">
            <w:pPr>
              <w:spacing w:line="240" w:lineRule="auto"/>
              <w:jc w:val="center"/>
            </w:pPr>
            <w:r>
              <w:t>Delta</w:t>
            </w:r>
          </w:p>
        </w:tc>
        <w:tc>
          <w:tcPr>
            <w:tcW w:w="1365" w:type="dxa"/>
            <w:shd w:val="clear" w:color="auto" w:fill="auto"/>
            <w:vAlign w:val="center"/>
          </w:tcPr>
          <w:p w14:paraId="3D3C6903" w14:textId="77777777" w:rsidR="002564DF" w:rsidRDefault="002564DF" w:rsidP="00B6088E">
            <w:pPr>
              <w:spacing w:line="240" w:lineRule="auto"/>
              <w:jc w:val="center"/>
            </w:pPr>
            <w:r>
              <w:t>56.00</w:t>
            </w:r>
          </w:p>
          <w:p w14:paraId="5195706E" w14:textId="77777777" w:rsidR="002564DF" w:rsidRDefault="002564DF" w:rsidP="00B6088E">
            <w:pPr>
              <w:spacing w:line="240" w:lineRule="auto"/>
              <w:jc w:val="center"/>
            </w:pPr>
            <w:r>
              <w:t>(IQR: 46.54,61.88)</w:t>
            </w:r>
          </w:p>
        </w:tc>
        <w:tc>
          <w:tcPr>
            <w:tcW w:w="1065" w:type="dxa"/>
            <w:shd w:val="clear" w:color="auto" w:fill="auto"/>
            <w:vAlign w:val="center"/>
          </w:tcPr>
          <w:p w14:paraId="6D070BB8" w14:textId="77777777" w:rsidR="002564DF" w:rsidRDefault="002564DF" w:rsidP="00B6088E">
            <w:pPr>
              <w:spacing w:line="240" w:lineRule="auto"/>
              <w:jc w:val="center"/>
            </w:pPr>
            <w:r>
              <w:t>70.00</w:t>
            </w:r>
          </w:p>
          <w:p w14:paraId="425970EE" w14:textId="77777777" w:rsidR="002564DF" w:rsidRDefault="002564DF" w:rsidP="00B6088E">
            <w:pPr>
              <w:spacing w:line="240" w:lineRule="auto"/>
              <w:jc w:val="center"/>
            </w:pPr>
            <w:r>
              <w:t>(IQR: 65.41,72.75)</w:t>
            </w:r>
          </w:p>
        </w:tc>
        <w:tc>
          <w:tcPr>
            <w:tcW w:w="1305" w:type="dxa"/>
            <w:shd w:val="clear" w:color="auto" w:fill="auto"/>
            <w:vAlign w:val="center"/>
          </w:tcPr>
          <w:p w14:paraId="7C4E2144" w14:textId="77777777" w:rsidR="002564DF" w:rsidRDefault="002564DF" w:rsidP="00B6088E">
            <w:pPr>
              <w:spacing w:line="240" w:lineRule="auto"/>
              <w:jc w:val="center"/>
            </w:pPr>
            <w:r>
              <w:t>88.00</w:t>
            </w:r>
          </w:p>
          <w:p w14:paraId="5C5F207E" w14:textId="77777777" w:rsidR="002564DF" w:rsidRDefault="002564DF" w:rsidP="00B6088E">
            <w:pPr>
              <w:spacing w:line="240" w:lineRule="auto"/>
              <w:jc w:val="center"/>
            </w:pPr>
            <w:r>
              <w:t>(IQR: 85.30,90.10)</w:t>
            </w:r>
          </w:p>
        </w:tc>
        <w:tc>
          <w:tcPr>
            <w:tcW w:w="1230" w:type="dxa"/>
            <w:shd w:val="clear" w:color="auto" w:fill="auto"/>
            <w:vAlign w:val="center"/>
          </w:tcPr>
          <w:p w14:paraId="486E661A" w14:textId="77777777" w:rsidR="002564DF" w:rsidRDefault="002564DF" w:rsidP="00B6088E">
            <w:pPr>
              <w:spacing w:line="240" w:lineRule="auto"/>
              <w:jc w:val="center"/>
            </w:pPr>
            <w:r>
              <w:t>60.00</w:t>
            </w:r>
          </w:p>
          <w:p w14:paraId="4E4FD59A" w14:textId="77777777" w:rsidR="002564DF" w:rsidRDefault="002564DF" w:rsidP="00B6088E">
            <w:pPr>
              <w:spacing w:line="240" w:lineRule="auto"/>
              <w:jc w:val="center"/>
            </w:pPr>
            <w:r>
              <w:t>(IQR: 53.00,66.00)</w:t>
            </w:r>
          </w:p>
        </w:tc>
        <w:tc>
          <w:tcPr>
            <w:tcW w:w="1140" w:type="dxa"/>
            <w:shd w:val="clear" w:color="auto" w:fill="auto"/>
            <w:vAlign w:val="center"/>
          </w:tcPr>
          <w:p w14:paraId="67C24CD6" w14:textId="77777777" w:rsidR="002564DF" w:rsidRDefault="002564DF" w:rsidP="00B6088E">
            <w:pPr>
              <w:spacing w:line="240" w:lineRule="auto"/>
              <w:jc w:val="center"/>
            </w:pPr>
            <w:r>
              <w:t>80.00</w:t>
            </w:r>
          </w:p>
          <w:p w14:paraId="240A8A0E" w14:textId="77777777" w:rsidR="002564DF" w:rsidRDefault="002564DF" w:rsidP="00B6088E">
            <w:pPr>
              <w:spacing w:line="240" w:lineRule="auto"/>
              <w:jc w:val="center"/>
            </w:pPr>
            <w:r>
              <w:t>(IQR: 75.92,82.30)</w:t>
            </w:r>
          </w:p>
        </w:tc>
        <w:tc>
          <w:tcPr>
            <w:tcW w:w="1187" w:type="dxa"/>
            <w:shd w:val="clear" w:color="auto" w:fill="auto"/>
            <w:vAlign w:val="center"/>
          </w:tcPr>
          <w:p w14:paraId="435F0C88" w14:textId="77777777" w:rsidR="002564DF" w:rsidRDefault="002564DF" w:rsidP="00B6088E">
            <w:pPr>
              <w:spacing w:line="240" w:lineRule="auto"/>
              <w:jc w:val="center"/>
            </w:pPr>
            <w:r>
              <w:t>56.00</w:t>
            </w:r>
          </w:p>
          <w:p w14:paraId="3070A841" w14:textId="77777777" w:rsidR="002564DF" w:rsidRDefault="002564DF" w:rsidP="00B6088E">
            <w:pPr>
              <w:spacing w:line="240" w:lineRule="auto"/>
              <w:jc w:val="center"/>
            </w:pPr>
            <w:r>
              <w:t>(IQR: 49.47,61.44)</w:t>
            </w:r>
          </w:p>
        </w:tc>
      </w:tr>
      <w:tr w:rsidR="002564DF" w14:paraId="7EC75C00" w14:textId="77777777" w:rsidTr="00B6088E">
        <w:trPr>
          <w:trHeight w:val="1234"/>
          <w:jc w:val="center"/>
        </w:trPr>
        <w:tc>
          <w:tcPr>
            <w:tcW w:w="1005" w:type="dxa"/>
            <w:shd w:val="clear" w:color="auto" w:fill="auto"/>
            <w:vAlign w:val="center"/>
          </w:tcPr>
          <w:p w14:paraId="5955B585" w14:textId="77777777" w:rsidR="002564DF" w:rsidRDefault="002564DF" w:rsidP="00B6088E">
            <w:pPr>
              <w:spacing w:line="240" w:lineRule="auto"/>
              <w:jc w:val="center"/>
            </w:pPr>
            <w:r>
              <w:t>Eta</w:t>
            </w:r>
          </w:p>
        </w:tc>
        <w:tc>
          <w:tcPr>
            <w:tcW w:w="1365" w:type="dxa"/>
            <w:shd w:val="clear" w:color="auto" w:fill="auto"/>
            <w:vAlign w:val="center"/>
          </w:tcPr>
          <w:p w14:paraId="482185DC" w14:textId="77777777" w:rsidR="002564DF" w:rsidRDefault="002564DF" w:rsidP="00B6088E">
            <w:pPr>
              <w:spacing w:line="240" w:lineRule="auto"/>
              <w:jc w:val="center"/>
            </w:pPr>
            <w:r>
              <w:t>78.10*</w:t>
            </w:r>
          </w:p>
          <w:p w14:paraId="49191AE5" w14:textId="77777777" w:rsidR="002564DF" w:rsidRDefault="002564DF" w:rsidP="00B6088E">
            <w:pPr>
              <w:spacing w:line="240" w:lineRule="auto"/>
              <w:jc w:val="center"/>
            </w:pPr>
            <w:r>
              <w:t>(IQR: 64.90,86.30)</w:t>
            </w:r>
          </w:p>
        </w:tc>
        <w:tc>
          <w:tcPr>
            <w:tcW w:w="1065" w:type="dxa"/>
            <w:shd w:val="clear" w:color="auto" w:fill="auto"/>
            <w:vAlign w:val="center"/>
          </w:tcPr>
          <w:p w14:paraId="63299217" w14:textId="77777777" w:rsidR="002564DF" w:rsidRDefault="002564DF" w:rsidP="00B6088E">
            <w:pPr>
              <w:spacing w:line="240" w:lineRule="auto"/>
              <w:jc w:val="center"/>
            </w:pPr>
            <w:r>
              <w:t>91.60*</w:t>
            </w:r>
          </w:p>
          <w:p w14:paraId="4CD66076" w14:textId="77777777" w:rsidR="002564DF" w:rsidRDefault="002564DF" w:rsidP="00B6088E">
            <w:pPr>
              <w:spacing w:line="240" w:lineRule="auto"/>
              <w:jc w:val="center"/>
            </w:pPr>
            <w:r>
              <w:t>(IQR: 85.60,95.20)</w:t>
            </w:r>
          </w:p>
        </w:tc>
        <w:tc>
          <w:tcPr>
            <w:tcW w:w="1305" w:type="dxa"/>
            <w:shd w:val="clear" w:color="auto" w:fill="auto"/>
            <w:vAlign w:val="center"/>
          </w:tcPr>
          <w:p w14:paraId="573F5C1E" w14:textId="77777777" w:rsidR="002564DF" w:rsidRDefault="002564DF" w:rsidP="00B6088E">
            <w:pPr>
              <w:spacing w:line="240" w:lineRule="auto"/>
              <w:jc w:val="center"/>
            </w:pPr>
            <w:r>
              <w:t>95.00*</w:t>
            </w:r>
          </w:p>
          <w:p w14:paraId="34BDCF27" w14:textId="77777777" w:rsidR="002564DF" w:rsidRDefault="002564DF" w:rsidP="00B6088E">
            <w:pPr>
              <w:spacing w:line="240" w:lineRule="auto"/>
              <w:jc w:val="center"/>
            </w:pPr>
            <w:r>
              <w:t>(IQR: 90.30,97.60)</w:t>
            </w:r>
          </w:p>
        </w:tc>
        <w:tc>
          <w:tcPr>
            <w:tcW w:w="1230" w:type="dxa"/>
            <w:shd w:val="clear" w:color="auto" w:fill="auto"/>
            <w:vAlign w:val="center"/>
          </w:tcPr>
          <w:p w14:paraId="70C0E65A" w14:textId="77777777" w:rsidR="002564DF" w:rsidRDefault="002564DF" w:rsidP="00B6088E">
            <w:pPr>
              <w:spacing w:line="240" w:lineRule="auto"/>
              <w:jc w:val="center"/>
            </w:pPr>
            <w:r>
              <w:t>66.70*</w:t>
            </w:r>
          </w:p>
          <w:p w14:paraId="33520D12" w14:textId="77777777" w:rsidR="002564DF" w:rsidRDefault="002564DF" w:rsidP="00B6088E">
            <w:pPr>
              <w:spacing w:line="240" w:lineRule="auto"/>
              <w:jc w:val="center"/>
            </w:pPr>
            <w:r>
              <w:t>(IQR: 57.40,74.00)</w:t>
            </w:r>
          </w:p>
        </w:tc>
        <w:tc>
          <w:tcPr>
            <w:tcW w:w="1140" w:type="dxa"/>
            <w:shd w:val="clear" w:color="auto" w:fill="auto"/>
            <w:vAlign w:val="center"/>
          </w:tcPr>
          <w:p w14:paraId="6DCC4779" w14:textId="77777777" w:rsidR="002564DF" w:rsidRDefault="002564DF" w:rsidP="00B6088E">
            <w:pPr>
              <w:spacing w:line="240" w:lineRule="auto"/>
              <w:jc w:val="center"/>
            </w:pPr>
            <w:r>
              <w:t>94.10*</w:t>
            </w:r>
          </w:p>
          <w:p w14:paraId="50DEE84A" w14:textId="77777777" w:rsidR="002564DF" w:rsidRDefault="002564DF" w:rsidP="00B6088E">
            <w:pPr>
              <w:spacing w:line="240" w:lineRule="auto"/>
              <w:jc w:val="center"/>
            </w:pPr>
            <w:r>
              <w:t>(IQR: 89.30,96.80)</w:t>
            </w:r>
          </w:p>
        </w:tc>
        <w:tc>
          <w:tcPr>
            <w:tcW w:w="1187" w:type="dxa"/>
            <w:shd w:val="clear" w:color="auto" w:fill="auto"/>
            <w:vAlign w:val="center"/>
          </w:tcPr>
          <w:p w14:paraId="12823820" w14:textId="77777777" w:rsidR="002564DF" w:rsidRDefault="002564DF" w:rsidP="00B6088E">
            <w:pPr>
              <w:spacing w:line="240" w:lineRule="auto"/>
              <w:jc w:val="center"/>
            </w:pPr>
            <w:r>
              <w:t>66.90*</w:t>
            </w:r>
          </w:p>
          <w:p w14:paraId="28AFE3EA" w14:textId="77777777" w:rsidR="002564DF" w:rsidRDefault="002564DF" w:rsidP="00B6088E">
            <w:pPr>
              <w:spacing w:line="240" w:lineRule="auto"/>
              <w:jc w:val="center"/>
            </w:pPr>
            <w:r>
              <w:t>(IQR: 59.10,73.40)</w:t>
            </w:r>
          </w:p>
        </w:tc>
      </w:tr>
      <w:tr w:rsidR="002564DF" w14:paraId="42A31270" w14:textId="77777777" w:rsidTr="00B6088E">
        <w:trPr>
          <w:trHeight w:val="1234"/>
          <w:jc w:val="center"/>
        </w:trPr>
        <w:tc>
          <w:tcPr>
            <w:tcW w:w="1005" w:type="dxa"/>
            <w:shd w:val="clear" w:color="auto" w:fill="auto"/>
            <w:vAlign w:val="center"/>
          </w:tcPr>
          <w:p w14:paraId="41215D97" w14:textId="77777777" w:rsidR="002564DF" w:rsidRDefault="002564DF" w:rsidP="00B6088E">
            <w:pPr>
              <w:spacing w:line="240" w:lineRule="auto"/>
              <w:jc w:val="center"/>
            </w:pPr>
            <w:r>
              <w:t>Kappa</w:t>
            </w:r>
          </w:p>
        </w:tc>
        <w:tc>
          <w:tcPr>
            <w:tcW w:w="1365" w:type="dxa"/>
            <w:shd w:val="clear" w:color="auto" w:fill="auto"/>
            <w:vAlign w:val="center"/>
          </w:tcPr>
          <w:p w14:paraId="381051C8" w14:textId="77777777" w:rsidR="002564DF" w:rsidRDefault="002564DF" w:rsidP="00B6088E">
            <w:pPr>
              <w:spacing w:line="240" w:lineRule="auto"/>
              <w:jc w:val="center"/>
            </w:pPr>
            <w:r>
              <w:t>78.10*</w:t>
            </w:r>
          </w:p>
          <w:p w14:paraId="651E3D05" w14:textId="77777777" w:rsidR="002564DF" w:rsidRDefault="002564DF" w:rsidP="00B6088E">
            <w:pPr>
              <w:spacing w:line="240" w:lineRule="auto"/>
              <w:jc w:val="center"/>
            </w:pPr>
            <w:r>
              <w:t>(IQR: 64.90,96.30)</w:t>
            </w:r>
          </w:p>
        </w:tc>
        <w:tc>
          <w:tcPr>
            <w:tcW w:w="1065" w:type="dxa"/>
            <w:shd w:val="clear" w:color="auto" w:fill="auto"/>
            <w:vAlign w:val="center"/>
          </w:tcPr>
          <w:p w14:paraId="5417E113" w14:textId="77777777" w:rsidR="002564DF" w:rsidRDefault="002564DF" w:rsidP="00B6088E">
            <w:pPr>
              <w:spacing w:line="240" w:lineRule="auto"/>
              <w:jc w:val="center"/>
            </w:pPr>
            <w:r>
              <w:t>91.60*</w:t>
            </w:r>
          </w:p>
          <w:p w14:paraId="33228433" w14:textId="77777777" w:rsidR="002564DF" w:rsidRDefault="002564DF" w:rsidP="00B6088E">
            <w:pPr>
              <w:spacing w:line="240" w:lineRule="auto"/>
              <w:jc w:val="center"/>
            </w:pPr>
            <w:r>
              <w:t>(IQR: 85.60,95.20)</w:t>
            </w:r>
          </w:p>
        </w:tc>
        <w:tc>
          <w:tcPr>
            <w:tcW w:w="1305" w:type="dxa"/>
            <w:shd w:val="clear" w:color="auto" w:fill="auto"/>
            <w:vAlign w:val="center"/>
          </w:tcPr>
          <w:p w14:paraId="4E365A64" w14:textId="77777777" w:rsidR="002564DF" w:rsidRDefault="002564DF" w:rsidP="00B6088E">
            <w:pPr>
              <w:spacing w:line="240" w:lineRule="auto"/>
              <w:jc w:val="center"/>
            </w:pPr>
            <w:r>
              <w:t>87.90</w:t>
            </w:r>
          </w:p>
          <w:p w14:paraId="16367B35" w14:textId="77777777" w:rsidR="002564DF" w:rsidRDefault="002564DF" w:rsidP="00B6088E">
            <w:pPr>
              <w:spacing w:line="240" w:lineRule="auto"/>
              <w:jc w:val="center"/>
            </w:pPr>
            <w:r>
              <w:t>(IQR: 78.20,93.20)</w:t>
            </w:r>
          </w:p>
        </w:tc>
        <w:tc>
          <w:tcPr>
            <w:tcW w:w="1230" w:type="dxa"/>
            <w:shd w:val="clear" w:color="auto" w:fill="auto"/>
            <w:vAlign w:val="center"/>
          </w:tcPr>
          <w:p w14:paraId="432161AB" w14:textId="77777777" w:rsidR="002564DF" w:rsidRDefault="002564DF" w:rsidP="00B6088E">
            <w:pPr>
              <w:spacing w:line="240" w:lineRule="auto"/>
              <w:jc w:val="center"/>
            </w:pPr>
            <w:r>
              <w:t>59.80</w:t>
            </w:r>
          </w:p>
          <w:p w14:paraId="72ACA68C" w14:textId="77777777" w:rsidR="002564DF" w:rsidRDefault="002564DF" w:rsidP="00B6088E">
            <w:pPr>
              <w:spacing w:line="240" w:lineRule="auto"/>
              <w:jc w:val="center"/>
            </w:pPr>
            <w:r>
              <w:t>(IQR: 28.90,77.30)</w:t>
            </w:r>
          </w:p>
        </w:tc>
        <w:tc>
          <w:tcPr>
            <w:tcW w:w="1140" w:type="dxa"/>
            <w:shd w:val="clear" w:color="auto" w:fill="auto"/>
            <w:vAlign w:val="center"/>
          </w:tcPr>
          <w:p w14:paraId="647E495C" w14:textId="77777777" w:rsidR="002564DF" w:rsidRDefault="002564DF" w:rsidP="00B6088E">
            <w:pPr>
              <w:spacing w:line="240" w:lineRule="auto"/>
              <w:jc w:val="center"/>
            </w:pPr>
            <w:r>
              <w:t>94.10*</w:t>
            </w:r>
          </w:p>
          <w:p w14:paraId="5BD13C0A" w14:textId="77777777" w:rsidR="002564DF" w:rsidRDefault="002564DF" w:rsidP="00B6088E">
            <w:pPr>
              <w:spacing w:line="240" w:lineRule="auto"/>
              <w:jc w:val="center"/>
            </w:pPr>
            <w:r>
              <w:t>(IQR: 89.30,96.80)</w:t>
            </w:r>
          </w:p>
        </w:tc>
        <w:tc>
          <w:tcPr>
            <w:tcW w:w="1187" w:type="dxa"/>
            <w:shd w:val="clear" w:color="auto" w:fill="auto"/>
            <w:vAlign w:val="center"/>
          </w:tcPr>
          <w:p w14:paraId="04F941E0" w14:textId="77777777" w:rsidR="002564DF" w:rsidRDefault="002564DF" w:rsidP="00B6088E">
            <w:pPr>
              <w:spacing w:line="240" w:lineRule="auto"/>
              <w:jc w:val="center"/>
            </w:pPr>
            <w:r>
              <w:t>66.90*</w:t>
            </w:r>
          </w:p>
          <w:p w14:paraId="6960D39D" w14:textId="77777777" w:rsidR="002564DF" w:rsidRDefault="002564DF" w:rsidP="00B6088E">
            <w:pPr>
              <w:spacing w:line="240" w:lineRule="auto"/>
              <w:jc w:val="center"/>
            </w:pPr>
            <w:r>
              <w:t>(IQR: 59.10,73.40)</w:t>
            </w:r>
          </w:p>
        </w:tc>
      </w:tr>
    </w:tbl>
    <w:p w14:paraId="05073BD1" w14:textId="77777777" w:rsidR="002564DF" w:rsidRDefault="002564DF" w:rsidP="002564DF">
      <w:pPr>
        <w:rPr>
          <w:b/>
        </w:rPr>
      </w:pPr>
    </w:p>
    <w:p w14:paraId="018E6E56" w14:textId="77777777" w:rsidR="002564DF" w:rsidRDefault="002564DF" w:rsidP="002564DF">
      <w:pPr>
        <w:pStyle w:val="Heading1"/>
        <w:spacing w:line="480" w:lineRule="auto"/>
      </w:pPr>
      <w:bookmarkStart w:id="9" w:name="_pmgiktajmcl7" w:colFirst="0" w:colLast="0"/>
      <w:bookmarkStart w:id="10" w:name="_Toc86071812"/>
      <w:bookmarkEnd w:id="9"/>
      <w:r>
        <w:t>B. Additional results</w:t>
      </w:r>
      <w:bookmarkEnd w:id="10"/>
    </w:p>
    <w:p w14:paraId="502B8F91" w14:textId="77777777" w:rsidR="002564DF" w:rsidRDefault="002564DF" w:rsidP="002564DF">
      <w:pPr>
        <w:pStyle w:val="Heading2"/>
        <w:spacing w:line="480" w:lineRule="auto"/>
      </w:pPr>
      <w:bookmarkStart w:id="11" w:name="_6igvbrsmbtc6" w:colFirst="0" w:colLast="0"/>
      <w:bookmarkStart w:id="12" w:name="_Toc86071813"/>
      <w:bookmarkEnd w:id="11"/>
      <w:r>
        <w:t>B1. MCMC convergence</w:t>
      </w:r>
      <w:bookmarkEnd w:id="12"/>
    </w:p>
    <w:p w14:paraId="322F7B9B" w14:textId="77777777" w:rsidR="002564DF" w:rsidRDefault="002564DF" w:rsidP="002564DF">
      <w:pPr>
        <w:spacing w:line="240" w:lineRule="auto"/>
        <w:jc w:val="center"/>
      </w:pPr>
      <w:r>
        <w:rPr>
          <w:noProof/>
        </w:rPr>
        <w:drawing>
          <wp:inline distT="114300" distB="114300" distL="114300" distR="114300" wp14:anchorId="5CE0633F" wp14:editId="274C4F11">
            <wp:extent cx="5256999" cy="2214563"/>
            <wp:effectExtent l="0" t="0" r="0" b="0"/>
            <wp:docPr id="21" name="image21.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21" name="image21.png" descr="Chart, histogram&#10;&#10;Description automatically generated"/>
                    <pic:cNvPicPr preferRelativeResize="0"/>
                  </pic:nvPicPr>
                  <pic:blipFill>
                    <a:blip r:embed="rId6"/>
                    <a:srcRect/>
                    <a:stretch>
                      <a:fillRect/>
                    </a:stretch>
                  </pic:blipFill>
                  <pic:spPr>
                    <a:xfrm>
                      <a:off x="0" y="0"/>
                      <a:ext cx="5256999" cy="2214563"/>
                    </a:xfrm>
                    <a:prstGeom prst="rect">
                      <a:avLst/>
                    </a:prstGeom>
                    <a:ln/>
                  </pic:spPr>
                </pic:pic>
              </a:graphicData>
            </a:graphic>
          </wp:inline>
        </w:drawing>
      </w:r>
    </w:p>
    <w:p w14:paraId="07AA6F1E" w14:textId="4099C5F8" w:rsidR="002564DF" w:rsidRDefault="002564DF" w:rsidP="00CC1518">
      <w:pPr>
        <w:spacing w:line="276" w:lineRule="auto"/>
      </w:pPr>
      <w:r>
        <w:rPr>
          <w:b/>
        </w:rPr>
        <w:t>Fig. B1</w:t>
      </w:r>
      <w:r>
        <w:t xml:space="preserve"> </w:t>
      </w:r>
      <w:r>
        <w:rPr>
          <w:b/>
        </w:rPr>
        <w:t xml:space="preserve">The convergence of MCMC in our estimation. </w:t>
      </w:r>
      <w:r>
        <w:t>(a)R-hat statistic taken from a run using the default model with default settings and values for all parameters. Values are close to 1, indicating convergence; (b)Relative effective sample size taken from a run using the default model with default settings and values for all parameters. Value 1 indicates perfect decorrelation between samples. Values above (below) 1 indicate that the effective number of samples is higher (lower) than the actual number of samples due to negative (positive) correlation, respectively.</w:t>
      </w:r>
      <w:bookmarkStart w:id="13" w:name="_spkrchrq5vhy" w:colFirst="0" w:colLast="0"/>
      <w:bookmarkEnd w:id="13"/>
    </w:p>
    <w:p w14:paraId="664C8ABE" w14:textId="77777777" w:rsidR="00CC1518" w:rsidRDefault="00CC1518" w:rsidP="00CC1518">
      <w:pPr>
        <w:spacing w:line="276" w:lineRule="auto"/>
        <w:rPr>
          <w:rFonts w:hint="eastAsia"/>
        </w:rPr>
      </w:pPr>
    </w:p>
    <w:p w14:paraId="30757A36" w14:textId="77777777" w:rsidR="002564DF" w:rsidRDefault="002564DF" w:rsidP="002564DF">
      <w:pPr>
        <w:pStyle w:val="Heading2"/>
        <w:spacing w:line="480" w:lineRule="auto"/>
      </w:pPr>
      <w:bookmarkStart w:id="14" w:name="_ryfobu8bli7k" w:colFirst="0" w:colLast="0"/>
      <w:bookmarkStart w:id="15" w:name="_Toc86071814"/>
      <w:bookmarkEnd w:id="14"/>
      <w:r>
        <w:t>B2. Meta-analysis</w:t>
      </w:r>
      <w:bookmarkEnd w:id="15"/>
    </w:p>
    <w:p w14:paraId="25DE38D1" w14:textId="77777777" w:rsidR="002564DF" w:rsidRDefault="002564DF" w:rsidP="002564DF">
      <w:r>
        <w:t>Due to the heterogeneous context across the 27 countries, we estimated the national effectiveness of NPIs and national effectiveness of vaccination for each of the 27 countries. Then, we meta-analyse the data to generate the general effects of NPIs and vaccination, respectively, through the bottom-up approach.</w:t>
      </w:r>
    </w:p>
    <w:p w14:paraId="5936838A" w14:textId="77777777" w:rsidR="002564DF" w:rsidRDefault="002564DF" w:rsidP="002564DF">
      <w:pPr>
        <w:spacing w:line="240" w:lineRule="auto"/>
      </w:pPr>
    </w:p>
    <w:p w14:paraId="1B612844" w14:textId="77777777" w:rsidR="002564DF" w:rsidRDefault="002564DF" w:rsidP="002564DF">
      <w:pPr>
        <w:spacing w:line="240" w:lineRule="auto"/>
      </w:pPr>
      <w:r>
        <w:rPr>
          <w:noProof/>
        </w:rPr>
        <w:drawing>
          <wp:inline distT="114300" distB="114300" distL="114300" distR="114300" wp14:anchorId="3581F739" wp14:editId="55F61A73">
            <wp:extent cx="5274000" cy="1841500"/>
            <wp:effectExtent l="0" t="0" r="0" b="0"/>
            <wp:docPr id="13" name="image5.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5.png" descr="Chart, line chart&#10;&#10;Description automatically generated"/>
                    <pic:cNvPicPr preferRelativeResize="0"/>
                  </pic:nvPicPr>
                  <pic:blipFill>
                    <a:blip r:embed="rId7"/>
                    <a:srcRect/>
                    <a:stretch>
                      <a:fillRect/>
                    </a:stretch>
                  </pic:blipFill>
                  <pic:spPr>
                    <a:xfrm>
                      <a:off x="0" y="0"/>
                      <a:ext cx="5274000" cy="1841500"/>
                    </a:xfrm>
                    <a:prstGeom prst="rect">
                      <a:avLst/>
                    </a:prstGeom>
                    <a:ln/>
                  </pic:spPr>
                </pic:pic>
              </a:graphicData>
            </a:graphic>
          </wp:inline>
        </w:drawing>
      </w:r>
    </w:p>
    <w:p w14:paraId="79527817" w14:textId="77777777" w:rsidR="002564DF" w:rsidRDefault="002564DF" w:rsidP="002564DF">
      <w:pPr>
        <w:spacing w:line="240" w:lineRule="auto"/>
      </w:pPr>
      <w:r>
        <w:rPr>
          <w:noProof/>
        </w:rPr>
        <w:drawing>
          <wp:inline distT="114300" distB="114300" distL="114300" distR="114300" wp14:anchorId="5D619853" wp14:editId="041D8D3C">
            <wp:extent cx="5274000" cy="1866900"/>
            <wp:effectExtent l="0" t="0" r="0" b="0"/>
            <wp:docPr id="4" name="image14.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14.png" descr="Chart, line chart&#10;&#10;Description automatically generated"/>
                    <pic:cNvPicPr preferRelativeResize="0"/>
                  </pic:nvPicPr>
                  <pic:blipFill>
                    <a:blip r:embed="rId8"/>
                    <a:srcRect/>
                    <a:stretch>
                      <a:fillRect/>
                    </a:stretch>
                  </pic:blipFill>
                  <pic:spPr>
                    <a:xfrm>
                      <a:off x="0" y="0"/>
                      <a:ext cx="5274000" cy="1866900"/>
                    </a:xfrm>
                    <a:prstGeom prst="rect">
                      <a:avLst/>
                    </a:prstGeom>
                    <a:ln/>
                  </pic:spPr>
                </pic:pic>
              </a:graphicData>
            </a:graphic>
          </wp:inline>
        </w:drawing>
      </w:r>
      <w:r>
        <w:rPr>
          <w:noProof/>
        </w:rPr>
        <w:drawing>
          <wp:inline distT="114300" distB="114300" distL="114300" distR="114300" wp14:anchorId="7CBFEB8B" wp14:editId="69BC2EE7">
            <wp:extent cx="5274000" cy="1854200"/>
            <wp:effectExtent l="0" t="0" r="0" b="0"/>
            <wp:docPr id="9" name="image13.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13.png" descr="Chart, line chart&#10;&#10;Description automatically generated"/>
                    <pic:cNvPicPr preferRelativeResize="0"/>
                  </pic:nvPicPr>
                  <pic:blipFill>
                    <a:blip r:embed="rId9"/>
                    <a:srcRect/>
                    <a:stretch>
                      <a:fillRect/>
                    </a:stretch>
                  </pic:blipFill>
                  <pic:spPr>
                    <a:xfrm>
                      <a:off x="0" y="0"/>
                      <a:ext cx="5274000" cy="1854200"/>
                    </a:xfrm>
                    <a:prstGeom prst="rect">
                      <a:avLst/>
                    </a:prstGeom>
                    <a:ln/>
                  </pic:spPr>
                </pic:pic>
              </a:graphicData>
            </a:graphic>
          </wp:inline>
        </w:drawing>
      </w:r>
      <w:r>
        <w:rPr>
          <w:noProof/>
        </w:rPr>
        <w:lastRenderedPageBreak/>
        <w:drawing>
          <wp:inline distT="114300" distB="114300" distL="114300" distR="114300" wp14:anchorId="7360340C" wp14:editId="4CB9B249">
            <wp:extent cx="5274000" cy="1841500"/>
            <wp:effectExtent l="0" t="0" r="0" b="0"/>
            <wp:docPr id="18" name="image9.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18" name="image9.png" descr="Chart, line chart&#10;&#10;Description automatically generated"/>
                    <pic:cNvPicPr preferRelativeResize="0"/>
                  </pic:nvPicPr>
                  <pic:blipFill>
                    <a:blip r:embed="rId10"/>
                    <a:srcRect/>
                    <a:stretch>
                      <a:fillRect/>
                    </a:stretch>
                  </pic:blipFill>
                  <pic:spPr>
                    <a:xfrm>
                      <a:off x="0" y="0"/>
                      <a:ext cx="5274000" cy="1841500"/>
                    </a:xfrm>
                    <a:prstGeom prst="rect">
                      <a:avLst/>
                    </a:prstGeom>
                    <a:ln/>
                  </pic:spPr>
                </pic:pic>
              </a:graphicData>
            </a:graphic>
          </wp:inline>
        </w:drawing>
      </w:r>
      <w:r>
        <w:rPr>
          <w:noProof/>
        </w:rPr>
        <w:drawing>
          <wp:inline distT="114300" distB="114300" distL="114300" distR="114300" wp14:anchorId="0AF9732A" wp14:editId="1EC3C12A">
            <wp:extent cx="5274000" cy="1866900"/>
            <wp:effectExtent l="0" t="0" r="0" b="0"/>
            <wp:docPr id="24" name="image23.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4" name="image23.png" descr="Chart, line chart&#10;&#10;Description automatically generated"/>
                    <pic:cNvPicPr preferRelativeResize="0"/>
                  </pic:nvPicPr>
                  <pic:blipFill>
                    <a:blip r:embed="rId11"/>
                    <a:srcRect/>
                    <a:stretch>
                      <a:fillRect/>
                    </a:stretch>
                  </pic:blipFill>
                  <pic:spPr>
                    <a:xfrm>
                      <a:off x="0" y="0"/>
                      <a:ext cx="5274000" cy="1866900"/>
                    </a:xfrm>
                    <a:prstGeom prst="rect">
                      <a:avLst/>
                    </a:prstGeom>
                    <a:ln/>
                  </pic:spPr>
                </pic:pic>
              </a:graphicData>
            </a:graphic>
          </wp:inline>
        </w:drawing>
      </w:r>
      <w:r>
        <w:rPr>
          <w:noProof/>
        </w:rPr>
        <w:drawing>
          <wp:inline distT="114300" distB="114300" distL="114300" distR="114300" wp14:anchorId="56D636DB" wp14:editId="73035E26">
            <wp:extent cx="5274000" cy="1866900"/>
            <wp:effectExtent l="0" t="0" r="0" b="0"/>
            <wp:docPr id="8" name="image20.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20.png" descr="Chart&#10;&#10;Description automatically generated"/>
                    <pic:cNvPicPr preferRelativeResize="0"/>
                  </pic:nvPicPr>
                  <pic:blipFill>
                    <a:blip r:embed="rId12"/>
                    <a:srcRect/>
                    <a:stretch>
                      <a:fillRect/>
                    </a:stretch>
                  </pic:blipFill>
                  <pic:spPr>
                    <a:xfrm>
                      <a:off x="0" y="0"/>
                      <a:ext cx="5274000" cy="1866900"/>
                    </a:xfrm>
                    <a:prstGeom prst="rect">
                      <a:avLst/>
                    </a:prstGeom>
                    <a:ln/>
                  </pic:spPr>
                </pic:pic>
              </a:graphicData>
            </a:graphic>
          </wp:inline>
        </w:drawing>
      </w:r>
      <w:r>
        <w:rPr>
          <w:noProof/>
        </w:rPr>
        <w:drawing>
          <wp:inline distT="114300" distB="114300" distL="114300" distR="114300" wp14:anchorId="633FDBE7" wp14:editId="23E40FC0">
            <wp:extent cx="5274000" cy="1828800"/>
            <wp:effectExtent l="0" t="0" r="0" b="0"/>
            <wp:docPr id="15" name="image1.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15" name="image1.png" descr="Chart, line chart&#10;&#10;Description automatically generated"/>
                    <pic:cNvPicPr preferRelativeResize="0"/>
                  </pic:nvPicPr>
                  <pic:blipFill>
                    <a:blip r:embed="rId13"/>
                    <a:srcRect/>
                    <a:stretch>
                      <a:fillRect/>
                    </a:stretch>
                  </pic:blipFill>
                  <pic:spPr>
                    <a:xfrm>
                      <a:off x="0" y="0"/>
                      <a:ext cx="5274000" cy="1828800"/>
                    </a:xfrm>
                    <a:prstGeom prst="rect">
                      <a:avLst/>
                    </a:prstGeom>
                    <a:ln/>
                  </pic:spPr>
                </pic:pic>
              </a:graphicData>
            </a:graphic>
          </wp:inline>
        </w:drawing>
      </w:r>
      <w:r>
        <w:rPr>
          <w:noProof/>
        </w:rPr>
        <w:lastRenderedPageBreak/>
        <w:drawing>
          <wp:inline distT="114300" distB="114300" distL="114300" distR="114300" wp14:anchorId="7F3D02A0" wp14:editId="629AB812">
            <wp:extent cx="5274000" cy="1866900"/>
            <wp:effectExtent l="0" t="0" r="0" b="0"/>
            <wp:docPr id="1" name="image8.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8.png" descr="Chart, histogram&#10;&#10;Description automatically generated"/>
                    <pic:cNvPicPr preferRelativeResize="0"/>
                  </pic:nvPicPr>
                  <pic:blipFill>
                    <a:blip r:embed="rId14"/>
                    <a:srcRect/>
                    <a:stretch>
                      <a:fillRect/>
                    </a:stretch>
                  </pic:blipFill>
                  <pic:spPr>
                    <a:xfrm>
                      <a:off x="0" y="0"/>
                      <a:ext cx="5274000" cy="1866900"/>
                    </a:xfrm>
                    <a:prstGeom prst="rect">
                      <a:avLst/>
                    </a:prstGeom>
                    <a:ln/>
                  </pic:spPr>
                </pic:pic>
              </a:graphicData>
            </a:graphic>
          </wp:inline>
        </w:drawing>
      </w:r>
      <w:r>
        <w:rPr>
          <w:noProof/>
        </w:rPr>
        <w:drawing>
          <wp:inline distT="114300" distB="114300" distL="114300" distR="114300" wp14:anchorId="649485CB" wp14:editId="30DDB53B">
            <wp:extent cx="5274000" cy="1854200"/>
            <wp:effectExtent l="0" t="0" r="0" b="0"/>
            <wp:docPr id="17" name="image17.png" descr="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17.png" descr="Chart, histogram&#10;&#10;Description automatically generated"/>
                    <pic:cNvPicPr preferRelativeResize="0"/>
                  </pic:nvPicPr>
                  <pic:blipFill>
                    <a:blip r:embed="rId15"/>
                    <a:srcRect/>
                    <a:stretch>
                      <a:fillRect/>
                    </a:stretch>
                  </pic:blipFill>
                  <pic:spPr>
                    <a:xfrm>
                      <a:off x="0" y="0"/>
                      <a:ext cx="5274000" cy="1854200"/>
                    </a:xfrm>
                    <a:prstGeom prst="rect">
                      <a:avLst/>
                    </a:prstGeom>
                    <a:ln/>
                  </pic:spPr>
                </pic:pic>
              </a:graphicData>
            </a:graphic>
          </wp:inline>
        </w:drawing>
      </w:r>
      <w:r>
        <w:rPr>
          <w:noProof/>
        </w:rPr>
        <w:drawing>
          <wp:inline distT="114300" distB="114300" distL="114300" distR="114300" wp14:anchorId="447E7545" wp14:editId="4265B3EE">
            <wp:extent cx="5274000" cy="1841500"/>
            <wp:effectExtent l="0" t="0" r="0" b="0"/>
            <wp:docPr id="6" name="image2.png" descr="Chart, line chart, histogram&#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2.png" descr="Chart, line chart, histogram&#10;&#10;Description automatically generated"/>
                    <pic:cNvPicPr preferRelativeResize="0"/>
                  </pic:nvPicPr>
                  <pic:blipFill>
                    <a:blip r:embed="rId16"/>
                    <a:srcRect/>
                    <a:stretch>
                      <a:fillRect/>
                    </a:stretch>
                  </pic:blipFill>
                  <pic:spPr>
                    <a:xfrm>
                      <a:off x="0" y="0"/>
                      <a:ext cx="5274000" cy="1841500"/>
                    </a:xfrm>
                    <a:prstGeom prst="rect">
                      <a:avLst/>
                    </a:prstGeom>
                    <a:ln/>
                  </pic:spPr>
                </pic:pic>
              </a:graphicData>
            </a:graphic>
          </wp:inline>
        </w:drawing>
      </w:r>
      <w:r>
        <w:rPr>
          <w:noProof/>
        </w:rPr>
        <w:drawing>
          <wp:inline distT="114300" distB="114300" distL="114300" distR="114300" wp14:anchorId="52B47F76" wp14:editId="718AAF13">
            <wp:extent cx="5274000" cy="1854200"/>
            <wp:effectExtent l="0" t="0" r="0" b="0"/>
            <wp:docPr id="16" name="image10.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10.png" descr="Chart, line chart&#10;&#10;Description automatically generated"/>
                    <pic:cNvPicPr preferRelativeResize="0"/>
                  </pic:nvPicPr>
                  <pic:blipFill>
                    <a:blip r:embed="rId17"/>
                    <a:srcRect/>
                    <a:stretch>
                      <a:fillRect/>
                    </a:stretch>
                  </pic:blipFill>
                  <pic:spPr>
                    <a:xfrm>
                      <a:off x="0" y="0"/>
                      <a:ext cx="5274000" cy="1854200"/>
                    </a:xfrm>
                    <a:prstGeom prst="rect">
                      <a:avLst/>
                    </a:prstGeom>
                    <a:ln/>
                  </pic:spPr>
                </pic:pic>
              </a:graphicData>
            </a:graphic>
          </wp:inline>
        </w:drawing>
      </w:r>
      <w:r>
        <w:rPr>
          <w:noProof/>
        </w:rPr>
        <w:lastRenderedPageBreak/>
        <w:drawing>
          <wp:inline distT="114300" distB="114300" distL="114300" distR="114300" wp14:anchorId="706B6A9A" wp14:editId="63E59C24">
            <wp:extent cx="5274000" cy="1854200"/>
            <wp:effectExtent l="0" t="0" r="0" b="0"/>
            <wp:docPr id="22" name="image22.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22" name="image22.png" descr="Chart&#10;&#10;Description automatically generated"/>
                    <pic:cNvPicPr preferRelativeResize="0"/>
                  </pic:nvPicPr>
                  <pic:blipFill>
                    <a:blip r:embed="rId18"/>
                    <a:srcRect/>
                    <a:stretch>
                      <a:fillRect/>
                    </a:stretch>
                  </pic:blipFill>
                  <pic:spPr>
                    <a:xfrm>
                      <a:off x="0" y="0"/>
                      <a:ext cx="5274000" cy="1854200"/>
                    </a:xfrm>
                    <a:prstGeom prst="rect">
                      <a:avLst/>
                    </a:prstGeom>
                    <a:ln/>
                  </pic:spPr>
                </pic:pic>
              </a:graphicData>
            </a:graphic>
          </wp:inline>
        </w:drawing>
      </w:r>
      <w:r>
        <w:rPr>
          <w:noProof/>
        </w:rPr>
        <w:drawing>
          <wp:inline distT="114300" distB="114300" distL="114300" distR="114300" wp14:anchorId="7AA3F734" wp14:editId="7F4F75D4">
            <wp:extent cx="5274000" cy="1841500"/>
            <wp:effectExtent l="0" t="0" r="0" b="0"/>
            <wp:docPr id="20" name="image7.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0" name="image7.png" descr="Chart, line chart&#10;&#10;Description automatically generated"/>
                    <pic:cNvPicPr preferRelativeResize="0"/>
                  </pic:nvPicPr>
                  <pic:blipFill>
                    <a:blip r:embed="rId19"/>
                    <a:srcRect/>
                    <a:stretch>
                      <a:fillRect/>
                    </a:stretch>
                  </pic:blipFill>
                  <pic:spPr>
                    <a:xfrm>
                      <a:off x="0" y="0"/>
                      <a:ext cx="5274000" cy="1841500"/>
                    </a:xfrm>
                    <a:prstGeom prst="rect">
                      <a:avLst/>
                    </a:prstGeom>
                    <a:ln/>
                  </pic:spPr>
                </pic:pic>
              </a:graphicData>
            </a:graphic>
          </wp:inline>
        </w:drawing>
      </w:r>
      <w:r>
        <w:rPr>
          <w:noProof/>
        </w:rPr>
        <w:drawing>
          <wp:inline distT="114300" distB="114300" distL="114300" distR="114300" wp14:anchorId="2668549B" wp14:editId="0B828B43">
            <wp:extent cx="4438249" cy="1871663"/>
            <wp:effectExtent l="0" t="0" r="0" b="0"/>
            <wp:docPr id="10" name="image15.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5.png" descr="Chart, line chart&#10;&#10;Description automatically generated"/>
                    <pic:cNvPicPr preferRelativeResize="0"/>
                  </pic:nvPicPr>
                  <pic:blipFill>
                    <a:blip r:embed="rId20"/>
                    <a:srcRect/>
                    <a:stretch>
                      <a:fillRect/>
                    </a:stretch>
                  </pic:blipFill>
                  <pic:spPr>
                    <a:xfrm>
                      <a:off x="0" y="0"/>
                      <a:ext cx="4438249" cy="1871663"/>
                    </a:xfrm>
                    <a:prstGeom prst="rect">
                      <a:avLst/>
                    </a:prstGeom>
                    <a:ln/>
                  </pic:spPr>
                </pic:pic>
              </a:graphicData>
            </a:graphic>
          </wp:inline>
        </w:drawing>
      </w:r>
    </w:p>
    <w:p w14:paraId="6BD5FDD1" w14:textId="77777777" w:rsidR="002564DF" w:rsidRDefault="002564DF" w:rsidP="002564DF">
      <w:pPr>
        <w:spacing w:line="240" w:lineRule="auto"/>
      </w:pPr>
    </w:p>
    <w:p w14:paraId="0B7737AF" w14:textId="77777777" w:rsidR="002564DF" w:rsidRDefault="002564DF" w:rsidP="002564DF">
      <w:pPr>
        <w:spacing w:line="276" w:lineRule="auto"/>
      </w:pPr>
      <w:r>
        <w:rPr>
          <w:b/>
        </w:rPr>
        <w:t>Fig. B2 The effectiveness of NPIs and vaccination for each of 27 countries over time.</w:t>
      </w:r>
      <w:r>
        <w:t xml:space="preserve"> The effects of NPIs (in blue lines) and vaccination (in red lines) were estimated over each month for each country. The corresponding stringency index of NPIs implementation and the practical vaccination rates over time were represented by the heights of the bars in the background. Noting that the bars of NPIs were stacked on that of vaccination, instead of overlapping. </w:t>
      </w:r>
    </w:p>
    <w:p w14:paraId="779FF8AE" w14:textId="77777777" w:rsidR="002564DF" w:rsidRDefault="002564DF" w:rsidP="002564DF"/>
    <w:p w14:paraId="4F142FAF" w14:textId="77777777" w:rsidR="002564DF" w:rsidRDefault="002564DF" w:rsidP="002564DF">
      <w:pPr>
        <w:spacing w:line="240" w:lineRule="auto"/>
        <w:jc w:val="center"/>
      </w:pPr>
      <w:r>
        <w:rPr>
          <w:noProof/>
        </w:rPr>
        <w:lastRenderedPageBreak/>
        <w:drawing>
          <wp:inline distT="114300" distB="114300" distL="114300" distR="114300" wp14:anchorId="2A2551B9" wp14:editId="74BCEB83">
            <wp:extent cx="4969736" cy="9263063"/>
            <wp:effectExtent l="0" t="0" r="0" b="0"/>
            <wp:docPr id="14" name="image18.png" descr="A picture containing 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18.png" descr="A picture containing timeline&#10;&#10;Description automatically generated"/>
                    <pic:cNvPicPr preferRelativeResize="0"/>
                  </pic:nvPicPr>
                  <pic:blipFill>
                    <a:blip r:embed="rId21"/>
                    <a:srcRect/>
                    <a:stretch>
                      <a:fillRect/>
                    </a:stretch>
                  </pic:blipFill>
                  <pic:spPr>
                    <a:xfrm>
                      <a:off x="0" y="0"/>
                      <a:ext cx="4969736" cy="9263063"/>
                    </a:xfrm>
                    <a:prstGeom prst="rect">
                      <a:avLst/>
                    </a:prstGeom>
                    <a:ln/>
                  </pic:spPr>
                </pic:pic>
              </a:graphicData>
            </a:graphic>
          </wp:inline>
        </w:drawing>
      </w:r>
    </w:p>
    <w:p w14:paraId="54762BCF" w14:textId="77777777" w:rsidR="002564DF" w:rsidRDefault="002564DF" w:rsidP="002564DF">
      <w:pPr>
        <w:spacing w:line="276" w:lineRule="auto"/>
        <w:jc w:val="center"/>
        <w:rPr>
          <w:b/>
        </w:rPr>
      </w:pPr>
      <w:r>
        <w:rPr>
          <w:b/>
          <w:noProof/>
        </w:rPr>
        <w:lastRenderedPageBreak/>
        <w:drawing>
          <wp:inline distT="114300" distB="114300" distL="114300" distR="114300" wp14:anchorId="0EA40178" wp14:editId="44D91C41">
            <wp:extent cx="4883347" cy="9482138"/>
            <wp:effectExtent l="0" t="0" r="0" b="0"/>
            <wp:docPr id="23" name="image24.png" descr="Timelin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23" name="image24.png" descr="Timeline&#10;&#10;Description automatically generated with low confidence"/>
                    <pic:cNvPicPr preferRelativeResize="0"/>
                  </pic:nvPicPr>
                  <pic:blipFill>
                    <a:blip r:embed="rId22"/>
                    <a:srcRect/>
                    <a:stretch>
                      <a:fillRect/>
                    </a:stretch>
                  </pic:blipFill>
                  <pic:spPr>
                    <a:xfrm>
                      <a:off x="0" y="0"/>
                      <a:ext cx="4883347" cy="9482138"/>
                    </a:xfrm>
                    <a:prstGeom prst="rect">
                      <a:avLst/>
                    </a:prstGeom>
                    <a:ln/>
                  </pic:spPr>
                </pic:pic>
              </a:graphicData>
            </a:graphic>
          </wp:inline>
        </w:drawing>
      </w:r>
    </w:p>
    <w:p w14:paraId="547B78DE" w14:textId="77777777" w:rsidR="002564DF" w:rsidRDefault="002564DF" w:rsidP="002564DF">
      <w:pPr>
        <w:spacing w:line="276" w:lineRule="auto"/>
      </w:pPr>
      <w:r>
        <w:rPr>
          <w:b/>
        </w:rPr>
        <w:lastRenderedPageBreak/>
        <w:t>Fig. B3</w:t>
      </w:r>
      <w:r>
        <w:t xml:space="preserve"> </w:t>
      </w:r>
      <w:r>
        <w:rPr>
          <w:b/>
        </w:rPr>
        <w:t>Forest plot comparing effects of NPIs and vaccination across 27 countries, respectively.</w:t>
      </w:r>
      <w:r>
        <w:t xml:space="preserve"> (a) Forest plot depicting the meta-analytical results for NPIs among 27 countries. (b) Forest plot depicting an influence analysis for NPIs omitting each country. (c) Forest plot depicting the meta-analytical results for vaccination among 27 countries. (d) Forest plot depicting an influence analysis for vaccination omitting each country. And it’s shown that the existence of Israel may affect the vaccination effectiveness result. Noting the high heterogeneity among 27 countries, a random effects method was used to meta-analyse the data.</w:t>
      </w:r>
    </w:p>
    <w:p w14:paraId="1FD8C03B" w14:textId="77777777" w:rsidR="002564DF" w:rsidRDefault="002564DF" w:rsidP="002564DF"/>
    <w:p w14:paraId="59535A45" w14:textId="2DD85288" w:rsidR="002564DF" w:rsidRDefault="002564DF" w:rsidP="002564DF">
      <w:pPr>
        <w:pStyle w:val="Heading2"/>
        <w:spacing w:line="480" w:lineRule="auto"/>
        <w:rPr>
          <w:b w:val="0"/>
        </w:rPr>
      </w:pPr>
      <w:bookmarkStart w:id="16" w:name="_p4wgjhmjnyac" w:colFirst="0" w:colLast="0"/>
      <w:bookmarkStart w:id="17" w:name="_Toc86071815"/>
      <w:bookmarkEnd w:id="16"/>
      <w:r>
        <w:t xml:space="preserve">B3. </w:t>
      </w:r>
      <w:r w:rsidR="006241A9">
        <w:t>Collinearity</w:t>
      </w:r>
      <w:bookmarkEnd w:id="17"/>
    </w:p>
    <w:p w14:paraId="6DBAE3CD" w14:textId="77777777" w:rsidR="002564DF" w:rsidRDefault="002564DF" w:rsidP="002564DF">
      <w:pPr>
        <w:spacing w:line="240" w:lineRule="auto"/>
        <w:jc w:val="center"/>
      </w:pPr>
      <w:r>
        <w:rPr>
          <w:noProof/>
        </w:rPr>
        <w:drawing>
          <wp:inline distT="114300" distB="114300" distL="114300" distR="114300" wp14:anchorId="581DC446" wp14:editId="08FFA965">
            <wp:extent cx="5246850" cy="4394364"/>
            <wp:effectExtent l="0" t="0" r="0" b="0"/>
            <wp:docPr id="19" name="image16.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9" name="image16.png" descr="Chart, scatter chart&#10;&#10;Description automatically generated"/>
                    <pic:cNvPicPr preferRelativeResize="0"/>
                  </pic:nvPicPr>
                  <pic:blipFill>
                    <a:blip r:embed="rId23"/>
                    <a:srcRect/>
                    <a:stretch>
                      <a:fillRect/>
                    </a:stretch>
                  </pic:blipFill>
                  <pic:spPr>
                    <a:xfrm>
                      <a:off x="0" y="0"/>
                      <a:ext cx="5246850" cy="4394364"/>
                    </a:xfrm>
                    <a:prstGeom prst="rect">
                      <a:avLst/>
                    </a:prstGeom>
                    <a:ln/>
                  </pic:spPr>
                </pic:pic>
              </a:graphicData>
            </a:graphic>
          </wp:inline>
        </w:drawing>
      </w:r>
    </w:p>
    <w:p w14:paraId="35C22E67" w14:textId="7D03BB5C" w:rsidR="002564DF" w:rsidRDefault="002564DF" w:rsidP="002564DF">
      <w:pPr>
        <w:spacing w:line="276" w:lineRule="auto"/>
      </w:pPr>
      <w:r>
        <w:rPr>
          <w:b/>
        </w:rPr>
        <w:t xml:space="preserve">Fig. B4 The </w:t>
      </w:r>
      <w:r w:rsidR="006241A9">
        <w:rPr>
          <w:b/>
        </w:rPr>
        <w:t>collinearity</w:t>
      </w:r>
      <w:r>
        <w:rPr>
          <w:b/>
        </w:rPr>
        <w:t xml:space="preserve"> between the involved variables in this study.</w:t>
      </w:r>
      <w:r>
        <w:t xml:space="preserve"> The correlation coefficients were calculated by Pearson method. Noting that the temperature is highly associated with humidity, we only take temperature as the control variable to account for the seasonal and calendar effect.</w:t>
      </w:r>
    </w:p>
    <w:p w14:paraId="757AF3DD" w14:textId="77777777" w:rsidR="002564DF" w:rsidRDefault="002564DF" w:rsidP="002564DF"/>
    <w:p w14:paraId="08EA6C4F" w14:textId="77777777" w:rsidR="002564DF" w:rsidRDefault="002564DF" w:rsidP="002564DF">
      <w:pPr>
        <w:pStyle w:val="Heading2"/>
        <w:spacing w:line="480" w:lineRule="auto"/>
      </w:pPr>
      <w:bookmarkStart w:id="18" w:name="_yiv8rez1ymzt" w:colFirst="0" w:colLast="0"/>
      <w:bookmarkStart w:id="19" w:name="_Toc86071816"/>
      <w:bookmarkEnd w:id="18"/>
      <w:r>
        <w:t>B4. Herd immunity threshold</w:t>
      </w:r>
      <w:bookmarkEnd w:id="19"/>
    </w:p>
    <w:p w14:paraId="2449D277" w14:textId="18AF9BC0" w:rsidR="002564DF" w:rsidRDefault="002564DF" w:rsidP="002564DF">
      <w:r>
        <w:t xml:space="preserve">The most important uses of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are determining if an emerging infectious disease can spread in a population and determining what proportion of the population should be </w:t>
      </w:r>
      <w:r>
        <w:lastRenderedPageBreak/>
        <w:t xml:space="preserve">immunized through vaccination to eradicate a disease. In commonly used infection models, when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&gt;1</m:t>
        </m:r>
      </m:oMath>
      <w:r>
        <w:t xml:space="preserve"> the infection will be able to start spreading in a population, but not if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&lt;1</m:t>
        </m:r>
      </m:oMath>
      <w:r>
        <w:t xml:space="preserve">. Generally, the larger the value of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the harder it is to control the epidemic. For simple models, the proportion of the population that needs to be effectively immunized (meaning not susceptible to infection) to prevent sustained spread of the infection </w:t>
      </w:r>
      <w:r w:rsidR="004E2AA2">
        <w:t>must</w:t>
      </w:r>
      <w:r>
        <w:t xml:space="preserve"> be larger than </w:t>
      </w:r>
      <m:oMath>
        <m:r>
          <w:rPr>
            <w:rFonts w:ascii="Cambria Math" w:hAnsi="Cambria Math"/>
          </w:rPr>
          <m:t>1-1/</m:t>
        </m:r>
        <m:sSub>
          <m:sSubPr>
            <m:ctrlPr>
              <w:rPr>
                <w:rFonts w:ascii="Cambria Math" w:hAnsi="Cambria Math"/>
                <w:i/>
              </w:rPr>
            </m:ctrlPr>
          </m:sSubPr>
          <m:e>
            <m:r>
              <w:rPr>
                <w:rFonts w:ascii="Cambria Math" w:hAnsi="Cambria Math"/>
              </w:rPr>
              <m:t>R</m:t>
            </m:r>
          </m:e>
          <m:sub>
            <m:r>
              <w:rPr>
                <w:rFonts w:ascii="Cambria Math" w:hAnsi="Cambria Math"/>
              </w:rPr>
              <m:t>0</m:t>
            </m:r>
          </m:sub>
        </m:sSub>
      </m:oMath>
      <w:hyperlink w:anchor="_Reference">
        <w:r>
          <w:rPr>
            <w:color w:val="1155CC"/>
            <w:u w:val="single"/>
            <w:vertAlign w:val="superscript"/>
          </w:rPr>
          <w:t>17</w:t>
        </w:r>
      </w:hyperlink>
      <w:r>
        <w:t xml:space="preserve">. Conversely, the proportion of the population that remains susceptible to infection in the endemic equilibrium is </w:t>
      </w:r>
      <m:oMath>
        <m:r>
          <w:rPr>
            <w:rFonts w:ascii="Cambria Math" w:hAnsi="Cambria Math"/>
          </w:rPr>
          <m:t>1/</m:t>
        </m:r>
        <m:sSub>
          <m:sSubPr>
            <m:ctrlPr>
              <w:rPr>
                <w:rFonts w:ascii="Cambria Math" w:hAnsi="Cambria Math"/>
                <w:i/>
              </w:rPr>
            </m:ctrlPr>
          </m:sSubPr>
          <m:e>
            <m:r>
              <w:rPr>
                <w:rFonts w:ascii="Cambria Math" w:hAnsi="Cambria Math"/>
              </w:rPr>
              <m:t>R</m:t>
            </m:r>
          </m:e>
          <m:sub>
            <m:r>
              <w:rPr>
                <w:rFonts w:ascii="Cambria Math" w:hAnsi="Cambria Math"/>
              </w:rPr>
              <m:t>0</m:t>
            </m:r>
          </m:sub>
        </m:sSub>
      </m:oMath>
      <w:r>
        <w:t>.</w:t>
      </w:r>
    </w:p>
    <w:p w14:paraId="3F1BE8CF" w14:textId="77777777" w:rsidR="002564DF" w:rsidRDefault="002564DF" w:rsidP="002564DF">
      <w:pPr>
        <w:jc w:val="center"/>
      </w:pPr>
      <w:r>
        <w:rPr>
          <w:noProof/>
        </w:rPr>
        <w:drawing>
          <wp:inline distT="114300" distB="114300" distL="114300" distR="114300" wp14:anchorId="531233C0" wp14:editId="7C581F18">
            <wp:extent cx="5094450" cy="3803726"/>
            <wp:effectExtent l="0" t="0" r="0" b="0"/>
            <wp:docPr id="3" name="image3.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3.png" descr="Chart, bar chart&#10;&#10;Description automatically generated"/>
                    <pic:cNvPicPr preferRelativeResize="0"/>
                  </pic:nvPicPr>
                  <pic:blipFill>
                    <a:blip r:embed="rId24"/>
                    <a:srcRect/>
                    <a:stretch>
                      <a:fillRect/>
                    </a:stretch>
                  </pic:blipFill>
                  <pic:spPr>
                    <a:xfrm>
                      <a:off x="0" y="0"/>
                      <a:ext cx="5094450" cy="3803726"/>
                    </a:xfrm>
                    <a:prstGeom prst="rect">
                      <a:avLst/>
                    </a:prstGeom>
                    <a:ln/>
                  </pic:spPr>
                </pic:pic>
              </a:graphicData>
            </a:graphic>
          </wp:inline>
        </w:drawing>
      </w:r>
    </w:p>
    <w:p w14:paraId="2CBF3547" w14:textId="7C531535" w:rsidR="002564DF" w:rsidRDefault="002564DF" w:rsidP="002564DF">
      <w:pPr>
        <w:spacing w:line="276" w:lineRule="auto"/>
      </w:pPr>
      <w:r>
        <w:rPr>
          <w:b/>
        </w:rPr>
        <w:t>Fig. B5 The thresholds of herd immunity in terms of SARS-CoV-2 and its variants.</w:t>
      </w:r>
      <w:r>
        <w:t xml:space="preserve"> Of note, the threshold here refers to the fraction of the population that should be immune instead of the population that has been vaccinated</w:t>
      </w:r>
    </w:p>
    <w:p w14:paraId="1A6182F3" w14:textId="77777777" w:rsidR="004E2AA2" w:rsidRDefault="004E2AA2" w:rsidP="004E2AA2"/>
    <w:p w14:paraId="3E6BA3BC" w14:textId="77777777" w:rsidR="002564DF" w:rsidRDefault="002564DF" w:rsidP="002564DF">
      <w:pPr>
        <w:pStyle w:val="Heading2"/>
        <w:spacing w:line="480" w:lineRule="auto"/>
      </w:pPr>
      <w:bookmarkStart w:id="20" w:name="_7tddsks6w2mq" w:colFirst="0" w:colLast="0"/>
      <w:bookmarkStart w:id="21" w:name="_Toc86071817"/>
      <w:bookmarkEnd w:id="20"/>
      <w:r>
        <w:t>B5. Sensitivity analysis</w:t>
      </w:r>
      <w:bookmarkEnd w:id="21"/>
    </w:p>
    <w:p w14:paraId="42752CF4" w14:textId="782B3C4C" w:rsidR="002564DF" w:rsidRDefault="002564DF" w:rsidP="002564DF">
      <w:r>
        <w:t xml:space="preserve">In contrast to the default setting of the assumed absent effect of vaccines against variants, we also designed another two scenarios to assess the impact of our assumptions on the main results documented in the main text. Because the variants Alpha and Delta are two major coronavirus </w:t>
      </w:r>
      <w:r w:rsidR="004E2AA2">
        <w:t>transmissions</w:t>
      </w:r>
      <w:r>
        <w:t xml:space="preserve"> in Europe, one scenario was </w:t>
      </w:r>
      <w:r>
        <w:lastRenderedPageBreak/>
        <w:t>that the absent effects of vaccines were the same as that against Alpha (Table B1); and another was assumed to be the same as the Delta (Table B2). Fig. B6 showed that the effectiveness of NPIs and vaccination estimated from the default setting (Table A2) did not significantly differ from the two additional scenarios.</w:t>
      </w:r>
    </w:p>
    <w:p w14:paraId="244A5553" w14:textId="77777777" w:rsidR="002564DF" w:rsidRDefault="002564DF" w:rsidP="002564DF"/>
    <w:p w14:paraId="52B80BF8" w14:textId="77777777" w:rsidR="002564DF" w:rsidRDefault="002564DF" w:rsidP="002564DF">
      <w:pPr>
        <w:spacing w:line="240" w:lineRule="auto"/>
      </w:pPr>
      <w:r>
        <w:rPr>
          <w:b/>
        </w:rPr>
        <w:t>Table B1. Effectiveness of various vaccines against SARS-CoV-2 as well as its 6 variants.</w:t>
      </w:r>
      <w:r>
        <w:t xml:space="preserve"> The estimates are shown by its medians and IQR. *: these estimates are absent in the literature which were assumed to be the same as the vaccine product against Alpha.</w:t>
      </w:r>
    </w:p>
    <w:tbl>
      <w:tblPr>
        <w:tblW w:w="82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1365"/>
        <w:gridCol w:w="1065"/>
        <w:gridCol w:w="1305"/>
        <w:gridCol w:w="1230"/>
        <w:gridCol w:w="1140"/>
        <w:gridCol w:w="1187"/>
      </w:tblGrid>
      <w:tr w:rsidR="002564DF" w14:paraId="753D9823" w14:textId="77777777" w:rsidTr="00B6088E">
        <w:trPr>
          <w:trHeight w:val="1234"/>
          <w:jc w:val="center"/>
        </w:trPr>
        <w:tc>
          <w:tcPr>
            <w:tcW w:w="1005" w:type="dxa"/>
            <w:shd w:val="clear" w:color="auto" w:fill="auto"/>
            <w:vAlign w:val="center"/>
          </w:tcPr>
          <w:p w14:paraId="79B0197C" w14:textId="77777777" w:rsidR="002564DF" w:rsidRDefault="002564DF" w:rsidP="00B6088E">
            <w:pPr>
              <w:spacing w:line="240" w:lineRule="auto"/>
              <w:jc w:val="left"/>
            </w:pPr>
          </w:p>
        </w:tc>
        <w:tc>
          <w:tcPr>
            <w:tcW w:w="1365" w:type="dxa"/>
            <w:shd w:val="clear" w:color="auto" w:fill="auto"/>
            <w:vAlign w:val="center"/>
          </w:tcPr>
          <w:p w14:paraId="73CE9591" w14:textId="77777777" w:rsidR="002564DF" w:rsidRDefault="002564DF" w:rsidP="00B6088E">
            <w:pPr>
              <w:spacing w:line="240" w:lineRule="auto"/>
              <w:jc w:val="center"/>
            </w:pPr>
            <w:proofErr w:type="spellStart"/>
            <w:r>
              <w:t>Sinopharm.Beijing</w:t>
            </w:r>
            <w:proofErr w:type="spellEnd"/>
          </w:p>
        </w:tc>
        <w:tc>
          <w:tcPr>
            <w:tcW w:w="1065" w:type="dxa"/>
            <w:shd w:val="clear" w:color="auto" w:fill="auto"/>
            <w:vAlign w:val="center"/>
          </w:tcPr>
          <w:p w14:paraId="574CCEB1" w14:textId="77777777" w:rsidR="002564DF" w:rsidRDefault="002564DF" w:rsidP="00B6088E">
            <w:pPr>
              <w:spacing w:line="240" w:lineRule="auto"/>
              <w:jc w:val="center"/>
            </w:pPr>
            <w:proofErr w:type="spellStart"/>
            <w:r>
              <w:t>Sputnik.V</w:t>
            </w:r>
            <w:proofErr w:type="spellEnd"/>
          </w:p>
        </w:tc>
        <w:tc>
          <w:tcPr>
            <w:tcW w:w="1305" w:type="dxa"/>
            <w:shd w:val="clear" w:color="auto" w:fill="auto"/>
            <w:vAlign w:val="center"/>
          </w:tcPr>
          <w:p w14:paraId="38A22F3F" w14:textId="77777777" w:rsidR="002564DF" w:rsidRDefault="002564DF" w:rsidP="00B6088E">
            <w:pPr>
              <w:spacing w:line="240" w:lineRule="auto"/>
              <w:jc w:val="center"/>
            </w:pPr>
            <w:r>
              <w:t>Pfizer</w:t>
            </w:r>
          </w:p>
        </w:tc>
        <w:tc>
          <w:tcPr>
            <w:tcW w:w="1230" w:type="dxa"/>
            <w:shd w:val="clear" w:color="auto" w:fill="auto"/>
            <w:vAlign w:val="center"/>
          </w:tcPr>
          <w:p w14:paraId="40FB60A6" w14:textId="77777777" w:rsidR="002564DF" w:rsidRDefault="002564DF" w:rsidP="00B6088E">
            <w:pPr>
              <w:spacing w:line="240" w:lineRule="auto"/>
              <w:jc w:val="center"/>
            </w:pPr>
            <w:r>
              <w:t>AstraZeneca</w:t>
            </w:r>
          </w:p>
        </w:tc>
        <w:tc>
          <w:tcPr>
            <w:tcW w:w="1140" w:type="dxa"/>
            <w:shd w:val="clear" w:color="auto" w:fill="auto"/>
            <w:vAlign w:val="center"/>
          </w:tcPr>
          <w:p w14:paraId="06B79534" w14:textId="77777777" w:rsidR="002564DF" w:rsidRDefault="002564DF" w:rsidP="00B6088E">
            <w:pPr>
              <w:spacing w:line="240" w:lineRule="auto"/>
              <w:jc w:val="center"/>
            </w:pPr>
            <w:r>
              <w:t>Moderna</w:t>
            </w:r>
          </w:p>
        </w:tc>
        <w:tc>
          <w:tcPr>
            <w:tcW w:w="1187" w:type="dxa"/>
            <w:shd w:val="clear" w:color="auto" w:fill="auto"/>
            <w:vAlign w:val="center"/>
          </w:tcPr>
          <w:p w14:paraId="4BE397A6" w14:textId="77777777" w:rsidR="002564DF" w:rsidRDefault="002564DF" w:rsidP="00B6088E">
            <w:pPr>
              <w:spacing w:line="240" w:lineRule="auto"/>
              <w:jc w:val="center"/>
            </w:pPr>
            <w:r>
              <w:t>Johnson &amp; Johnson</w:t>
            </w:r>
          </w:p>
        </w:tc>
      </w:tr>
      <w:tr w:rsidR="002564DF" w14:paraId="542D5CBA" w14:textId="77777777" w:rsidTr="00B6088E">
        <w:trPr>
          <w:trHeight w:val="1234"/>
          <w:jc w:val="center"/>
        </w:trPr>
        <w:tc>
          <w:tcPr>
            <w:tcW w:w="1005" w:type="dxa"/>
            <w:shd w:val="clear" w:color="auto" w:fill="auto"/>
            <w:vAlign w:val="center"/>
          </w:tcPr>
          <w:p w14:paraId="570278F0" w14:textId="77777777" w:rsidR="002564DF" w:rsidRDefault="002564DF" w:rsidP="00B6088E">
            <w:pPr>
              <w:spacing w:line="240" w:lineRule="auto"/>
            </w:pPr>
            <w:r>
              <w:t>SARS-CoV-2</w:t>
            </w:r>
          </w:p>
        </w:tc>
        <w:tc>
          <w:tcPr>
            <w:tcW w:w="1365" w:type="dxa"/>
            <w:shd w:val="clear" w:color="auto" w:fill="auto"/>
            <w:vAlign w:val="center"/>
          </w:tcPr>
          <w:p w14:paraId="14E683B4" w14:textId="77777777" w:rsidR="002564DF" w:rsidRDefault="002564DF" w:rsidP="00B6088E">
            <w:pPr>
              <w:spacing w:line="240" w:lineRule="auto"/>
              <w:jc w:val="center"/>
            </w:pPr>
            <w:r>
              <w:t>78.10</w:t>
            </w:r>
          </w:p>
          <w:p w14:paraId="6A57552C" w14:textId="77777777" w:rsidR="002564DF" w:rsidRDefault="002564DF" w:rsidP="00B6088E">
            <w:pPr>
              <w:spacing w:line="240" w:lineRule="auto"/>
              <w:jc w:val="center"/>
            </w:pPr>
            <w:r>
              <w:t>(IQR: 64.90,86.30)</w:t>
            </w:r>
          </w:p>
        </w:tc>
        <w:tc>
          <w:tcPr>
            <w:tcW w:w="1065" w:type="dxa"/>
            <w:shd w:val="clear" w:color="auto" w:fill="auto"/>
            <w:vAlign w:val="center"/>
          </w:tcPr>
          <w:p w14:paraId="336B6F72" w14:textId="77777777" w:rsidR="002564DF" w:rsidRDefault="002564DF" w:rsidP="00B6088E">
            <w:pPr>
              <w:spacing w:line="240" w:lineRule="auto"/>
              <w:jc w:val="center"/>
            </w:pPr>
            <w:r>
              <w:t>91.60</w:t>
            </w:r>
          </w:p>
          <w:p w14:paraId="3B9F48EC" w14:textId="77777777" w:rsidR="002564DF" w:rsidRDefault="002564DF" w:rsidP="00B6088E">
            <w:pPr>
              <w:spacing w:line="240" w:lineRule="auto"/>
              <w:jc w:val="center"/>
            </w:pPr>
            <w:r>
              <w:t>(IQR: 85.60,95.20)</w:t>
            </w:r>
          </w:p>
        </w:tc>
        <w:tc>
          <w:tcPr>
            <w:tcW w:w="1305" w:type="dxa"/>
            <w:shd w:val="clear" w:color="auto" w:fill="auto"/>
            <w:vAlign w:val="center"/>
          </w:tcPr>
          <w:p w14:paraId="68BD5DC6" w14:textId="77777777" w:rsidR="002564DF" w:rsidRDefault="002564DF" w:rsidP="00B6088E">
            <w:pPr>
              <w:spacing w:line="240" w:lineRule="auto"/>
              <w:jc w:val="center"/>
            </w:pPr>
            <w:r>
              <w:t>95.00</w:t>
            </w:r>
          </w:p>
          <w:p w14:paraId="43C35F2E" w14:textId="77777777" w:rsidR="002564DF" w:rsidRDefault="002564DF" w:rsidP="00B6088E">
            <w:pPr>
              <w:spacing w:line="240" w:lineRule="auto"/>
              <w:jc w:val="center"/>
            </w:pPr>
            <w:r>
              <w:t>(IQR: 90.30,97.60)</w:t>
            </w:r>
          </w:p>
        </w:tc>
        <w:tc>
          <w:tcPr>
            <w:tcW w:w="1230" w:type="dxa"/>
            <w:shd w:val="clear" w:color="auto" w:fill="auto"/>
            <w:vAlign w:val="center"/>
          </w:tcPr>
          <w:p w14:paraId="392730EB" w14:textId="77777777" w:rsidR="002564DF" w:rsidRDefault="002564DF" w:rsidP="00B6088E">
            <w:pPr>
              <w:spacing w:line="240" w:lineRule="auto"/>
              <w:jc w:val="center"/>
            </w:pPr>
            <w:r>
              <w:t>66.70</w:t>
            </w:r>
          </w:p>
          <w:p w14:paraId="2F8C6C9B" w14:textId="77777777" w:rsidR="002564DF" w:rsidRDefault="002564DF" w:rsidP="00B6088E">
            <w:pPr>
              <w:spacing w:line="240" w:lineRule="auto"/>
              <w:jc w:val="center"/>
            </w:pPr>
            <w:r>
              <w:t>(IQR: 57.40,74.00)</w:t>
            </w:r>
          </w:p>
        </w:tc>
        <w:tc>
          <w:tcPr>
            <w:tcW w:w="1140" w:type="dxa"/>
            <w:shd w:val="clear" w:color="auto" w:fill="auto"/>
            <w:vAlign w:val="center"/>
          </w:tcPr>
          <w:p w14:paraId="392F49DB" w14:textId="77777777" w:rsidR="002564DF" w:rsidRDefault="002564DF" w:rsidP="00B6088E">
            <w:pPr>
              <w:spacing w:line="240" w:lineRule="auto"/>
              <w:jc w:val="center"/>
            </w:pPr>
            <w:r>
              <w:t>94.10</w:t>
            </w:r>
          </w:p>
          <w:p w14:paraId="66311E57" w14:textId="77777777" w:rsidR="002564DF" w:rsidRDefault="002564DF" w:rsidP="00B6088E">
            <w:pPr>
              <w:spacing w:line="240" w:lineRule="auto"/>
              <w:jc w:val="center"/>
            </w:pPr>
            <w:r>
              <w:t>(IQR: 89.30,96.80)</w:t>
            </w:r>
          </w:p>
        </w:tc>
        <w:tc>
          <w:tcPr>
            <w:tcW w:w="1187" w:type="dxa"/>
            <w:shd w:val="clear" w:color="auto" w:fill="auto"/>
            <w:vAlign w:val="center"/>
          </w:tcPr>
          <w:p w14:paraId="0565C9E6" w14:textId="77777777" w:rsidR="002564DF" w:rsidRDefault="002564DF" w:rsidP="00B6088E">
            <w:pPr>
              <w:spacing w:line="240" w:lineRule="auto"/>
              <w:jc w:val="center"/>
            </w:pPr>
            <w:r>
              <w:t>66.90</w:t>
            </w:r>
          </w:p>
          <w:p w14:paraId="2CFF2B50" w14:textId="77777777" w:rsidR="002564DF" w:rsidRDefault="002564DF" w:rsidP="00B6088E">
            <w:pPr>
              <w:spacing w:line="240" w:lineRule="auto"/>
              <w:jc w:val="center"/>
            </w:pPr>
            <w:r>
              <w:t>(IQR: 59.10,73.40)</w:t>
            </w:r>
          </w:p>
        </w:tc>
      </w:tr>
      <w:tr w:rsidR="002564DF" w14:paraId="7EAA186D" w14:textId="77777777" w:rsidTr="00B6088E">
        <w:trPr>
          <w:trHeight w:val="1234"/>
          <w:jc w:val="center"/>
        </w:trPr>
        <w:tc>
          <w:tcPr>
            <w:tcW w:w="1005" w:type="dxa"/>
            <w:shd w:val="clear" w:color="auto" w:fill="auto"/>
            <w:vAlign w:val="center"/>
          </w:tcPr>
          <w:p w14:paraId="6B4B1C0A" w14:textId="77777777" w:rsidR="002564DF" w:rsidRDefault="002564DF" w:rsidP="00B6088E">
            <w:pPr>
              <w:spacing w:line="240" w:lineRule="auto"/>
              <w:jc w:val="center"/>
            </w:pPr>
            <w:r>
              <w:t>Alpha</w:t>
            </w:r>
          </w:p>
        </w:tc>
        <w:tc>
          <w:tcPr>
            <w:tcW w:w="1365" w:type="dxa"/>
            <w:shd w:val="clear" w:color="auto" w:fill="auto"/>
            <w:vAlign w:val="center"/>
          </w:tcPr>
          <w:p w14:paraId="3B7FAEFC" w14:textId="77777777" w:rsidR="002564DF" w:rsidRDefault="002564DF" w:rsidP="00B6088E">
            <w:pPr>
              <w:spacing w:line="240" w:lineRule="auto"/>
              <w:jc w:val="center"/>
            </w:pPr>
            <w:r>
              <w:t>65.00</w:t>
            </w:r>
          </w:p>
          <w:p w14:paraId="2C68BD0F" w14:textId="77777777" w:rsidR="002564DF" w:rsidRDefault="002564DF" w:rsidP="00B6088E">
            <w:pPr>
              <w:spacing w:line="240" w:lineRule="auto"/>
              <w:jc w:val="center"/>
            </w:pPr>
            <w:r>
              <w:t>(IQR: 54.01,71.82)</w:t>
            </w:r>
          </w:p>
        </w:tc>
        <w:tc>
          <w:tcPr>
            <w:tcW w:w="1065" w:type="dxa"/>
            <w:shd w:val="clear" w:color="auto" w:fill="auto"/>
            <w:vAlign w:val="center"/>
          </w:tcPr>
          <w:p w14:paraId="4929B52D" w14:textId="77777777" w:rsidR="002564DF" w:rsidRDefault="002564DF" w:rsidP="00B6088E">
            <w:pPr>
              <w:spacing w:line="240" w:lineRule="auto"/>
              <w:jc w:val="center"/>
            </w:pPr>
            <w:r>
              <w:t>81.00</w:t>
            </w:r>
          </w:p>
          <w:p w14:paraId="6018592F" w14:textId="77777777" w:rsidR="002564DF" w:rsidRDefault="002564DF" w:rsidP="00B6088E">
            <w:pPr>
              <w:spacing w:line="240" w:lineRule="auto"/>
              <w:jc w:val="center"/>
            </w:pPr>
            <w:r>
              <w:t>(IQR: 75.69,84.18)</w:t>
            </w:r>
          </w:p>
        </w:tc>
        <w:tc>
          <w:tcPr>
            <w:tcW w:w="1305" w:type="dxa"/>
            <w:shd w:val="clear" w:color="auto" w:fill="auto"/>
            <w:vAlign w:val="center"/>
          </w:tcPr>
          <w:p w14:paraId="2122581D" w14:textId="77777777" w:rsidR="002564DF" w:rsidRDefault="002564DF" w:rsidP="00B6088E">
            <w:pPr>
              <w:spacing w:line="240" w:lineRule="auto"/>
              <w:jc w:val="center"/>
            </w:pPr>
            <w:r>
              <w:t>93.70</w:t>
            </w:r>
          </w:p>
          <w:p w14:paraId="3D9B0390" w14:textId="77777777" w:rsidR="002564DF" w:rsidRDefault="002564DF" w:rsidP="00B6088E">
            <w:pPr>
              <w:spacing w:line="240" w:lineRule="auto"/>
              <w:jc w:val="center"/>
            </w:pPr>
            <w:r>
              <w:t>(IQR: 91.60,95.30)</w:t>
            </w:r>
          </w:p>
        </w:tc>
        <w:tc>
          <w:tcPr>
            <w:tcW w:w="1230" w:type="dxa"/>
            <w:shd w:val="clear" w:color="auto" w:fill="auto"/>
            <w:vAlign w:val="center"/>
          </w:tcPr>
          <w:p w14:paraId="7EE47989" w14:textId="77777777" w:rsidR="002564DF" w:rsidRDefault="002564DF" w:rsidP="00B6088E">
            <w:pPr>
              <w:spacing w:line="240" w:lineRule="auto"/>
              <w:jc w:val="center"/>
            </w:pPr>
            <w:r>
              <w:t>74.50</w:t>
            </w:r>
          </w:p>
          <w:p w14:paraId="1E176EE3" w14:textId="77777777" w:rsidR="002564DF" w:rsidRDefault="002564DF" w:rsidP="00B6088E">
            <w:pPr>
              <w:spacing w:line="240" w:lineRule="auto"/>
              <w:jc w:val="center"/>
            </w:pPr>
            <w:r>
              <w:t>(IQR: 68.40,79.40)</w:t>
            </w:r>
          </w:p>
        </w:tc>
        <w:tc>
          <w:tcPr>
            <w:tcW w:w="1140" w:type="dxa"/>
            <w:shd w:val="clear" w:color="auto" w:fill="auto"/>
            <w:vAlign w:val="center"/>
          </w:tcPr>
          <w:p w14:paraId="0405C685" w14:textId="77777777" w:rsidR="002564DF" w:rsidRDefault="002564DF" w:rsidP="00B6088E">
            <w:pPr>
              <w:spacing w:line="240" w:lineRule="auto"/>
              <w:jc w:val="center"/>
            </w:pPr>
            <w:r>
              <w:t>100.00</w:t>
            </w:r>
          </w:p>
          <w:p w14:paraId="6C9D9DCD" w14:textId="77777777" w:rsidR="002564DF" w:rsidRDefault="002564DF" w:rsidP="00B6088E">
            <w:pPr>
              <w:spacing w:line="240" w:lineRule="auto"/>
              <w:jc w:val="center"/>
            </w:pPr>
            <w:r>
              <w:t>(IQR: 91.80,100.00)</w:t>
            </w:r>
          </w:p>
        </w:tc>
        <w:tc>
          <w:tcPr>
            <w:tcW w:w="1187" w:type="dxa"/>
            <w:shd w:val="clear" w:color="auto" w:fill="auto"/>
            <w:vAlign w:val="center"/>
          </w:tcPr>
          <w:p w14:paraId="75BBB83B" w14:textId="77777777" w:rsidR="002564DF" w:rsidRDefault="002564DF" w:rsidP="00B6088E">
            <w:pPr>
              <w:spacing w:line="240" w:lineRule="auto"/>
              <w:jc w:val="center"/>
            </w:pPr>
            <w:r>
              <w:t>72.00</w:t>
            </w:r>
          </w:p>
          <w:p w14:paraId="3D97ABE4" w14:textId="77777777" w:rsidR="002564DF" w:rsidRDefault="002564DF" w:rsidP="00B6088E">
            <w:pPr>
              <w:spacing w:line="240" w:lineRule="auto"/>
              <w:jc w:val="center"/>
            </w:pPr>
            <w:r>
              <w:t>(IQR: 63.61,79.00)</w:t>
            </w:r>
          </w:p>
        </w:tc>
      </w:tr>
      <w:tr w:rsidR="002564DF" w14:paraId="4A831B3D" w14:textId="77777777" w:rsidTr="00B6088E">
        <w:trPr>
          <w:trHeight w:val="1234"/>
          <w:jc w:val="center"/>
        </w:trPr>
        <w:tc>
          <w:tcPr>
            <w:tcW w:w="1005" w:type="dxa"/>
            <w:shd w:val="clear" w:color="auto" w:fill="auto"/>
            <w:vAlign w:val="center"/>
          </w:tcPr>
          <w:p w14:paraId="5E77FC31" w14:textId="77777777" w:rsidR="002564DF" w:rsidRDefault="002564DF" w:rsidP="00B6088E">
            <w:pPr>
              <w:spacing w:line="240" w:lineRule="auto"/>
              <w:jc w:val="center"/>
            </w:pPr>
            <w:r>
              <w:t>Beta</w:t>
            </w:r>
          </w:p>
        </w:tc>
        <w:tc>
          <w:tcPr>
            <w:tcW w:w="1365" w:type="dxa"/>
            <w:shd w:val="clear" w:color="auto" w:fill="auto"/>
            <w:vAlign w:val="center"/>
          </w:tcPr>
          <w:p w14:paraId="3C12C189" w14:textId="77777777" w:rsidR="002564DF" w:rsidRDefault="002564DF" w:rsidP="00B6088E">
            <w:pPr>
              <w:spacing w:line="240" w:lineRule="auto"/>
              <w:jc w:val="center"/>
            </w:pPr>
            <w:r>
              <w:t>56.00</w:t>
            </w:r>
          </w:p>
          <w:p w14:paraId="36978787" w14:textId="77777777" w:rsidR="002564DF" w:rsidRDefault="002564DF" w:rsidP="00B6088E">
            <w:pPr>
              <w:spacing w:line="240" w:lineRule="auto"/>
              <w:jc w:val="center"/>
            </w:pPr>
            <w:r>
              <w:t>(IQR: 46.54,61.88)</w:t>
            </w:r>
          </w:p>
        </w:tc>
        <w:tc>
          <w:tcPr>
            <w:tcW w:w="1065" w:type="dxa"/>
            <w:shd w:val="clear" w:color="auto" w:fill="auto"/>
            <w:vAlign w:val="center"/>
          </w:tcPr>
          <w:p w14:paraId="6E3708F4" w14:textId="77777777" w:rsidR="002564DF" w:rsidRDefault="002564DF" w:rsidP="00B6088E">
            <w:pPr>
              <w:spacing w:line="240" w:lineRule="auto"/>
              <w:jc w:val="center"/>
            </w:pPr>
            <w:r>
              <w:t>70.00</w:t>
            </w:r>
          </w:p>
          <w:p w14:paraId="505F5A59" w14:textId="77777777" w:rsidR="002564DF" w:rsidRDefault="002564DF" w:rsidP="00B6088E">
            <w:pPr>
              <w:spacing w:line="240" w:lineRule="auto"/>
              <w:jc w:val="center"/>
            </w:pPr>
            <w:r>
              <w:t>(IQR: 65.41,72.75)</w:t>
            </w:r>
          </w:p>
        </w:tc>
        <w:tc>
          <w:tcPr>
            <w:tcW w:w="1305" w:type="dxa"/>
            <w:shd w:val="clear" w:color="auto" w:fill="auto"/>
            <w:vAlign w:val="center"/>
          </w:tcPr>
          <w:p w14:paraId="7519DCC6" w14:textId="77777777" w:rsidR="002564DF" w:rsidRDefault="002564DF" w:rsidP="00B6088E">
            <w:pPr>
              <w:spacing w:line="240" w:lineRule="auto"/>
              <w:jc w:val="center"/>
            </w:pPr>
            <w:r>
              <w:t>84.00</w:t>
            </w:r>
          </w:p>
          <w:p w14:paraId="7C378CF7" w14:textId="77777777" w:rsidR="002564DF" w:rsidRDefault="002564DF" w:rsidP="00B6088E">
            <w:pPr>
              <w:spacing w:line="240" w:lineRule="auto"/>
              <w:jc w:val="center"/>
            </w:pPr>
            <w:r>
              <w:t>(IQR: 69.00,92.00)</w:t>
            </w:r>
          </w:p>
        </w:tc>
        <w:tc>
          <w:tcPr>
            <w:tcW w:w="1230" w:type="dxa"/>
            <w:shd w:val="clear" w:color="auto" w:fill="auto"/>
            <w:vAlign w:val="center"/>
          </w:tcPr>
          <w:p w14:paraId="7A27D571" w14:textId="77777777" w:rsidR="002564DF" w:rsidRDefault="002564DF" w:rsidP="00B6088E">
            <w:pPr>
              <w:spacing w:line="240" w:lineRule="auto"/>
              <w:jc w:val="center"/>
            </w:pPr>
            <w:r>
              <w:t>21.90</w:t>
            </w:r>
          </w:p>
          <w:p w14:paraId="653437AD" w14:textId="77777777" w:rsidR="002564DF" w:rsidRDefault="002564DF" w:rsidP="00B6088E">
            <w:pPr>
              <w:spacing w:line="240" w:lineRule="auto"/>
              <w:jc w:val="center"/>
            </w:pPr>
            <w:r>
              <w:t>(IQR: -49.90,72.80)</w:t>
            </w:r>
          </w:p>
        </w:tc>
        <w:tc>
          <w:tcPr>
            <w:tcW w:w="1140" w:type="dxa"/>
            <w:shd w:val="clear" w:color="auto" w:fill="auto"/>
            <w:vAlign w:val="center"/>
          </w:tcPr>
          <w:p w14:paraId="1F48C9C8" w14:textId="77777777" w:rsidR="002564DF" w:rsidRDefault="002564DF" w:rsidP="00B6088E">
            <w:pPr>
              <w:spacing w:line="240" w:lineRule="auto"/>
              <w:jc w:val="center"/>
            </w:pPr>
            <w:r>
              <w:t>96.40</w:t>
            </w:r>
          </w:p>
          <w:p w14:paraId="4671C0A4" w14:textId="77777777" w:rsidR="002564DF" w:rsidRDefault="002564DF" w:rsidP="00B6088E">
            <w:pPr>
              <w:spacing w:line="240" w:lineRule="auto"/>
              <w:jc w:val="center"/>
            </w:pPr>
            <w:r>
              <w:t>(IQR: 91.90,98.70)</w:t>
            </w:r>
          </w:p>
        </w:tc>
        <w:tc>
          <w:tcPr>
            <w:tcW w:w="1187" w:type="dxa"/>
            <w:shd w:val="clear" w:color="auto" w:fill="auto"/>
            <w:vAlign w:val="center"/>
          </w:tcPr>
          <w:p w14:paraId="14F83C42" w14:textId="77777777" w:rsidR="002564DF" w:rsidRDefault="002564DF" w:rsidP="00B6088E">
            <w:pPr>
              <w:spacing w:line="240" w:lineRule="auto"/>
              <w:jc w:val="center"/>
            </w:pPr>
            <w:r>
              <w:t>52.00</w:t>
            </w:r>
          </w:p>
          <w:p w14:paraId="122C59F1" w14:textId="77777777" w:rsidR="002564DF" w:rsidRDefault="002564DF" w:rsidP="00B6088E">
            <w:pPr>
              <w:spacing w:line="240" w:lineRule="auto"/>
              <w:jc w:val="center"/>
            </w:pPr>
            <w:r>
              <w:t>(IQR: 30.30,67.40)</w:t>
            </w:r>
          </w:p>
        </w:tc>
      </w:tr>
      <w:tr w:rsidR="002564DF" w14:paraId="1552591B" w14:textId="77777777" w:rsidTr="00B6088E">
        <w:trPr>
          <w:trHeight w:val="1234"/>
          <w:jc w:val="center"/>
        </w:trPr>
        <w:tc>
          <w:tcPr>
            <w:tcW w:w="1005" w:type="dxa"/>
            <w:shd w:val="clear" w:color="auto" w:fill="auto"/>
            <w:vAlign w:val="center"/>
          </w:tcPr>
          <w:p w14:paraId="22B8BED7" w14:textId="77777777" w:rsidR="002564DF" w:rsidRDefault="002564DF" w:rsidP="00B6088E">
            <w:pPr>
              <w:spacing w:line="240" w:lineRule="auto"/>
              <w:jc w:val="center"/>
            </w:pPr>
            <w:r>
              <w:t>Gamma</w:t>
            </w:r>
          </w:p>
        </w:tc>
        <w:tc>
          <w:tcPr>
            <w:tcW w:w="1365" w:type="dxa"/>
            <w:shd w:val="clear" w:color="auto" w:fill="auto"/>
            <w:vAlign w:val="center"/>
          </w:tcPr>
          <w:p w14:paraId="247E031E" w14:textId="77777777" w:rsidR="002564DF" w:rsidRDefault="002564DF" w:rsidP="00B6088E">
            <w:pPr>
              <w:spacing w:line="240" w:lineRule="auto"/>
              <w:jc w:val="center"/>
            </w:pPr>
            <w:r>
              <w:t>56.00</w:t>
            </w:r>
          </w:p>
          <w:p w14:paraId="114A548B" w14:textId="77777777" w:rsidR="002564DF" w:rsidRDefault="002564DF" w:rsidP="00B6088E">
            <w:pPr>
              <w:spacing w:line="240" w:lineRule="auto"/>
              <w:jc w:val="center"/>
            </w:pPr>
            <w:r>
              <w:t>(IQR: 46.54,61.88)</w:t>
            </w:r>
          </w:p>
        </w:tc>
        <w:tc>
          <w:tcPr>
            <w:tcW w:w="1065" w:type="dxa"/>
            <w:shd w:val="clear" w:color="auto" w:fill="auto"/>
            <w:vAlign w:val="center"/>
          </w:tcPr>
          <w:p w14:paraId="6B9A0646" w14:textId="77777777" w:rsidR="002564DF" w:rsidRDefault="002564DF" w:rsidP="00B6088E">
            <w:pPr>
              <w:spacing w:line="240" w:lineRule="auto"/>
              <w:jc w:val="center"/>
            </w:pPr>
            <w:r>
              <w:t>70.00</w:t>
            </w:r>
          </w:p>
          <w:p w14:paraId="0EEFAAF6" w14:textId="77777777" w:rsidR="002564DF" w:rsidRDefault="002564DF" w:rsidP="00B6088E">
            <w:pPr>
              <w:spacing w:line="240" w:lineRule="auto"/>
              <w:jc w:val="center"/>
            </w:pPr>
            <w:r>
              <w:t>(IQR: 65.41,72.75)</w:t>
            </w:r>
          </w:p>
        </w:tc>
        <w:tc>
          <w:tcPr>
            <w:tcW w:w="1305" w:type="dxa"/>
            <w:shd w:val="clear" w:color="auto" w:fill="auto"/>
            <w:vAlign w:val="center"/>
          </w:tcPr>
          <w:p w14:paraId="1B7E58D7" w14:textId="77777777" w:rsidR="002564DF" w:rsidRDefault="002564DF" w:rsidP="00B6088E">
            <w:pPr>
              <w:spacing w:line="240" w:lineRule="auto"/>
              <w:jc w:val="center"/>
            </w:pPr>
            <w:r>
              <w:t>84.00</w:t>
            </w:r>
          </w:p>
          <w:p w14:paraId="5922EFCB" w14:textId="77777777" w:rsidR="002564DF" w:rsidRDefault="002564DF" w:rsidP="00B6088E">
            <w:pPr>
              <w:spacing w:line="240" w:lineRule="auto"/>
              <w:jc w:val="center"/>
            </w:pPr>
            <w:r>
              <w:t>(IQR: 69.00,92.00)</w:t>
            </w:r>
          </w:p>
        </w:tc>
        <w:tc>
          <w:tcPr>
            <w:tcW w:w="1230" w:type="dxa"/>
            <w:shd w:val="clear" w:color="auto" w:fill="auto"/>
            <w:vAlign w:val="center"/>
          </w:tcPr>
          <w:p w14:paraId="2C5627B9" w14:textId="77777777" w:rsidR="002564DF" w:rsidRDefault="002564DF" w:rsidP="00B6088E">
            <w:pPr>
              <w:spacing w:line="240" w:lineRule="auto"/>
              <w:jc w:val="center"/>
            </w:pPr>
            <w:r>
              <w:t>51.00</w:t>
            </w:r>
          </w:p>
          <w:p w14:paraId="003EAA0B" w14:textId="77777777" w:rsidR="002564DF" w:rsidRDefault="002564DF" w:rsidP="00B6088E">
            <w:pPr>
              <w:spacing w:line="240" w:lineRule="auto"/>
              <w:jc w:val="center"/>
            </w:pPr>
            <w:r>
              <w:t>(IQR: 43.89,56.58)</w:t>
            </w:r>
          </w:p>
        </w:tc>
        <w:tc>
          <w:tcPr>
            <w:tcW w:w="1140" w:type="dxa"/>
            <w:shd w:val="clear" w:color="auto" w:fill="auto"/>
            <w:vAlign w:val="center"/>
          </w:tcPr>
          <w:p w14:paraId="7F0E268F" w14:textId="77777777" w:rsidR="002564DF" w:rsidRDefault="002564DF" w:rsidP="00B6088E">
            <w:pPr>
              <w:spacing w:line="240" w:lineRule="auto"/>
              <w:jc w:val="center"/>
            </w:pPr>
            <w:r>
              <w:t>80.00</w:t>
            </w:r>
          </w:p>
          <w:p w14:paraId="5CEA2F7D" w14:textId="77777777" w:rsidR="002564DF" w:rsidRDefault="002564DF" w:rsidP="00B6088E">
            <w:pPr>
              <w:spacing w:line="240" w:lineRule="auto"/>
              <w:jc w:val="center"/>
            </w:pPr>
            <w:r>
              <w:t>(IQR: 75.92,82.30)</w:t>
            </w:r>
          </w:p>
        </w:tc>
        <w:tc>
          <w:tcPr>
            <w:tcW w:w="1187" w:type="dxa"/>
            <w:shd w:val="clear" w:color="auto" w:fill="auto"/>
            <w:vAlign w:val="center"/>
          </w:tcPr>
          <w:p w14:paraId="1F2CBA16" w14:textId="77777777" w:rsidR="002564DF" w:rsidRDefault="002564DF" w:rsidP="00B6088E">
            <w:pPr>
              <w:spacing w:line="240" w:lineRule="auto"/>
              <w:jc w:val="center"/>
            </w:pPr>
            <w:r>
              <w:t>66.20</w:t>
            </w:r>
          </w:p>
          <w:p w14:paraId="11EB9225" w14:textId="77777777" w:rsidR="002564DF" w:rsidRDefault="002564DF" w:rsidP="00B6088E">
            <w:pPr>
              <w:spacing w:line="240" w:lineRule="auto"/>
              <w:jc w:val="center"/>
            </w:pPr>
            <w:r>
              <w:t>(IQR: 51.00,77.10)</w:t>
            </w:r>
          </w:p>
        </w:tc>
      </w:tr>
      <w:tr w:rsidR="002564DF" w14:paraId="1098D373" w14:textId="77777777" w:rsidTr="00B6088E">
        <w:trPr>
          <w:trHeight w:val="1234"/>
          <w:jc w:val="center"/>
        </w:trPr>
        <w:tc>
          <w:tcPr>
            <w:tcW w:w="1005" w:type="dxa"/>
            <w:shd w:val="clear" w:color="auto" w:fill="auto"/>
            <w:vAlign w:val="center"/>
          </w:tcPr>
          <w:p w14:paraId="1331151D" w14:textId="77777777" w:rsidR="002564DF" w:rsidRDefault="002564DF" w:rsidP="00B6088E">
            <w:pPr>
              <w:spacing w:line="240" w:lineRule="auto"/>
              <w:jc w:val="center"/>
            </w:pPr>
            <w:r>
              <w:t>Delta</w:t>
            </w:r>
          </w:p>
        </w:tc>
        <w:tc>
          <w:tcPr>
            <w:tcW w:w="1365" w:type="dxa"/>
            <w:shd w:val="clear" w:color="auto" w:fill="auto"/>
            <w:vAlign w:val="center"/>
          </w:tcPr>
          <w:p w14:paraId="5D03A4C4" w14:textId="77777777" w:rsidR="002564DF" w:rsidRDefault="002564DF" w:rsidP="00B6088E">
            <w:pPr>
              <w:spacing w:line="240" w:lineRule="auto"/>
              <w:jc w:val="center"/>
            </w:pPr>
            <w:r>
              <w:t>56.00</w:t>
            </w:r>
          </w:p>
          <w:p w14:paraId="6FD4EBFC" w14:textId="77777777" w:rsidR="002564DF" w:rsidRDefault="002564DF" w:rsidP="00B6088E">
            <w:pPr>
              <w:spacing w:line="240" w:lineRule="auto"/>
              <w:jc w:val="center"/>
            </w:pPr>
            <w:r>
              <w:t>(IQR: 46.54,61.88)</w:t>
            </w:r>
          </w:p>
        </w:tc>
        <w:tc>
          <w:tcPr>
            <w:tcW w:w="1065" w:type="dxa"/>
            <w:shd w:val="clear" w:color="auto" w:fill="auto"/>
            <w:vAlign w:val="center"/>
          </w:tcPr>
          <w:p w14:paraId="566E1B41" w14:textId="77777777" w:rsidR="002564DF" w:rsidRDefault="002564DF" w:rsidP="00B6088E">
            <w:pPr>
              <w:spacing w:line="240" w:lineRule="auto"/>
              <w:jc w:val="center"/>
            </w:pPr>
            <w:r>
              <w:t>70.00</w:t>
            </w:r>
          </w:p>
          <w:p w14:paraId="59187E6E" w14:textId="77777777" w:rsidR="002564DF" w:rsidRDefault="002564DF" w:rsidP="00B6088E">
            <w:pPr>
              <w:spacing w:line="240" w:lineRule="auto"/>
              <w:jc w:val="center"/>
            </w:pPr>
            <w:r>
              <w:t>(IQR: 65.41,72.75)</w:t>
            </w:r>
          </w:p>
        </w:tc>
        <w:tc>
          <w:tcPr>
            <w:tcW w:w="1305" w:type="dxa"/>
            <w:shd w:val="clear" w:color="auto" w:fill="auto"/>
            <w:vAlign w:val="center"/>
          </w:tcPr>
          <w:p w14:paraId="1BB7186E" w14:textId="77777777" w:rsidR="002564DF" w:rsidRDefault="002564DF" w:rsidP="00B6088E">
            <w:pPr>
              <w:spacing w:line="240" w:lineRule="auto"/>
              <w:jc w:val="center"/>
            </w:pPr>
            <w:r>
              <w:t>88.00</w:t>
            </w:r>
          </w:p>
          <w:p w14:paraId="5A30FEF6" w14:textId="77777777" w:rsidR="002564DF" w:rsidRDefault="002564DF" w:rsidP="00B6088E">
            <w:pPr>
              <w:spacing w:line="240" w:lineRule="auto"/>
              <w:jc w:val="center"/>
            </w:pPr>
            <w:r>
              <w:t>(IQR: 85.30,90.10)</w:t>
            </w:r>
          </w:p>
        </w:tc>
        <w:tc>
          <w:tcPr>
            <w:tcW w:w="1230" w:type="dxa"/>
            <w:shd w:val="clear" w:color="auto" w:fill="auto"/>
            <w:vAlign w:val="center"/>
          </w:tcPr>
          <w:p w14:paraId="24B21CC1" w14:textId="77777777" w:rsidR="002564DF" w:rsidRDefault="002564DF" w:rsidP="00B6088E">
            <w:pPr>
              <w:spacing w:line="240" w:lineRule="auto"/>
              <w:jc w:val="center"/>
            </w:pPr>
            <w:r>
              <w:t>60.00</w:t>
            </w:r>
          </w:p>
          <w:p w14:paraId="6005D57A" w14:textId="77777777" w:rsidR="002564DF" w:rsidRDefault="002564DF" w:rsidP="00B6088E">
            <w:pPr>
              <w:spacing w:line="240" w:lineRule="auto"/>
              <w:jc w:val="center"/>
            </w:pPr>
            <w:r>
              <w:t>(IQR: 53.00,66.00)</w:t>
            </w:r>
          </w:p>
        </w:tc>
        <w:tc>
          <w:tcPr>
            <w:tcW w:w="1140" w:type="dxa"/>
            <w:shd w:val="clear" w:color="auto" w:fill="auto"/>
            <w:vAlign w:val="center"/>
          </w:tcPr>
          <w:p w14:paraId="5ADBA074" w14:textId="77777777" w:rsidR="002564DF" w:rsidRDefault="002564DF" w:rsidP="00B6088E">
            <w:pPr>
              <w:spacing w:line="240" w:lineRule="auto"/>
              <w:jc w:val="center"/>
            </w:pPr>
            <w:r>
              <w:t>80.00</w:t>
            </w:r>
          </w:p>
          <w:p w14:paraId="36A77B00" w14:textId="77777777" w:rsidR="002564DF" w:rsidRDefault="002564DF" w:rsidP="00B6088E">
            <w:pPr>
              <w:spacing w:line="240" w:lineRule="auto"/>
              <w:jc w:val="center"/>
            </w:pPr>
            <w:r>
              <w:t>(IQR: 75.92,82.30)</w:t>
            </w:r>
          </w:p>
        </w:tc>
        <w:tc>
          <w:tcPr>
            <w:tcW w:w="1187" w:type="dxa"/>
            <w:shd w:val="clear" w:color="auto" w:fill="auto"/>
            <w:vAlign w:val="center"/>
          </w:tcPr>
          <w:p w14:paraId="52268850" w14:textId="77777777" w:rsidR="002564DF" w:rsidRDefault="002564DF" w:rsidP="00B6088E">
            <w:pPr>
              <w:spacing w:line="240" w:lineRule="auto"/>
              <w:jc w:val="center"/>
            </w:pPr>
            <w:r>
              <w:t>56.00</w:t>
            </w:r>
          </w:p>
          <w:p w14:paraId="2B4852AF" w14:textId="77777777" w:rsidR="002564DF" w:rsidRDefault="002564DF" w:rsidP="00B6088E">
            <w:pPr>
              <w:spacing w:line="240" w:lineRule="auto"/>
              <w:jc w:val="center"/>
            </w:pPr>
            <w:r>
              <w:t>(IQR: 49.47,61.44)</w:t>
            </w:r>
          </w:p>
        </w:tc>
      </w:tr>
      <w:tr w:rsidR="002564DF" w14:paraId="2D83BBB4" w14:textId="77777777" w:rsidTr="00B6088E">
        <w:trPr>
          <w:trHeight w:val="1234"/>
          <w:jc w:val="center"/>
        </w:trPr>
        <w:tc>
          <w:tcPr>
            <w:tcW w:w="1005" w:type="dxa"/>
            <w:shd w:val="clear" w:color="auto" w:fill="auto"/>
            <w:vAlign w:val="center"/>
          </w:tcPr>
          <w:p w14:paraId="51F4AE61" w14:textId="77777777" w:rsidR="002564DF" w:rsidRDefault="002564DF" w:rsidP="00B6088E">
            <w:pPr>
              <w:spacing w:line="240" w:lineRule="auto"/>
              <w:jc w:val="center"/>
            </w:pPr>
            <w:r>
              <w:t>Eta</w:t>
            </w:r>
          </w:p>
        </w:tc>
        <w:tc>
          <w:tcPr>
            <w:tcW w:w="1365" w:type="dxa"/>
            <w:shd w:val="clear" w:color="auto" w:fill="auto"/>
            <w:vAlign w:val="center"/>
          </w:tcPr>
          <w:p w14:paraId="32D2A3A5" w14:textId="77777777" w:rsidR="002564DF" w:rsidRDefault="002564DF" w:rsidP="00B6088E">
            <w:pPr>
              <w:spacing w:line="240" w:lineRule="auto"/>
              <w:jc w:val="center"/>
            </w:pPr>
            <w:r>
              <w:t>65.00*</w:t>
            </w:r>
          </w:p>
          <w:p w14:paraId="55DCB3B4" w14:textId="77777777" w:rsidR="002564DF" w:rsidRDefault="002564DF" w:rsidP="00B6088E">
            <w:pPr>
              <w:spacing w:line="240" w:lineRule="auto"/>
              <w:jc w:val="center"/>
            </w:pPr>
            <w:r>
              <w:t>(IQR: 54.01,71.82)</w:t>
            </w:r>
          </w:p>
        </w:tc>
        <w:tc>
          <w:tcPr>
            <w:tcW w:w="1065" w:type="dxa"/>
            <w:shd w:val="clear" w:color="auto" w:fill="auto"/>
            <w:vAlign w:val="center"/>
          </w:tcPr>
          <w:p w14:paraId="0EE6D42A" w14:textId="77777777" w:rsidR="002564DF" w:rsidRDefault="002564DF" w:rsidP="00B6088E">
            <w:pPr>
              <w:spacing w:line="240" w:lineRule="auto"/>
              <w:jc w:val="center"/>
            </w:pPr>
            <w:r>
              <w:t>81.00*</w:t>
            </w:r>
          </w:p>
          <w:p w14:paraId="48660595" w14:textId="77777777" w:rsidR="002564DF" w:rsidRDefault="002564DF" w:rsidP="00B6088E">
            <w:pPr>
              <w:spacing w:line="240" w:lineRule="auto"/>
              <w:jc w:val="center"/>
            </w:pPr>
            <w:r>
              <w:t>(IQR: 75.69,84.18)</w:t>
            </w:r>
          </w:p>
        </w:tc>
        <w:tc>
          <w:tcPr>
            <w:tcW w:w="1305" w:type="dxa"/>
            <w:shd w:val="clear" w:color="auto" w:fill="auto"/>
            <w:vAlign w:val="center"/>
          </w:tcPr>
          <w:p w14:paraId="0CF0F30F" w14:textId="77777777" w:rsidR="002564DF" w:rsidRDefault="002564DF" w:rsidP="00B6088E">
            <w:pPr>
              <w:spacing w:line="240" w:lineRule="auto"/>
              <w:jc w:val="center"/>
            </w:pPr>
            <w:r>
              <w:t>93.70*</w:t>
            </w:r>
          </w:p>
          <w:p w14:paraId="12A93655" w14:textId="77777777" w:rsidR="002564DF" w:rsidRDefault="002564DF" w:rsidP="00B6088E">
            <w:pPr>
              <w:spacing w:line="240" w:lineRule="auto"/>
              <w:jc w:val="center"/>
            </w:pPr>
            <w:r>
              <w:t>(IQR: 91.60,95.30)</w:t>
            </w:r>
          </w:p>
        </w:tc>
        <w:tc>
          <w:tcPr>
            <w:tcW w:w="1230" w:type="dxa"/>
            <w:shd w:val="clear" w:color="auto" w:fill="auto"/>
            <w:vAlign w:val="center"/>
          </w:tcPr>
          <w:p w14:paraId="009610FB" w14:textId="77777777" w:rsidR="002564DF" w:rsidRDefault="002564DF" w:rsidP="00B6088E">
            <w:pPr>
              <w:spacing w:line="240" w:lineRule="auto"/>
              <w:jc w:val="center"/>
            </w:pPr>
            <w:r>
              <w:t>74.50*</w:t>
            </w:r>
          </w:p>
          <w:p w14:paraId="18162635" w14:textId="77777777" w:rsidR="002564DF" w:rsidRDefault="002564DF" w:rsidP="00B6088E">
            <w:pPr>
              <w:spacing w:line="240" w:lineRule="auto"/>
              <w:jc w:val="center"/>
            </w:pPr>
            <w:r>
              <w:t>(IQR: 68.40,79.40)</w:t>
            </w:r>
          </w:p>
        </w:tc>
        <w:tc>
          <w:tcPr>
            <w:tcW w:w="1140" w:type="dxa"/>
            <w:shd w:val="clear" w:color="auto" w:fill="auto"/>
            <w:vAlign w:val="center"/>
          </w:tcPr>
          <w:p w14:paraId="24C47B80" w14:textId="77777777" w:rsidR="002564DF" w:rsidRDefault="002564DF" w:rsidP="00B6088E">
            <w:pPr>
              <w:spacing w:line="240" w:lineRule="auto"/>
              <w:jc w:val="center"/>
            </w:pPr>
            <w:r>
              <w:t>100.00*</w:t>
            </w:r>
          </w:p>
          <w:p w14:paraId="20C29DFA" w14:textId="77777777" w:rsidR="002564DF" w:rsidRDefault="002564DF" w:rsidP="00B6088E">
            <w:pPr>
              <w:spacing w:line="240" w:lineRule="auto"/>
              <w:jc w:val="center"/>
            </w:pPr>
            <w:r>
              <w:t>(IQR: 91.80,100.00)</w:t>
            </w:r>
          </w:p>
        </w:tc>
        <w:tc>
          <w:tcPr>
            <w:tcW w:w="1187" w:type="dxa"/>
            <w:shd w:val="clear" w:color="auto" w:fill="auto"/>
            <w:vAlign w:val="center"/>
          </w:tcPr>
          <w:p w14:paraId="6533520D" w14:textId="77777777" w:rsidR="002564DF" w:rsidRDefault="002564DF" w:rsidP="00B6088E">
            <w:pPr>
              <w:spacing w:line="240" w:lineRule="auto"/>
              <w:jc w:val="center"/>
            </w:pPr>
            <w:r>
              <w:t>72.00*</w:t>
            </w:r>
          </w:p>
          <w:p w14:paraId="7CDFB731" w14:textId="77777777" w:rsidR="002564DF" w:rsidRDefault="002564DF" w:rsidP="00B6088E">
            <w:pPr>
              <w:spacing w:line="240" w:lineRule="auto"/>
              <w:jc w:val="center"/>
            </w:pPr>
            <w:r>
              <w:t>(IQR: 63.61,79.00)</w:t>
            </w:r>
          </w:p>
        </w:tc>
      </w:tr>
      <w:tr w:rsidR="002564DF" w14:paraId="11EFAF56" w14:textId="77777777" w:rsidTr="00B6088E">
        <w:trPr>
          <w:trHeight w:val="1234"/>
          <w:jc w:val="center"/>
        </w:trPr>
        <w:tc>
          <w:tcPr>
            <w:tcW w:w="1005" w:type="dxa"/>
            <w:shd w:val="clear" w:color="auto" w:fill="auto"/>
            <w:vAlign w:val="center"/>
          </w:tcPr>
          <w:p w14:paraId="31C4A742" w14:textId="77777777" w:rsidR="002564DF" w:rsidRDefault="002564DF" w:rsidP="00B6088E">
            <w:pPr>
              <w:spacing w:line="240" w:lineRule="auto"/>
              <w:jc w:val="center"/>
            </w:pPr>
            <w:r>
              <w:t>Kappa</w:t>
            </w:r>
          </w:p>
        </w:tc>
        <w:tc>
          <w:tcPr>
            <w:tcW w:w="1365" w:type="dxa"/>
            <w:shd w:val="clear" w:color="auto" w:fill="auto"/>
            <w:vAlign w:val="center"/>
          </w:tcPr>
          <w:p w14:paraId="605151A9" w14:textId="77777777" w:rsidR="002564DF" w:rsidRDefault="002564DF" w:rsidP="00B6088E">
            <w:pPr>
              <w:spacing w:line="240" w:lineRule="auto"/>
              <w:jc w:val="center"/>
            </w:pPr>
            <w:r>
              <w:t>65.00*</w:t>
            </w:r>
          </w:p>
          <w:p w14:paraId="2AB6B390" w14:textId="77777777" w:rsidR="002564DF" w:rsidRDefault="002564DF" w:rsidP="00B6088E">
            <w:pPr>
              <w:spacing w:line="240" w:lineRule="auto"/>
              <w:jc w:val="center"/>
            </w:pPr>
            <w:r>
              <w:t>(IQR: 54.01,71.82)</w:t>
            </w:r>
          </w:p>
        </w:tc>
        <w:tc>
          <w:tcPr>
            <w:tcW w:w="1065" w:type="dxa"/>
            <w:shd w:val="clear" w:color="auto" w:fill="auto"/>
            <w:vAlign w:val="center"/>
          </w:tcPr>
          <w:p w14:paraId="3E1355C2" w14:textId="77777777" w:rsidR="002564DF" w:rsidRDefault="002564DF" w:rsidP="00B6088E">
            <w:pPr>
              <w:spacing w:line="240" w:lineRule="auto"/>
              <w:jc w:val="center"/>
            </w:pPr>
            <w:r>
              <w:t>81.00*</w:t>
            </w:r>
          </w:p>
          <w:p w14:paraId="06CDC108" w14:textId="77777777" w:rsidR="002564DF" w:rsidRDefault="002564DF" w:rsidP="00B6088E">
            <w:pPr>
              <w:spacing w:line="240" w:lineRule="auto"/>
              <w:jc w:val="center"/>
            </w:pPr>
            <w:r>
              <w:t>(IQR: 75.69,84.18)</w:t>
            </w:r>
          </w:p>
        </w:tc>
        <w:tc>
          <w:tcPr>
            <w:tcW w:w="1305" w:type="dxa"/>
            <w:shd w:val="clear" w:color="auto" w:fill="auto"/>
            <w:vAlign w:val="center"/>
          </w:tcPr>
          <w:p w14:paraId="1E73034F" w14:textId="77777777" w:rsidR="002564DF" w:rsidRDefault="002564DF" w:rsidP="00B6088E">
            <w:pPr>
              <w:spacing w:line="240" w:lineRule="auto"/>
              <w:jc w:val="center"/>
            </w:pPr>
            <w:r>
              <w:t>87.90</w:t>
            </w:r>
          </w:p>
          <w:p w14:paraId="3D52B867" w14:textId="77777777" w:rsidR="002564DF" w:rsidRDefault="002564DF" w:rsidP="00B6088E">
            <w:pPr>
              <w:spacing w:line="240" w:lineRule="auto"/>
              <w:jc w:val="center"/>
            </w:pPr>
            <w:r>
              <w:t>(IQR: 78.20,93.20)</w:t>
            </w:r>
          </w:p>
        </w:tc>
        <w:tc>
          <w:tcPr>
            <w:tcW w:w="1230" w:type="dxa"/>
            <w:shd w:val="clear" w:color="auto" w:fill="auto"/>
            <w:vAlign w:val="center"/>
          </w:tcPr>
          <w:p w14:paraId="297924EE" w14:textId="77777777" w:rsidR="002564DF" w:rsidRDefault="002564DF" w:rsidP="00B6088E">
            <w:pPr>
              <w:spacing w:line="240" w:lineRule="auto"/>
              <w:jc w:val="center"/>
            </w:pPr>
            <w:r>
              <w:t>59.80</w:t>
            </w:r>
          </w:p>
          <w:p w14:paraId="278A8C50" w14:textId="77777777" w:rsidR="002564DF" w:rsidRDefault="002564DF" w:rsidP="00B6088E">
            <w:pPr>
              <w:spacing w:line="240" w:lineRule="auto"/>
              <w:jc w:val="center"/>
            </w:pPr>
            <w:r>
              <w:t>(IQR: 28.90,77.30)</w:t>
            </w:r>
          </w:p>
        </w:tc>
        <w:tc>
          <w:tcPr>
            <w:tcW w:w="1140" w:type="dxa"/>
            <w:shd w:val="clear" w:color="auto" w:fill="auto"/>
            <w:vAlign w:val="center"/>
          </w:tcPr>
          <w:p w14:paraId="0935A857" w14:textId="77777777" w:rsidR="002564DF" w:rsidRDefault="002564DF" w:rsidP="00B6088E">
            <w:pPr>
              <w:spacing w:line="240" w:lineRule="auto"/>
              <w:jc w:val="center"/>
            </w:pPr>
            <w:r>
              <w:t>100.00*</w:t>
            </w:r>
          </w:p>
          <w:p w14:paraId="6A87CBD3" w14:textId="77777777" w:rsidR="002564DF" w:rsidRDefault="002564DF" w:rsidP="00B6088E">
            <w:pPr>
              <w:spacing w:line="240" w:lineRule="auto"/>
              <w:jc w:val="center"/>
            </w:pPr>
            <w:r>
              <w:t>(IQR: 91.80,100.00)</w:t>
            </w:r>
          </w:p>
        </w:tc>
        <w:tc>
          <w:tcPr>
            <w:tcW w:w="1187" w:type="dxa"/>
            <w:shd w:val="clear" w:color="auto" w:fill="auto"/>
            <w:vAlign w:val="center"/>
          </w:tcPr>
          <w:p w14:paraId="76A33CA9" w14:textId="77777777" w:rsidR="002564DF" w:rsidRDefault="002564DF" w:rsidP="00B6088E">
            <w:pPr>
              <w:spacing w:line="240" w:lineRule="auto"/>
              <w:jc w:val="center"/>
            </w:pPr>
            <w:r>
              <w:t>72.00*</w:t>
            </w:r>
          </w:p>
          <w:p w14:paraId="6F5B0585" w14:textId="77777777" w:rsidR="002564DF" w:rsidRDefault="002564DF" w:rsidP="00B6088E">
            <w:pPr>
              <w:spacing w:line="240" w:lineRule="auto"/>
              <w:jc w:val="center"/>
            </w:pPr>
            <w:r>
              <w:t>(IQR: 63.61,79.00)</w:t>
            </w:r>
          </w:p>
        </w:tc>
      </w:tr>
    </w:tbl>
    <w:p w14:paraId="33263F00" w14:textId="77777777" w:rsidR="002564DF" w:rsidRDefault="002564DF" w:rsidP="002564DF"/>
    <w:p w14:paraId="5D4BA4C9" w14:textId="77777777" w:rsidR="002564DF" w:rsidRDefault="002564DF" w:rsidP="002564DF">
      <w:pPr>
        <w:spacing w:line="240" w:lineRule="auto"/>
      </w:pPr>
      <w:r>
        <w:rPr>
          <w:b/>
        </w:rPr>
        <w:t>Table B2. Effectiveness of various vaccines against SARS-CoV-2 as well as its 6 variants.</w:t>
      </w:r>
      <w:r>
        <w:t xml:space="preserve"> The estimates are shown by its medians and IQR. *: these estimates are absent in the literature which were assumed to be the same as the vaccine product against Delta.</w:t>
      </w:r>
    </w:p>
    <w:tbl>
      <w:tblPr>
        <w:tblW w:w="82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5"/>
        <w:gridCol w:w="1365"/>
        <w:gridCol w:w="1065"/>
        <w:gridCol w:w="1305"/>
        <w:gridCol w:w="1230"/>
        <w:gridCol w:w="1140"/>
        <w:gridCol w:w="1187"/>
      </w:tblGrid>
      <w:tr w:rsidR="002564DF" w14:paraId="2544CA9D" w14:textId="77777777" w:rsidTr="00B6088E">
        <w:trPr>
          <w:trHeight w:val="1234"/>
          <w:jc w:val="center"/>
        </w:trPr>
        <w:tc>
          <w:tcPr>
            <w:tcW w:w="1005" w:type="dxa"/>
            <w:shd w:val="clear" w:color="auto" w:fill="auto"/>
            <w:vAlign w:val="center"/>
          </w:tcPr>
          <w:p w14:paraId="39FD9F4B" w14:textId="77777777" w:rsidR="002564DF" w:rsidRDefault="002564DF" w:rsidP="00B6088E">
            <w:pPr>
              <w:spacing w:line="240" w:lineRule="auto"/>
              <w:jc w:val="left"/>
            </w:pPr>
          </w:p>
        </w:tc>
        <w:tc>
          <w:tcPr>
            <w:tcW w:w="1365" w:type="dxa"/>
            <w:shd w:val="clear" w:color="auto" w:fill="auto"/>
            <w:vAlign w:val="center"/>
          </w:tcPr>
          <w:p w14:paraId="51D4C5C7" w14:textId="77777777" w:rsidR="002564DF" w:rsidRDefault="002564DF" w:rsidP="00B6088E">
            <w:pPr>
              <w:spacing w:line="240" w:lineRule="auto"/>
              <w:jc w:val="center"/>
            </w:pPr>
            <w:proofErr w:type="spellStart"/>
            <w:r>
              <w:t>Sinopharm.Beijing</w:t>
            </w:r>
            <w:proofErr w:type="spellEnd"/>
          </w:p>
        </w:tc>
        <w:tc>
          <w:tcPr>
            <w:tcW w:w="1065" w:type="dxa"/>
            <w:shd w:val="clear" w:color="auto" w:fill="auto"/>
            <w:vAlign w:val="center"/>
          </w:tcPr>
          <w:p w14:paraId="6AB452B6" w14:textId="77777777" w:rsidR="002564DF" w:rsidRDefault="002564DF" w:rsidP="00B6088E">
            <w:pPr>
              <w:spacing w:line="240" w:lineRule="auto"/>
              <w:jc w:val="center"/>
            </w:pPr>
            <w:proofErr w:type="spellStart"/>
            <w:r>
              <w:t>Sputnik.V</w:t>
            </w:r>
            <w:proofErr w:type="spellEnd"/>
          </w:p>
        </w:tc>
        <w:tc>
          <w:tcPr>
            <w:tcW w:w="1305" w:type="dxa"/>
            <w:shd w:val="clear" w:color="auto" w:fill="auto"/>
            <w:vAlign w:val="center"/>
          </w:tcPr>
          <w:p w14:paraId="22D5EDC8" w14:textId="77777777" w:rsidR="002564DF" w:rsidRDefault="002564DF" w:rsidP="00B6088E">
            <w:pPr>
              <w:spacing w:line="240" w:lineRule="auto"/>
              <w:jc w:val="center"/>
            </w:pPr>
            <w:r>
              <w:t>Pfizer</w:t>
            </w:r>
          </w:p>
        </w:tc>
        <w:tc>
          <w:tcPr>
            <w:tcW w:w="1230" w:type="dxa"/>
            <w:shd w:val="clear" w:color="auto" w:fill="auto"/>
            <w:vAlign w:val="center"/>
          </w:tcPr>
          <w:p w14:paraId="040FC716" w14:textId="77777777" w:rsidR="002564DF" w:rsidRDefault="002564DF" w:rsidP="00B6088E">
            <w:pPr>
              <w:spacing w:line="240" w:lineRule="auto"/>
              <w:jc w:val="center"/>
            </w:pPr>
            <w:r>
              <w:t>AstraZeneca</w:t>
            </w:r>
          </w:p>
        </w:tc>
        <w:tc>
          <w:tcPr>
            <w:tcW w:w="1140" w:type="dxa"/>
            <w:shd w:val="clear" w:color="auto" w:fill="auto"/>
            <w:vAlign w:val="center"/>
          </w:tcPr>
          <w:p w14:paraId="6C5537A9" w14:textId="77777777" w:rsidR="002564DF" w:rsidRDefault="002564DF" w:rsidP="00B6088E">
            <w:pPr>
              <w:spacing w:line="240" w:lineRule="auto"/>
              <w:jc w:val="center"/>
            </w:pPr>
            <w:r>
              <w:t>Moderna</w:t>
            </w:r>
          </w:p>
        </w:tc>
        <w:tc>
          <w:tcPr>
            <w:tcW w:w="1187" w:type="dxa"/>
            <w:shd w:val="clear" w:color="auto" w:fill="auto"/>
            <w:vAlign w:val="center"/>
          </w:tcPr>
          <w:p w14:paraId="1C452FBB" w14:textId="77777777" w:rsidR="002564DF" w:rsidRDefault="002564DF" w:rsidP="00B6088E">
            <w:pPr>
              <w:spacing w:line="240" w:lineRule="auto"/>
              <w:jc w:val="center"/>
            </w:pPr>
            <w:r>
              <w:t>Johnson &amp; Johnson</w:t>
            </w:r>
          </w:p>
        </w:tc>
      </w:tr>
      <w:tr w:rsidR="002564DF" w14:paraId="76D7087F" w14:textId="77777777" w:rsidTr="00B6088E">
        <w:trPr>
          <w:trHeight w:val="1234"/>
          <w:jc w:val="center"/>
        </w:trPr>
        <w:tc>
          <w:tcPr>
            <w:tcW w:w="1005" w:type="dxa"/>
            <w:shd w:val="clear" w:color="auto" w:fill="auto"/>
            <w:vAlign w:val="center"/>
          </w:tcPr>
          <w:p w14:paraId="5B1DACEB" w14:textId="77777777" w:rsidR="002564DF" w:rsidRDefault="002564DF" w:rsidP="00B6088E">
            <w:pPr>
              <w:spacing w:line="240" w:lineRule="auto"/>
            </w:pPr>
            <w:r>
              <w:t>SARS-CoV-2</w:t>
            </w:r>
          </w:p>
        </w:tc>
        <w:tc>
          <w:tcPr>
            <w:tcW w:w="1365" w:type="dxa"/>
            <w:shd w:val="clear" w:color="auto" w:fill="auto"/>
            <w:vAlign w:val="center"/>
          </w:tcPr>
          <w:p w14:paraId="1C7FA2F1" w14:textId="77777777" w:rsidR="002564DF" w:rsidRDefault="002564DF" w:rsidP="00B6088E">
            <w:pPr>
              <w:spacing w:line="240" w:lineRule="auto"/>
              <w:jc w:val="center"/>
            </w:pPr>
            <w:r>
              <w:t>78.10</w:t>
            </w:r>
          </w:p>
          <w:p w14:paraId="679ABCC8" w14:textId="77777777" w:rsidR="002564DF" w:rsidRDefault="002564DF" w:rsidP="00B6088E">
            <w:pPr>
              <w:spacing w:line="240" w:lineRule="auto"/>
              <w:jc w:val="center"/>
            </w:pPr>
            <w:r>
              <w:t>(IQR: 64.90,86.30)</w:t>
            </w:r>
          </w:p>
        </w:tc>
        <w:tc>
          <w:tcPr>
            <w:tcW w:w="1065" w:type="dxa"/>
            <w:shd w:val="clear" w:color="auto" w:fill="auto"/>
            <w:vAlign w:val="center"/>
          </w:tcPr>
          <w:p w14:paraId="36493E91" w14:textId="77777777" w:rsidR="002564DF" w:rsidRDefault="002564DF" w:rsidP="00B6088E">
            <w:pPr>
              <w:spacing w:line="240" w:lineRule="auto"/>
              <w:jc w:val="center"/>
            </w:pPr>
            <w:r>
              <w:t>91.60</w:t>
            </w:r>
          </w:p>
          <w:p w14:paraId="32F20875" w14:textId="77777777" w:rsidR="002564DF" w:rsidRDefault="002564DF" w:rsidP="00B6088E">
            <w:pPr>
              <w:spacing w:line="240" w:lineRule="auto"/>
              <w:jc w:val="center"/>
            </w:pPr>
            <w:r>
              <w:t>(IQR: 85.60,95.20)</w:t>
            </w:r>
          </w:p>
        </w:tc>
        <w:tc>
          <w:tcPr>
            <w:tcW w:w="1305" w:type="dxa"/>
            <w:shd w:val="clear" w:color="auto" w:fill="auto"/>
            <w:vAlign w:val="center"/>
          </w:tcPr>
          <w:p w14:paraId="0A3B4ACC" w14:textId="77777777" w:rsidR="002564DF" w:rsidRDefault="002564DF" w:rsidP="00B6088E">
            <w:pPr>
              <w:spacing w:line="240" w:lineRule="auto"/>
              <w:jc w:val="center"/>
            </w:pPr>
            <w:r>
              <w:t>95.00</w:t>
            </w:r>
          </w:p>
          <w:p w14:paraId="1FB122DE" w14:textId="77777777" w:rsidR="002564DF" w:rsidRDefault="002564DF" w:rsidP="00B6088E">
            <w:pPr>
              <w:spacing w:line="240" w:lineRule="auto"/>
              <w:jc w:val="center"/>
            </w:pPr>
            <w:r>
              <w:t>(IQR: 90.30,97.60)</w:t>
            </w:r>
          </w:p>
        </w:tc>
        <w:tc>
          <w:tcPr>
            <w:tcW w:w="1230" w:type="dxa"/>
            <w:shd w:val="clear" w:color="auto" w:fill="auto"/>
            <w:vAlign w:val="center"/>
          </w:tcPr>
          <w:p w14:paraId="69935F4F" w14:textId="77777777" w:rsidR="002564DF" w:rsidRDefault="002564DF" w:rsidP="00B6088E">
            <w:pPr>
              <w:spacing w:line="240" w:lineRule="auto"/>
              <w:jc w:val="center"/>
            </w:pPr>
            <w:r>
              <w:t>66.70</w:t>
            </w:r>
          </w:p>
          <w:p w14:paraId="55BC5089" w14:textId="77777777" w:rsidR="002564DF" w:rsidRDefault="002564DF" w:rsidP="00B6088E">
            <w:pPr>
              <w:spacing w:line="240" w:lineRule="auto"/>
              <w:jc w:val="center"/>
            </w:pPr>
            <w:r>
              <w:t>(IQR: 57.40,74.00)</w:t>
            </w:r>
          </w:p>
        </w:tc>
        <w:tc>
          <w:tcPr>
            <w:tcW w:w="1140" w:type="dxa"/>
            <w:shd w:val="clear" w:color="auto" w:fill="auto"/>
            <w:vAlign w:val="center"/>
          </w:tcPr>
          <w:p w14:paraId="346A74C2" w14:textId="77777777" w:rsidR="002564DF" w:rsidRDefault="002564DF" w:rsidP="00B6088E">
            <w:pPr>
              <w:spacing w:line="240" w:lineRule="auto"/>
              <w:jc w:val="center"/>
            </w:pPr>
            <w:r>
              <w:t>94.10</w:t>
            </w:r>
          </w:p>
          <w:p w14:paraId="730DF9E9" w14:textId="77777777" w:rsidR="002564DF" w:rsidRDefault="002564DF" w:rsidP="00B6088E">
            <w:pPr>
              <w:spacing w:line="240" w:lineRule="auto"/>
              <w:jc w:val="center"/>
            </w:pPr>
            <w:r>
              <w:t>(IQR: 89.30,96.80)</w:t>
            </w:r>
          </w:p>
        </w:tc>
        <w:tc>
          <w:tcPr>
            <w:tcW w:w="1187" w:type="dxa"/>
            <w:shd w:val="clear" w:color="auto" w:fill="auto"/>
            <w:vAlign w:val="center"/>
          </w:tcPr>
          <w:p w14:paraId="7A394BC3" w14:textId="77777777" w:rsidR="002564DF" w:rsidRDefault="002564DF" w:rsidP="00B6088E">
            <w:pPr>
              <w:spacing w:line="240" w:lineRule="auto"/>
              <w:jc w:val="center"/>
            </w:pPr>
            <w:r>
              <w:t>66.90</w:t>
            </w:r>
          </w:p>
          <w:p w14:paraId="031C7C3E" w14:textId="77777777" w:rsidR="002564DF" w:rsidRDefault="002564DF" w:rsidP="00B6088E">
            <w:pPr>
              <w:spacing w:line="240" w:lineRule="auto"/>
              <w:jc w:val="center"/>
            </w:pPr>
            <w:r>
              <w:t>(IQR: 59.10,73.40)</w:t>
            </w:r>
          </w:p>
        </w:tc>
      </w:tr>
      <w:tr w:rsidR="002564DF" w14:paraId="3316BF88" w14:textId="77777777" w:rsidTr="00B6088E">
        <w:trPr>
          <w:trHeight w:val="1234"/>
          <w:jc w:val="center"/>
        </w:trPr>
        <w:tc>
          <w:tcPr>
            <w:tcW w:w="1005" w:type="dxa"/>
            <w:shd w:val="clear" w:color="auto" w:fill="auto"/>
            <w:vAlign w:val="center"/>
          </w:tcPr>
          <w:p w14:paraId="326DF643" w14:textId="77777777" w:rsidR="002564DF" w:rsidRDefault="002564DF" w:rsidP="00B6088E">
            <w:pPr>
              <w:spacing w:line="240" w:lineRule="auto"/>
              <w:jc w:val="center"/>
            </w:pPr>
            <w:r>
              <w:t>Alpha</w:t>
            </w:r>
          </w:p>
        </w:tc>
        <w:tc>
          <w:tcPr>
            <w:tcW w:w="1365" w:type="dxa"/>
            <w:shd w:val="clear" w:color="auto" w:fill="auto"/>
            <w:vAlign w:val="center"/>
          </w:tcPr>
          <w:p w14:paraId="3F8D3824" w14:textId="77777777" w:rsidR="002564DF" w:rsidRDefault="002564DF" w:rsidP="00B6088E">
            <w:pPr>
              <w:spacing w:line="240" w:lineRule="auto"/>
              <w:jc w:val="center"/>
            </w:pPr>
            <w:r>
              <w:t>65.00</w:t>
            </w:r>
          </w:p>
          <w:p w14:paraId="27AF81B7" w14:textId="77777777" w:rsidR="002564DF" w:rsidRDefault="002564DF" w:rsidP="00B6088E">
            <w:pPr>
              <w:spacing w:line="240" w:lineRule="auto"/>
              <w:jc w:val="center"/>
            </w:pPr>
            <w:r>
              <w:t>(IQR: 54.01,71.82)</w:t>
            </w:r>
          </w:p>
        </w:tc>
        <w:tc>
          <w:tcPr>
            <w:tcW w:w="1065" w:type="dxa"/>
            <w:shd w:val="clear" w:color="auto" w:fill="auto"/>
            <w:vAlign w:val="center"/>
          </w:tcPr>
          <w:p w14:paraId="13100BA5" w14:textId="77777777" w:rsidR="002564DF" w:rsidRDefault="002564DF" w:rsidP="00B6088E">
            <w:pPr>
              <w:spacing w:line="240" w:lineRule="auto"/>
              <w:jc w:val="center"/>
            </w:pPr>
            <w:r>
              <w:t>81.00</w:t>
            </w:r>
          </w:p>
          <w:p w14:paraId="699B7B53" w14:textId="77777777" w:rsidR="002564DF" w:rsidRDefault="002564DF" w:rsidP="00B6088E">
            <w:pPr>
              <w:spacing w:line="240" w:lineRule="auto"/>
              <w:jc w:val="center"/>
            </w:pPr>
            <w:r>
              <w:t>(IQR: 75.69,84.18)</w:t>
            </w:r>
          </w:p>
        </w:tc>
        <w:tc>
          <w:tcPr>
            <w:tcW w:w="1305" w:type="dxa"/>
            <w:shd w:val="clear" w:color="auto" w:fill="auto"/>
            <w:vAlign w:val="center"/>
          </w:tcPr>
          <w:p w14:paraId="0CD71CCF" w14:textId="77777777" w:rsidR="002564DF" w:rsidRDefault="002564DF" w:rsidP="00B6088E">
            <w:pPr>
              <w:spacing w:line="240" w:lineRule="auto"/>
              <w:jc w:val="center"/>
            </w:pPr>
            <w:r>
              <w:t>93.70</w:t>
            </w:r>
          </w:p>
          <w:p w14:paraId="3378FC21" w14:textId="77777777" w:rsidR="002564DF" w:rsidRDefault="002564DF" w:rsidP="00B6088E">
            <w:pPr>
              <w:spacing w:line="240" w:lineRule="auto"/>
              <w:jc w:val="center"/>
            </w:pPr>
            <w:r>
              <w:t>(IQR: 91.60,95.30)</w:t>
            </w:r>
          </w:p>
        </w:tc>
        <w:tc>
          <w:tcPr>
            <w:tcW w:w="1230" w:type="dxa"/>
            <w:shd w:val="clear" w:color="auto" w:fill="auto"/>
            <w:vAlign w:val="center"/>
          </w:tcPr>
          <w:p w14:paraId="436D4A0A" w14:textId="77777777" w:rsidR="002564DF" w:rsidRDefault="002564DF" w:rsidP="00B6088E">
            <w:pPr>
              <w:spacing w:line="240" w:lineRule="auto"/>
              <w:jc w:val="center"/>
            </w:pPr>
            <w:r>
              <w:t>74.50</w:t>
            </w:r>
          </w:p>
          <w:p w14:paraId="52BE497C" w14:textId="77777777" w:rsidR="002564DF" w:rsidRDefault="002564DF" w:rsidP="00B6088E">
            <w:pPr>
              <w:spacing w:line="240" w:lineRule="auto"/>
              <w:jc w:val="center"/>
            </w:pPr>
            <w:r>
              <w:t>(IQR: 68.40,79.40)</w:t>
            </w:r>
          </w:p>
        </w:tc>
        <w:tc>
          <w:tcPr>
            <w:tcW w:w="1140" w:type="dxa"/>
            <w:shd w:val="clear" w:color="auto" w:fill="auto"/>
            <w:vAlign w:val="center"/>
          </w:tcPr>
          <w:p w14:paraId="6915EA71" w14:textId="77777777" w:rsidR="002564DF" w:rsidRDefault="002564DF" w:rsidP="00B6088E">
            <w:pPr>
              <w:spacing w:line="240" w:lineRule="auto"/>
              <w:jc w:val="center"/>
            </w:pPr>
            <w:r>
              <w:t>100.00</w:t>
            </w:r>
          </w:p>
          <w:p w14:paraId="08CFED6F" w14:textId="77777777" w:rsidR="002564DF" w:rsidRDefault="002564DF" w:rsidP="00B6088E">
            <w:pPr>
              <w:spacing w:line="240" w:lineRule="auto"/>
              <w:jc w:val="center"/>
            </w:pPr>
            <w:r>
              <w:t>(IQR: 91.80,100.00)</w:t>
            </w:r>
          </w:p>
        </w:tc>
        <w:tc>
          <w:tcPr>
            <w:tcW w:w="1187" w:type="dxa"/>
            <w:shd w:val="clear" w:color="auto" w:fill="auto"/>
            <w:vAlign w:val="center"/>
          </w:tcPr>
          <w:p w14:paraId="2BD482E2" w14:textId="77777777" w:rsidR="002564DF" w:rsidRDefault="002564DF" w:rsidP="00B6088E">
            <w:pPr>
              <w:spacing w:line="240" w:lineRule="auto"/>
              <w:jc w:val="center"/>
            </w:pPr>
            <w:r>
              <w:t>72.00</w:t>
            </w:r>
          </w:p>
          <w:p w14:paraId="12ADDD7D" w14:textId="77777777" w:rsidR="002564DF" w:rsidRDefault="002564DF" w:rsidP="00B6088E">
            <w:pPr>
              <w:spacing w:line="240" w:lineRule="auto"/>
              <w:jc w:val="center"/>
            </w:pPr>
            <w:r>
              <w:t>(IQR: 63.61,79.00)</w:t>
            </w:r>
          </w:p>
        </w:tc>
      </w:tr>
      <w:tr w:rsidR="002564DF" w14:paraId="3B4421F8" w14:textId="77777777" w:rsidTr="00B6088E">
        <w:trPr>
          <w:trHeight w:val="1234"/>
          <w:jc w:val="center"/>
        </w:trPr>
        <w:tc>
          <w:tcPr>
            <w:tcW w:w="1005" w:type="dxa"/>
            <w:shd w:val="clear" w:color="auto" w:fill="auto"/>
            <w:vAlign w:val="center"/>
          </w:tcPr>
          <w:p w14:paraId="0ABE83F3" w14:textId="77777777" w:rsidR="002564DF" w:rsidRDefault="002564DF" w:rsidP="00B6088E">
            <w:pPr>
              <w:spacing w:line="240" w:lineRule="auto"/>
              <w:jc w:val="center"/>
            </w:pPr>
            <w:r>
              <w:t>Beta</w:t>
            </w:r>
          </w:p>
        </w:tc>
        <w:tc>
          <w:tcPr>
            <w:tcW w:w="1365" w:type="dxa"/>
            <w:shd w:val="clear" w:color="auto" w:fill="auto"/>
            <w:vAlign w:val="center"/>
          </w:tcPr>
          <w:p w14:paraId="49D8B5F4" w14:textId="77777777" w:rsidR="002564DF" w:rsidRDefault="002564DF" w:rsidP="00B6088E">
            <w:pPr>
              <w:spacing w:line="240" w:lineRule="auto"/>
              <w:jc w:val="center"/>
            </w:pPr>
            <w:r>
              <w:t>56.00</w:t>
            </w:r>
          </w:p>
          <w:p w14:paraId="19C91FB8" w14:textId="77777777" w:rsidR="002564DF" w:rsidRDefault="002564DF" w:rsidP="00B6088E">
            <w:pPr>
              <w:spacing w:line="240" w:lineRule="auto"/>
              <w:jc w:val="center"/>
            </w:pPr>
            <w:r>
              <w:t>(IQR: 46.54,61.88)</w:t>
            </w:r>
          </w:p>
        </w:tc>
        <w:tc>
          <w:tcPr>
            <w:tcW w:w="1065" w:type="dxa"/>
            <w:shd w:val="clear" w:color="auto" w:fill="auto"/>
            <w:vAlign w:val="center"/>
          </w:tcPr>
          <w:p w14:paraId="53D293A9" w14:textId="77777777" w:rsidR="002564DF" w:rsidRDefault="002564DF" w:rsidP="00B6088E">
            <w:pPr>
              <w:spacing w:line="240" w:lineRule="auto"/>
              <w:jc w:val="center"/>
            </w:pPr>
            <w:r>
              <w:t>70.00</w:t>
            </w:r>
          </w:p>
          <w:p w14:paraId="50778E9D" w14:textId="77777777" w:rsidR="002564DF" w:rsidRDefault="002564DF" w:rsidP="00B6088E">
            <w:pPr>
              <w:spacing w:line="240" w:lineRule="auto"/>
              <w:jc w:val="center"/>
            </w:pPr>
            <w:r>
              <w:t>(IQR: 65.41,72.75)</w:t>
            </w:r>
          </w:p>
        </w:tc>
        <w:tc>
          <w:tcPr>
            <w:tcW w:w="1305" w:type="dxa"/>
            <w:shd w:val="clear" w:color="auto" w:fill="auto"/>
            <w:vAlign w:val="center"/>
          </w:tcPr>
          <w:p w14:paraId="15A6FD2C" w14:textId="77777777" w:rsidR="002564DF" w:rsidRDefault="002564DF" w:rsidP="00B6088E">
            <w:pPr>
              <w:spacing w:line="240" w:lineRule="auto"/>
              <w:jc w:val="center"/>
            </w:pPr>
            <w:r>
              <w:t>84.00</w:t>
            </w:r>
          </w:p>
          <w:p w14:paraId="424B362F" w14:textId="77777777" w:rsidR="002564DF" w:rsidRDefault="002564DF" w:rsidP="00B6088E">
            <w:pPr>
              <w:spacing w:line="240" w:lineRule="auto"/>
              <w:jc w:val="center"/>
            </w:pPr>
            <w:r>
              <w:t>(IQR: 69.00,92.00)</w:t>
            </w:r>
          </w:p>
        </w:tc>
        <w:tc>
          <w:tcPr>
            <w:tcW w:w="1230" w:type="dxa"/>
            <w:shd w:val="clear" w:color="auto" w:fill="auto"/>
            <w:vAlign w:val="center"/>
          </w:tcPr>
          <w:p w14:paraId="5A6A8190" w14:textId="77777777" w:rsidR="002564DF" w:rsidRDefault="002564DF" w:rsidP="00B6088E">
            <w:pPr>
              <w:spacing w:line="240" w:lineRule="auto"/>
              <w:jc w:val="center"/>
            </w:pPr>
            <w:r>
              <w:t>21.90</w:t>
            </w:r>
          </w:p>
          <w:p w14:paraId="42F95F02" w14:textId="77777777" w:rsidR="002564DF" w:rsidRDefault="002564DF" w:rsidP="00B6088E">
            <w:pPr>
              <w:spacing w:line="240" w:lineRule="auto"/>
              <w:jc w:val="center"/>
            </w:pPr>
            <w:r>
              <w:t>(IQR: -49.90,72.80)</w:t>
            </w:r>
          </w:p>
        </w:tc>
        <w:tc>
          <w:tcPr>
            <w:tcW w:w="1140" w:type="dxa"/>
            <w:shd w:val="clear" w:color="auto" w:fill="auto"/>
            <w:vAlign w:val="center"/>
          </w:tcPr>
          <w:p w14:paraId="73BEA691" w14:textId="77777777" w:rsidR="002564DF" w:rsidRDefault="002564DF" w:rsidP="00B6088E">
            <w:pPr>
              <w:spacing w:line="240" w:lineRule="auto"/>
              <w:jc w:val="center"/>
            </w:pPr>
            <w:r>
              <w:t>96.40</w:t>
            </w:r>
          </w:p>
          <w:p w14:paraId="7408F685" w14:textId="77777777" w:rsidR="002564DF" w:rsidRDefault="002564DF" w:rsidP="00B6088E">
            <w:pPr>
              <w:spacing w:line="240" w:lineRule="auto"/>
              <w:jc w:val="center"/>
            </w:pPr>
            <w:r>
              <w:t>(IQR: 91.90,98.70)</w:t>
            </w:r>
          </w:p>
        </w:tc>
        <w:tc>
          <w:tcPr>
            <w:tcW w:w="1187" w:type="dxa"/>
            <w:shd w:val="clear" w:color="auto" w:fill="auto"/>
            <w:vAlign w:val="center"/>
          </w:tcPr>
          <w:p w14:paraId="16E6313F" w14:textId="77777777" w:rsidR="002564DF" w:rsidRDefault="002564DF" w:rsidP="00B6088E">
            <w:pPr>
              <w:spacing w:line="240" w:lineRule="auto"/>
              <w:jc w:val="center"/>
            </w:pPr>
            <w:r>
              <w:t>52.00</w:t>
            </w:r>
          </w:p>
          <w:p w14:paraId="17FC0B24" w14:textId="77777777" w:rsidR="002564DF" w:rsidRDefault="002564DF" w:rsidP="00B6088E">
            <w:pPr>
              <w:spacing w:line="240" w:lineRule="auto"/>
              <w:jc w:val="center"/>
            </w:pPr>
            <w:r>
              <w:t>(IQR: 30.30,67.40)</w:t>
            </w:r>
          </w:p>
        </w:tc>
      </w:tr>
      <w:tr w:rsidR="002564DF" w14:paraId="6F149DDA" w14:textId="77777777" w:rsidTr="00B6088E">
        <w:trPr>
          <w:trHeight w:val="1234"/>
          <w:jc w:val="center"/>
        </w:trPr>
        <w:tc>
          <w:tcPr>
            <w:tcW w:w="1005" w:type="dxa"/>
            <w:shd w:val="clear" w:color="auto" w:fill="auto"/>
            <w:vAlign w:val="center"/>
          </w:tcPr>
          <w:p w14:paraId="3FD80248" w14:textId="77777777" w:rsidR="002564DF" w:rsidRDefault="002564DF" w:rsidP="00B6088E">
            <w:pPr>
              <w:spacing w:line="240" w:lineRule="auto"/>
              <w:jc w:val="center"/>
            </w:pPr>
            <w:r>
              <w:t>Gamma</w:t>
            </w:r>
          </w:p>
        </w:tc>
        <w:tc>
          <w:tcPr>
            <w:tcW w:w="1365" w:type="dxa"/>
            <w:shd w:val="clear" w:color="auto" w:fill="auto"/>
            <w:vAlign w:val="center"/>
          </w:tcPr>
          <w:p w14:paraId="5CDC602B" w14:textId="77777777" w:rsidR="002564DF" w:rsidRDefault="002564DF" w:rsidP="00B6088E">
            <w:pPr>
              <w:spacing w:line="240" w:lineRule="auto"/>
              <w:jc w:val="center"/>
            </w:pPr>
            <w:r>
              <w:t>56.00</w:t>
            </w:r>
          </w:p>
          <w:p w14:paraId="0D622D90" w14:textId="77777777" w:rsidR="002564DF" w:rsidRDefault="002564DF" w:rsidP="00B6088E">
            <w:pPr>
              <w:spacing w:line="240" w:lineRule="auto"/>
              <w:jc w:val="center"/>
            </w:pPr>
            <w:r>
              <w:t>(IQR: 46.54,61.88)</w:t>
            </w:r>
          </w:p>
        </w:tc>
        <w:tc>
          <w:tcPr>
            <w:tcW w:w="1065" w:type="dxa"/>
            <w:shd w:val="clear" w:color="auto" w:fill="auto"/>
            <w:vAlign w:val="center"/>
          </w:tcPr>
          <w:p w14:paraId="0A7A9BEC" w14:textId="77777777" w:rsidR="002564DF" w:rsidRDefault="002564DF" w:rsidP="00B6088E">
            <w:pPr>
              <w:spacing w:line="240" w:lineRule="auto"/>
              <w:jc w:val="center"/>
            </w:pPr>
            <w:r>
              <w:t>70.00</w:t>
            </w:r>
          </w:p>
          <w:p w14:paraId="1CBC5F77" w14:textId="77777777" w:rsidR="002564DF" w:rsidRDefault="002564DF" w:rsidP="00B6088E">
            <w:pPr>
              <w:spacing w:line="240" w:lineRule="auto"/>
              <w:jc w:val="center"/>
            </w:pPr>
            <w:r>
              <w:t>(IQR: 65.41,72.75)</w:t>
            </w:r>
          </w:p>
        </w:tc>
        <w:tc>
          <w:tcPr>
            <w:tcW w:w="1305" w:type="dxa"/>
            <w:shd w:val="clear" w:color="auto" w:fill="auto"/>
            <w:vAlign w:val="center"/>
          </w:tcPr>
          <w:p w14:paraId="01A70A96" w14:textId="77777777" w:rsidR="002564DF" w:rsidRDefault="002564DF" w:rsidP="00B6088E">
            <w:pPr>
              <w:spacing w:line="240" w:lineRule="auto"/>
              <w:jc w:val="center"/>
            </w:pPr>
            <w:r>
              <w:t>84.00</w:t>
            </w:r>
          </w:p>
          <w:p w14:paraId="004DD25F" w14:textId="77777777" w:rsidR="002564DF" w:rsidRDefault="002564DF" w:rsidP="00B6088E">
            <w:pPr>
              <w:spacing w:line="240" w:lineRule="auto"/>
              <w:jc w:val="center"/>
            </w:pPr>
            <w:r>
              <w:t>(IQR: 69.00,92.00)</w:t>
            </w:r>
          </w:p>
        </w:tc>
        <w:tc>
          <w:tcPr>
            <w:tcW w:w="1230" w:type="dxa"/>
            <w:shd w:val="clear" w:color="auto" w:fill="auto"/>
            <w:vAlign w:val="center"/>
          </w:tcPr>
          <w:p w14:paraId="448C2AA1" w14:textId="77777777" w:rsidR="002564DF" w:rsidRDefault="002564DF" w:rsidP="00B6088E">
            <w:pPr>
              <w:spacing w:line="240" w:lineRule="auto"/>
              <w:jc w:val="center"/>
            </w:pPr>
            <w:r>
              <w:t>51.00</w:t>
            </w:r>
          </w:p>
          <w:p w14:paraId="504C3698" w14:textId="77777777" w:rsidR="002564DF" w:rsidRDefault="002564DF" w:rsidP="00B6088E">
            <w:pPr>
              <w:spacing w:line="240" w:lineRule="auto"/>
              <w:jc w:val="center"/>
            </w:pPr>
            <w:r>
              <w:t>(IQR: 43.89,56.58)</w:t>
            </w:r>
          </w:p>
        </w:tc>
        <w:tc>
          <w:tcPr>
            <w:tcW w:w="1140" w:type="dxa"/>
            <w:shd w:val="clear" w:color="auto" w:fill="auto"/>
            <w:vAlign w:val="center"/>
          </w:tcPr>
          <w:p w14:paraId="16D739F7" w14:textId="77777777" w:rsidR="002564DF" w:rsidRDefault="002564DF" w:rsidP="00B6088E">
            <w:pPr>
              <w:spacing w:line="240" w:lineRule="auto"/>
              <w:jc w:val="center"/>
            </w:pPr>
            <w:r>
              <w:t>80.00</w:t>
            </w:r>
          </w:p>
          <w:p w14:paraId="59D77CEA" w14:textId="77777777" w:rsidR="002564DF" w:rsidRDefault="002564DF" w:rsidP="00B6088E">
            <w:pPr>
              <w:spacing w:line="240" w:lineRule="auto"/>
              <w:jc w:val="center"/>
            </w:pPr>
            <w:r>
              <w:t>(IQR: 75.92,82.30)</w:t>
            </w:r>
          </w:p>
        </w:tc>
        <w:tc>
          <w:tcPr>
            <w:tcW w:w="1187" w:type="dxa"/>
            <w:shd w:val="clear" w:color="auto" w:fill="auto"/>
            <w:vAlign w:val="center"/>
          </w:tcPr>
          <w:p w14:paraId="3AE00216" w14:textId="77777777" w:rsidR="002564DF" w:rsidRDefault="002564DF" w:rsidP="00B6088E">
            <w:pPr>
              <w:spacing w:line="240" w:lineRule="auto"/>
              <w:jc w:val="center"/>
            </w:pPr>
            <w:r>
              <w:t>66.20</w:t>
            </w:r>
          </w:p>
          <w:p w14:paraId="3EBCE11B" w14:textId="77777777" w:rsidR="002564DF" w:rsidRDefault="002564DF" w:rsidP="00B6088E">
            <w:pPr>
              <w:spacing w:line="240" w:lineRule="auto"/>
              <w:jc w:val="center"/>
            </w:pPr>
            <w:r>
              <w:t>(IQR: 51.00,77.10)</w:t>
            </w:r>
          </w:p>
        </w:tc>
      </w:tr>
      <w:tr w:rsidR="002564DF" w14:paraId="47F0CB44" w14:textId="77777777" w:rsidTr="00B6088E">
        <w:trPr>
          <w:trHeight w:val="1234"/>
          <w:jc w:val="center"/>
        </w:trPr>
        <w:tc>
          <w:tcPr>
            <w:tcW w:w="1005" w:type="dxa"/>
            <w:shd w:val="clear" w:color="auto" w:fill="auto"/>
            <w:vAlign w:val="center"/>
          </w:tcPr>
          <w:p w14:paraId="04F89442" w14:textId="77777777" w:rsidR="002564DF" w:rsidRDefault="002564DF" w:rsidP="00B6088E">
            <w:pPr>
              <w:spacing w:line="240" w:lineRule="auto"/>
              <w:jc w:val="center"/>
            </w:pPr>
            <w:r>
              <w:t>Delta</w:t>
            </w:r>
          </w:p>
        </w:tc>
        <w:tc>
          <w:tcPr>
            <w:tcW w:w="1365" w:type="dxa"/>
            <w:shd w:val="clear" w:color="auto" w:fill="auto"/>
            <w:vAlign w:val="center"/>
          </w:tcPr>
          <w:p w14:paraId="4F5C565B" w14:textId="77777777" w:rsidR="002564DF" w:rsidRDefault="002564DF" w:rsidP="00B6088E">
            <w:pPr>
              <w:spacing w:line="240" w:lineRule="auto"/>
              <w:jc w:val="center"/>
            </w:pPr>
            <w:r>
              <w:t>56.00</w:t>
            </w:r>
          </w:p>
          <w:p w14:paraId="2469CB9C" w14:textId="77777777" w:rsidR="002564DF" w:rsidRDefault="002564DF" w:rsidP="00B6088E">
            <w:pPr>
              <w:spacing w:line="240" w:lineRule="auto"/>
              <w:jc w:val="center"/>
            </w:pPr>
            <w:r>
              <w:t>(IQR: 46.54,61.88)</w:t>
            </w:r>
          </w:p>
        </w:tc>
        <w:tc>
          <w:tcPr>
            <w:tcW w:w="1065" w:type="dxa"/>
            <w:shd w:val="clear" w:color="auto" w:fill="auto"/>
            <w:vAlign w:val="center"/>
          </w:tcPr>
          <w:p w14:paraId="09B4DE64" w14:textId="77777777" w:rsidR="002564DF" w:rsidRDefault="002564DF" w:rsidP="00B6088E">
            <w:pPr>
              <w:spacing w:line="240" w:lineRule="auto"/>
              <w:jc w:val="center"/>
            </w:pPr>
            <w:r>
              <w:t>70.00</w:t>
            </w:r>
          </w:p>
          <w:p w14:paraId="7AC45713" w14:textId="77777777" w:rsidR="002564DF" w:rsidRDefault="002564DF" w:rsidP="00B6088E">
            <w:pPr>
              <w:spacing w:line="240" w:lineRule="auto"/>
              <w:jc w:val="center"/>
            </w:pPr>
            <w:r>
              <w:t>(IQR: 65.41,72.75)</w:t>
            </w:r>
          </w:p>
        </w:tc>
        <w:tc>
          <w:tcPr>
            <w:tcW w:w="1305" w:type="dxa"/>
            <w:shd w:val="clear" w:color="auto" w:fill="auto"/>
            <w:vAlign w:val="center"/>
          </w:tcPr>
          <w:p w14:paraId="594D6F4F" w14:textId="77777777" w:rsidR="002564DF" w:rsidRDefault="002564DF" w:rsidP="00B6088E">
            <w:pPr>
              <w:spacing w:line="240" w:lineRule="auto"/>
              <w:jc w:val="center"/>
            </w:pPr>
            <w:r>
              <w:t>88.00</w:t>
            </w:r>
          </w:p>
          <w:p w14:paraId="0AB409D6" w14:textId="77777777" w:rsidR="002564DF" w:rsidRDefault="002564DF" w:rsidP="00B6088E">
            <w:pPr>
              <w:spacing w:line="240" w:lineRule="auto"/>
              <w:jc w:val="center"/>
            </w:pPr>
            <w:r>
              <w:t>(IQR: 85.30,90.10)</w:t>
            </w:r>
          </w:p>
        </w:tc>
        <w:tc>
          <w:tcPr>
            <w:tcW w:w="1230" w:type="dxa"/>
            <w:shd w:val="clear" w:color="auto" w:fill="auto"/>
            <w:vAlign w:val="center"/>
          </w:tcPr>
          <w:p w14:paraId="37EA0BF1" w14:textId="77777777" w:rsidR="002564DF" w:rsidRDefault="002564DF" w:rsidP="00B6088E">
            <w:pPr>
              <w:spacing w:line="240" w:lineRule="auto"/>
              <w:jc w:val="center"/>
            </w:pPr>
            <w:r>
              <w:t>60.00</w:t>
            </w:r>
          </w:p>
          <w:p w14:paraId="28D8F50B" w14:textId="77777777" w:rsidR="002564DF" w:rsidRDefault="002564DF" w:rsidP="00B6088E">
            <w:pPr>
              <w:spacing w:line="240" w:lineRule="auto"/>
              <w:jc w:val="center"/>
            </w:pPr>
            <w:r>
              <w:t>(IQR: 53.00,66.00)</w:t>
            </w:r>
          </w:p>
        </w:tc>
        <w:tc>
          <w:tcPr>
            <w:tcW w:w="1140" w:type="dxa"/>
            <w:shd w:val="clear" w:color="auto" w:fill="auto"/>
            <w:vAlign w:val="center"/>
          </w:tcPr>
          <w:p w14:paraId="263D6E54" w14:textId="77777777" w:rsidR="002564DF" w:rsidRDefault="002564DF" w:rsidP="00B6088E">
            <w:pPr>
              <w:spacing w:line="240" w:lineRule="auto"/>
              <w:jc w:val="center"/>
            </w:pPr>
            <w:r>
              <w:t>80.00</w:t>
            </w:r>
          </w:p>
          <w:p w14:paraId="1DBE635C" w14:textId="77777777" w:rsidR="002564DF" w:rsidRDefault="002564DF" w:rsidP="00B6088E">
            <w:pPr>
              <w:spacing w:line="240" w:lineRule="auto"/>
              <w:jc w:val="center"/>
            </w:pPr>
            <w:r>
              <w:t>(IQR: 75.92,82.30)</w:t>
            </w:r>
          </w:p>
        </w:tc>
        <w:tc>
          <w:tcPr>
            <w:tcW w:w="1187" w:type="dxa"/>
            <w:shd w:val="clear" w:color="auto" w:fill="auto"/>
            <w:vAlign w:val="center"/>
          </w:tcPr>
          <w:p w14:paraId="2BF687E8" w14:textId="77777777" w:rsidR="002564DF" w:rsidRDefault="002564DF" w:rsidP="00B6088E">
            <w:pPr>
              <w:spacing w:line="240" w:lineRule="auto"/>
              <w:jc w:val="center"/>
            </w:pPr>
            <w:r>
              <w:t>56.00</w:t>
            </w:r>
          </w:p>
          <w:p w14:paraId="2BC88DB3" w14:textId="77777777" w:rsidR="002564DF" w:rsidRDefault="002564DF" w:rsidP="00B6088E">
            <w:pPr>
              <w:spacing w:line="240" w:lineRule="auto"/>
              <w:jc w:val="center"/>
            </w:pPr>
            <w:r>
              <w:t>(IQR: 49.47,61.44)</w:t>
            </w:r>
          </w:p>
        </w:tc>
      </w:tr>
      <w:tr w:rsidR="002564DF" w14:paraId="671CD6A5" w14:textId="77777777" w:rsidTr="00B6088E">
        <w:trPr>
          <w:trHeight w:val="1234"/>
          <w:jc w:val="center"/>
        </w:trPr>
        <w:tc>
          <w:tcPr>
            <w:tcW w:w="1005" w:type="dxa"/>
            <w:shd w:val="clear" w:color="auto" w:fill="auto"/>
            <w:vAlign w:val="center"/>
          </w:tcPr>
          <w:p w14:paraId="7BB2D53A" w14:textId="77777777" w:rsidR="002564DF" w:rsidRDefault="002564DF" w:rsidP="00B6088E">
            <w:pPr>
              <w:spacing w:line="240" w:lineRule="auto"/>
              <w:jc w:val="center"/>
            </w:pPr>
            <w:r>
              <w:t>Eta</w:t>
            </w:r>
          </w:p>
        </w:tc>
        <w:tc>
          <w:tcPr>
            <w:tcW w:w="1365" w:type="dxa"/>
            <w:shd w:val="clear" w:color="auto" w:fill="auto"/>
            <w:vAlign w:val="center"/>
          </w:tcPr>
          <w:p w14:paraId="16AB16FF" w14:textId="77777777" w:rsidR="002564DF" w:rsidRDefault="002564DF" w:rsidP="00B6088E">
            <w:pPr>
              <w:spacing w:line="240" w:lineRule="auto"/>
              <w:jc w:val="center"/>
            </w:pPr>
            <w:r>
              <w:t>56.00*</w:t>
            </w:r>
          </w:p>
          <w:p w14:paraId="3C9DF11B" w14:textId="77777777" w:rsidR="002564DF" w:rsidRDefault="002564DF" w:rsidP="00B6088E">
            <w:pPr>
              <w:spacing w:line="240" w:lineRule="auto"/>
              <w:jc w:val="center"/>
            </w:pPr>
            <w:r>
              <w:t>(IQR: 46.54,61.88)</w:t>
            </w:r>
          </w:p>
        </w:tc>
        <w:tc>
          <w:tcPr>
            <w:tcW w:w="1065" w:type="dxa"/>
            <w:shd w:val="clear" w:color="auto" w:fill="auto"/>
            <w:vAlign w:val="center"/>
          </w:tcPr>
          <w:p w14:paraId="123762B1" w14:textId="77777777" w:rsidR="002564DF" w:rsidRDefault="002564DF" w:rsidP="00B6088E">
            <w:pPr>
              <w:spacing w:line="240" w:lineRule="auto"/>
              <w:jc w:val="center"/>
            </w:pPr>
            <w:r>
              <w:t>70.00*</w:t>
            </w:r>
          </w:p>
          <w:p w14:paraId="71D1D785" w14:textId="77777777" w:rsidR="002564DF" w:rsidRDefault="002564DF" w:rsidP="00B6088E">
            <w:pPr>
              <w:spacing w:line="240" w:lineRule="auto"/>
              <w:jc w:val="center"/>
            </w:pPr>
            <w:r>
              <w:t>(IQR: 65.41,72.75)</w:t>
            </w:r>
          </w:p>
        </w:tc>
        <w:tc>
          <w:tcPr>
            <w:tcW w:w="1305" w:type="dxa"/>
            <w:shd w:val="clear" w:color="auto" w:fill="auto"/>
            <w:vAlign w:val="center"/>
          </w:tcPr>
          <w:p w14:paraId="1A460480" w14:textId="77777777" w:rsidR="002564DF" w:rsidRDefault="002564DF" w:rsidP="00B6088E">
            <w:pPr>
              <w:spacing w:line="240" w:lineRule="auto"/>
              <w:jc w:val="center"/>
            </w:pPr>
            <w:r>
              <w:t>88.00*</w:t>
            </w:r>
          </w:p>
          <w:p w14:paraId="0B276DA8" w14:textId="77777777" w:rsidR="002564DF" w:rsidRDefault="002564DF" w:rsidP="00B6088E">
            <w:pPr>
              <w:spacing w:line="240" w:lineRule="auto"/>
              <w:jc w:val="center"/>
            </w:pPr>
            <w:r>
              <w:t>(IQR: 85.30,90.10)</w:t>
            </w:r>
          </w:p>
        </w:tc>
        <w:tc>
          <w:tcPr>
            <w:tcW w:w="1230" w:type="dxa"/>
            <w:shd w:val="clear" w:color="auto" w:fill="auto"/>
            <w:vAlign w:val="center"/>
          </w:tcPr>
          <w:p w14:paraId="02A680A1" w14:textId="77777777" w:rsidR="002564DF" w:rsidRDefault="002564DF" w:rsidP="00B6088E">
            <w:pPr>
              <w:spacing w:line="240" w:lineRule="auto"/>
              <w:jc w:val="center"/>
            </w:pPr>
            <w:r>
              <w:t>60.00*</w:t>
            </w:r>
          </w:p>
          <w:p w14:paraId="48A1559D" w14:textId="77777777" w:rsidR="002564DF" w:rsidRDefault="002564DF" w:rsidP="00B6088E">
            <w:pPr>
              <w:spacing w:line="240" w:lineRule="auto"/>
              <w:jc w:val="center"/>
            </w:pPr>
            <w:r>
              <w:t>(IQR: 53.00,66.00)</w:t>
            </w:r>
          </w:p>
        </w:tc>
        <w:tc>
          <w:tcPr>
            <w:tcW w:w="1140" w:type="dxa"/>
            <w:shd w:val="clear" w:color="auto" w:fill="auto"/>
            <w:vAlign w:val="center"/>
          </w:tcPr>
          <w:p w14:paraId="705E398F" w14:textId="77777777" w:rsidR="002564DF" w:rsidRDefault="002564DF" w:rsidP="00B6088E">
            <w:pPr>
              <w:spacing w:line="240" w:lineRule="auto"/>
              <w:jc w:val="center"/>
            </w:pPr>
            <w:r>
              <w:t>80.00*</w:t>
            </w:r>
          </w:p>
          <w:p w14:paraId="69D30567" w14:textId="77777777" w:rsidR="002564DF" w:rsidRDefault="002564DF" w:rsidP="00B6088E">
            <w:pPr>
              <w:spacing w:line="240" w:lineRule="auto"/>
              <w:jc w:val="center"/>
            </w:pPr>
            <w:r>
              <w:t>(IQR: 75.92,82.30)</w:t>
            </w:r>
          </w:p>
        </w:tc>
        <w:tc>
          <w:tcPr>
            <w:tcW w:w="1187" w:type="dxa"/>
            <w:shd w:val="clear" w:color="auto" w:fill="auto"/>
            <w:vAlign w:val="center"/>
          </w:tcPr>
          <w:p w14:paraId="5F833455" w14:textId="77777777" w:rsidR="002564DF" w:rsidRDefault="002564DF" w:rsidP="00B6088E">
            <w:pPr>
              <w:spacing w:line="240" w:lineRule="auto"/>
              <w:jc w:val="center"/>
            </w:pPr>
            <w:r>
              <w:t>56.00*</w:t>
            </w:r>
          </w:p>
          <w:p w14:paraId="477B7AA5" w14:textId="77777777" w:rsidR="002564DF" w:rsidRDefault="002564DF" w:rsidP="00B6088E">
            <w:pPr>
              <w:spacing w:line="240" w:lineRule="auto"/>
              <w:jc w:val="center"/>
            </w:pPr>
            <w:r>
              <w:t>(IQR: 49.47,61.44)</w:t>
            </w:r>
          </w:p>
        </w:tc>
      </w:tr>
      <w:tr w:rsidR="002564DF" w14:paraId="5D5BFBCD" w14:textId="77777777" w:rsidTr="00B6088E">
        <w:trPr>
          <w:trHeight w:val="1234"/>
          <w:jc w:val="center"/>
        </w:trPr>
        <w:tc>
          <w:tcPr>
            <w:tcW w:w="1005" w:type="dxa"/>
            <w:shd w:val="clear" w:color="auto" w:fill="auto"/>
            <w:vAlign w:val="center"/>
          </w:tcPr>
          <w:p w14:paraId="58635573" w14:textId="77777777" w:rsidR="002564DF" w:rsidRDefault="002564DF" w:rsidP="00B6088E">
            <w:pPr>
              <w:spacing w:line="240" w:lineRule="auto"/>
              <w:jc w:val="center"/>
            </w:pPr>
            <w:r>
              <w:t>Kappa</w:t>
            </w:r>
          </w:p>
        </w:tc>
        <w:tc>
          <w:tcPr>
            <w:tcW w:w="1365" w:type="dxa"/>
            <w:shd w:val="clear" w:color="auto" w:fill="auto"/>
            <w:vAlign w:val="center"/>
          </w:tcPr>
          <w:p w14:paraId="75D210FD" w14:textId="77777777" w:rsidR="002564DF" w:rsidRDefault="002564DF" w:rsidP="00B6088E">
            <w:pPr>
              <w:spacing w:line="240" w:lineRule="auto"/>
              <w:jc w:val="center"/>
            </w:pPr>
            <w:r>
              <w:t>56.00*</w:t>
            </w:r>
          </w:p>
          <w:p w14:paraId="16E2AF8D" w14:textId="77777777" w:rsidR="002564DF" w:rsidRDefault="002564DF" w:rsidP="00B6088E">
            <w:pPr>
              <w:spacing w:line="240" w:lineRule="auto"/>
              <w:jc w:val="center"/>
            </w:pPr>
            <w:r>
              <w:t>(IQR: 46.54,61.88)</w:t>
            </w:r>
          </w:p>
        </w:tc>
        <w:tc>
          <w:tcPr>
            <w:tcW w:w="1065" w:type="dxa"/>
            <w:shd w:val="clear" w:color="auto" w:fill="auto"/>
            <w:vAlign w:val="center"/>
          </w:tcPr>
          <w:p w14:paraId="11756E98" w14:textId="77777777" w:rsidR="002564DF" w:rsidRDefault="002564DF" w:rsidP="00B6088E">
            <w:pPr>
              <w:spacing w:line="240" w:lineRule="auto"/>
              <w:jc w:val="center"/>
            </w:pPr>
            <w:r>
              <w:t>70.00*</w:t>
            </w:r>
          </w:p>
          <w:p w14:paraId="612083CD" w14:textId="77777777" w:rsidR="002564DF" w:rsidRDefault="002564DF" w:rsidP="00B6088E">
            <w:pPr>
              <w:spacing w:line="240" w:lineRule="auto"/>
              <w:jc w:val="center"/>
            </w:pPr>
            <w:r>
              <w:t>(IQR: 65.41,72.75)</w:t>
            </w:r>
          </w:p>
        </w:tc>
        <w:tc>
          <w:tcPr>
            <w:tcW w:w="1305" w:type="dxa"/>
            <w:shd w:val="clear" w:color="auto" w:fill="auto"/>
            <w:vAlign w:val="center"/>
          </w:tcPr>
          <w:p w14:paraId="376D2D5C" w14:textId="77777777" w:rsidR="002564DF" w:rsidRDefault="002564DF" w:rsidP="00B6088E">
            <w:pPr>
              <w:spacing w:line="240" w:lineRule="auto"/>
              <w:jc w:val="center"/>
            </w:pPr>
            <w:r>
              <w:t>87.90</w:t>
            </w:r>
          </w:p>
          <w:p w14:paraId="7271ECBF" w14:textId="77777777" w:rsidR="002564DF" w:rsidRDefault="002564DF" w:rsidP="00B6088E">
            <w:pPr>
              <w:spacing w:line="240" w:lineRule="auto"/>
              <w:jc w:val="center"/>
            </w:pPr>
            <w:r>
              <w:t>(IQR: 78.20,93.20)</w:t>
            </w:r>
          </w:p>
        </w:tc>
        <w:tc>
          <w:tcPr>
            <w:tcW w:w="1230" w:type="dxa"/>
            <w:shd w:val="clear" w:color="auto" w:fill="auto"/>
            <w:vAlign w:val="center"/>
          </w:tcPr>
          <w:p w14:paraId="179462C9" w14:textId="77777777" w:rsidR="002564DF" w:rsidRDefault="002564DF" w:rsidP="00B6088E">
            <w:pPr>
              <w:spacing w:line="240" w:lineRule="auto"/>
              <w:jc w:val="center"/>
            </w:pPr>
            <w:r>
              <w:t>59.80</w:t>
            </w:r>
          </w:p>
          <w:p w14:paraId="329E7530" w14:textId="77777777" w:rsidR="002564DF" w:rsidRDefault="002564DF" w:rsidP="00B6088E">
            <w:pPr>
              <w:spacing w:line="240" w:lineRule="auto"/>
              <w:jc w:val="center"/>
            </w:pPr>
            <w:r>
              <w:t>(IQR: 28.90,77.30)</w:t>
            </w:r>
          </w:p>
        </w:tc>
        <w:tc>
          <w:tcPr>
            <w:tcW w:w="1140" w:type="dxa"/>
            <w:shd w:val="clear" w:color="auto" w:fill="auto"/>
            <w:vAlign w:val="center"/>
          </w:tcPr>
          <w:p w14:paraId="040286D0" w14:textId="77777777" w:rsidR="002564DF" w:rsidRDefault="002564DF" w:rsidP="00B6088E">
            <w:pPr>
              <w:spacing w:line="240" w:lineRule="auto"/>
              <w:jc w:val="center"/>
            </w:pPr>
            <w:r>
              <w:t>80.00*</w:t>
            </w:r>
          </w:p>
          <w:p w14:paraId="6FFA7AE7" w14:textId="77777777" w:rsidR="002564DF" w:rsidRDefault="002564DF" w:rsidP="00B6088E">
            <w:pPr>
              <w:spacing w:line="240" w:lineRule="auto"/>
              <w:jc w:val="center"/>
            </w:pPr>
            <w:r>
              <w:t>(IQR: 75.92,82.30)</w:t>
            </w:r>
          </w:p>
        </w:tc>
        <w:tc>
          <w:tcPr>
            <w:tcW w:w="1187" w:type="dxa"/>
            <w:shd w:val="clear" w:color="auto" w:fill="auto"/>
            <w:vAlign w:val="center"/>
          </w:tcPr>
          <w:p w14:paraId="7749E999" w14:textId="77777777" w:rsidR="002564DF" w:rsidRDefault="002564DF" w:rsidP="00B6088E">
            <w:pPr>
              <w:spacing w:line="240" w:lineRule="auto"/>
              <w:jc w:val="center"/>
            </w:pPr>
            <w:r>
              <w:t>56.00*</w:t>
            </w:r>
          </w:p>
          <w:p w14:paraId="6993922F" w14:textId="77777777" w:rsidR="002564DF" w:rsidRDefault="002564DF" w:rsidP="00B6088E">
            <w:pPr>
              <w:spacing w:line="240" w:lineRule="auto"/>
              <w:jc w:val="center"/>
            </w:pPr>
            <w:r>
              <w:t>(IQR: 49.47,61.44)</w:t>
            </w:r>
          </w:p>
        </w:tc>
      </w:tr>
    </w:tbl>
    <w:p w14:paraId="2CD7C270" w14:textId="77777777" w:rsidR="002564DF" w:rsidRDefault="002564DF" w:rsidP="002564DF">
      <w:pPr>
        <w:jc w:val="left"/>
      </w:pPr>
    </w:p>
    <w:p w14:paraId="6C4B09CB" w14:textId="77777777" w:rsidR="002564DF" w:rsidRDefault="002564DF" w:rsidP="002564DF">
      <w:pPr>
        <w:spacing w:line="240" w:lineRule="auto"/>
        <w:jc w:val="center"/>
      </w:pPr>
      <w:r>
        <w:rPr>
          <w:noProof/>
        </w:rPr>
        <w:lastRenderedPageBreak/>
        <w:drawing>
          <wp:inline distT="114300" distB="114300" distL="114300" distR="114300" wp14:anchorId="5BADCD75" wp14:editId="35AFF784">
            <wp:extent cx="4997288" cy="2809875"/>
            <wp:effectExtent l="0" t="0" r="0" b="0"/>
            <wp:docPr id="7" name="image6.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6.png" descr="Chart, box and whisker chart&#10;&#10;Description automatically generated"/>
                    <pic:cNvPicPr preferRelativeResize="0"/>
                  </pic:nvPicPr>
                  <pic:blipFill>
                    <a:blip r:embed="rId25"/>
                    <a:srcRect/>
                    <a:stretch>
                      <a:fillRect/>
                    </a:stretch>
                  </pic:blipFill>
                  <pic:spPr>
                    <a:xfrm>
                      <a:off x="0" y="0"/>
                      <a:ext cx="4997288" cy="2809875"/>
                    </a:xfrm>
                    <a:prstGeom prst="rect">
                      <a:avLst/>
                    </a:prstGeom>
                    <a:ln/>
                  </pic:spPr>
                </pic:pic>
              </a:graphicData>
            </a:graphic>
          </wp:inline>
        </w:drawing>
      </w:r>
    </w:p>
    <w:p w14:paraId="0BD33535" w14:textId="1FE40960" w:rsidR="002564DF" w:rsidRDefault="002564DF" w:rsidP="004E2AA2">
      <w:pPr>
        <w:spacing w:line="276" w:lineRule="auto"/>
        <w:rPr>
          <w:rFonts w:hint="eastAsia"/>
        </w:rPr>
      </w:pPr>
      <w:r>
        <w:rPr>
          <w:b/>
        </w:rPr>
        <w:t>Fig. B6 The comparison between the default settings and the two scenarios described in this section regarding the effect of NPIs and vaccination.</w:t>
      </w:r>
    </w:p>
    <w:p w14:paraId="40ACEF8C" w14:textId="77777777" w:rsidR="002564DF" w:rsidRDefault="002564DF" w:rsidP="002564DF"/>
    <w:p w14:paraId="456E97AA" w14:textId="77777777" w:rsidR="002564DF" w:rsidRDefault="002564DF" w:rsidP="002564DF">
      <w:pPr>
        <w:pStyle w:val="Heading1"/>
        <w:spacing w:line="480" w:lineRule="auto"/>
      </w:pPr>
      <w:bookmarkStart w:id="22" w:name="_ackl9ysesmmm" w:colFirst="0" w:colLast="0"/>
      <w:bookmarkStart w:id="23" w:name="_Toc86071818"/>
      <w:bookmarkEnd w:id="22"/>
      <w:r>
        <w:lastRenderedPageBreak/>
        <w:t>C. Additional discussions</w:t>
      </w:r>
      <w:bookmarkEnd w:id="23"/>
    </w:p>
    <w:p w14:paraId="33C9FCA8" w14:textId="77777777" w:rsidR="00983FF1" w:rsidRDefault="002564DF" w:rsidP="00983FF1">
      <w:pPr>
        <w:pStyle w:val="Heading2"/>
        <w:spacing w:line="480" w:lineRule="auto"/>
      </w:pPr>
      <w:bookmarkStart w:id="24" w:name="_ckgqhdgzjxyz" w:colFirst="0" w:colLast="0"/>
      <w:bookmarkStart w:id="25" w:name="_Toc86071819"/>
      <w:bookmarkEnd w:id="24"/>
      <w:r>
        <w:t>C1. limitations of the reproduction number</w:t>
      </w:r>
      <w:bookmarkStart w:id="26" w:name="_yotdmfxqmz0n" w:colFirst="0" w:colLast="0"/>
      <w:bookmarkEnd w:id="26"/>
      <w:bookmarkEnd w:id="25"/>
    </w:p>
    <w:p w14:paraId="7F184EB3" w14:textId="592D5B54" w:rsidR="002564DF" w:rsidRPr="00983FF1" w:rsidRDefault="002564DF" w:rsidP="00CC1518">
      <w:pPr>
        <w:rPr>
          <w:rFonts w:hint="eastAsia"/>
          <w:b/>
        </w:rPr>
      </w:pPr>
      <w:r>
        <w:t xml:space="preserve">We used production number as an outcome variable to characterize the transmission trend of Covid-19. Here, we give an additional discussion on the limitation of using the production number.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can be calculated from many different mathematical models. Methods used to calculate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include the survival function, rearranging the largest eigenvalue of the Jacobian matrix, the next-generation method, calculations from the intrinsic growth rate</w:t>
      </w:r>
      <w:hyperlink w:anchor="_Reference">
        <w:r>
          <w:rPr>
            <w:color w:val="1155CC"/>
            <w:u w:val="single"/>
            <w:vertAlign w:val="superscript"/>
          </w:rPr>
          <w:t>18</w:t>
        </w:r>
      </w:hyperlink>
      <w:r>
        <w:t xml:space="preserve">, existence of the endemic equilibrium, the number of </w:t>
      </w:r>
      <w:r w:rsidR="000A75D1">
        <w:t>susceptible</w:t>
      </w:r>
      <w:r>
        <w:t xml:space="preserve"> at the endemic equilibrium, the average age of infection</w:t>
      </w:r>
      <w:hyperlink w:anchor="_Reference">
        <w:r>
          <w:rPr>
            <w:color w:val="1155CC"/>
            <w:u w:val="single"/>
            <w:vertAlign w:val="superscript"/>
          </w:rPr>
          <w:t>19</w:t>
        </w:r>
      </w:hyperlink>
      <w:r>
        <w:t xml:space="preserve"> and the final size equation. Few of these methods agree with one another, even when starting with the same system of differential equations. Even fewer </w:t>
      </w:r>
      <w:r w:rsidR="000A75D1">
        <w:t>calculate</w:t>
      </w:r>
      <w:r>
        <w:t xml:space="preserve"> the average number of secondary infections. Since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is rarely observed in the field and is usually calculated via a mathematical model, this severely limits its usefulness</w:t>
      </w:r>
      <w:hyperlink w:anchor="_Reference">
        <w:r>
          <w:rPr>
            <w:color w:val="1155CC"/>
            <w:u w:val="single"/>
            <w:vertAlign w:val="superscript"/>
          </w:rPr>
          <w:t>20</w:t>
        </w:r>
      </w:hyperlink>
      <w:r>
        <w:t xml:space="preserve">. Each of these methods can give a different estimate of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which needs to be interpreted in the context of that model. Therefore, the contagiousness of different infectious agents cannot be compared without recalculating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with invariant assumptions. That is the similar results cannot be compared if the involved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was calculated by different models. In addition,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values for past outbreaks might not be valid for current outbreaks of the same disease. Nonetheless, we estimated the instantaneous basic production number to represent the transmission variation over time, against variants and various settings.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can be used as a threshold, even if calculated with different methods: if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&lt;1</m:t>
        </m:r>
      </m:oMath>
      <w:r>
        <w:t xml:space="preserve">, the outbreak will die out, and if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&gt;1</m:t>
        </m:r>
      </m:oMath>
      <w:r>
        <w:t xml:space="preserve">, the outbreak will expand. In some cases, for some models, values of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&lt;</m:t>
        </m:r>
        <m:r>
          <w:rPr>
            <w:rFonts w:ascii="Cambria Math" w:hAnsi="Cambria Math"/>
          </w:rPr>
          <m:t>1</m:t>
        </m:r>
      </m:oMath>
      <w:r>
        <w:t xml:space="preserve"> can still lead to self-perpetuating outbreaks. This is particularly problematic if there are intermediate vectors between hosts, such as malaria</w:t>
      </w:r>
      <w:hyperlink w:anchor="_Reference">
        <w:r>
          <w:rPr>
            <w:color w:val="1155CC"/>
            <w:u w:val="single"/>
            <w:vertAlign w:val="superscript"/>
          </w:rPr>
          <w:t>21</w:t>
        </w:r>
      </w:hyperlink>
      <w:r>
        <w:t xml:space="preserve">. Therefore, the findings built upon </w:t>
      </w: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=1</m:t>
        </m:r>
      </m:oMath>
      <w:r>
        <w:t xml:space="preserve"> should be cautiously interpreted.</w:t>
      </w:r>
      <w:bookmarkStart w:id="27" w:name="_xhp192rorxhl" w:colFirst="0" w:colLast="0"/>
      <w:bookmarkEnd w:id="27"/>
    </w:p>
    <w:p w14:paraId="62903404" w14:textId="2A71FF2D" w:rsidR="002564DF" w:rsidRDefault="002564DF" w:rsidP="000A75D1">
      <w:pPr>
        <w:ind w:firstLine="420"/>
        <w:rPr>
          <w:b/>
        </w:rPr>
      </w:pPr>
      <w:bookmarkStart w:id="28" w:name="_8fzu69b4y7b" w:colFirst="0" w:colLast="0"/>
      <w:bookmarkEnd w:id="28"/>
      <w:r>
        <w:t xml:space="preserve">Although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cannot be modified through vaccination or other changes in population susceptibility, it can vary based on </w:t>
      </w:r>
      <w:r w:rsidR="000A75D1">
        <w:t>several</w:t>
      </w:r>
      <w:r>
        <w:t xml:space="preserve"> biological, socio-</w:t>
      </w:r>
      <w:r w:rsidR="000A75D1">
        <w:t>behavioural</w:t>
      </w:r>
      <w:r>
        <w:t>, and environmental factors</w:t>
      </w:r>
      <w:hyperlink w:anchor="_Reference">
        <w:r>
          <w:rPr>
            <w:color w:val="1155CC"/>
            <w:u w:val="single"/>
            <w:vertAlign w:val="superscript"/>
          </w:rPr>
          <w:t>22</w:t>
        </w:r>
      </w:hyperlink>
      <w:r>
        <w:t xml:space="preserve">. It can also be modified by physical distancing and other public policy or social interventions, although some historical definitions exclude any deliberate intervention in reducing disease transmission, including non-pharmacological interventions. And indeed, whether non-pharmacological interventions are included in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often depends on the paper, disease, and what if any intervention is being studied. This creates some confusion, because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is not a </w:t>
      </w:r>
      <w:r w:rsidR="000E2274">
        <w:t>constant,</w:t>
      </w:r>
      <w:r>
        <w:t xml:space="preserve"> whereas most mathematical parameters with "nought" subscripts are constants. In our study, we used the </w:t>
      </w:r>
      <m:oMath>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estimated in the initial outbreak to represent the approximate transmissibility without interventions. </w:t>
      </w:r>
    </w:p>
    <w:p w14:paraId="51287B8F" w14:textId="77777777" w:rsidR="002564DF" w:rsidRDefault="002564DF" w:rsidP="002564DF">
      <w:pPr>
        <w:rPr>
          <w:b/>
        </w:rPr>
      </w:pPr>
    </w:p>
    <w:p w14:paraId="1918EB54" w14:textId="77777777" w:rsidR="002564DF" w:rsidRDefault="002564DF" w:rsidP="002564DF">
      <w:pPr>
        <w:pStyle w:val="Heading2"/>
        <w:spacing w:line="480" w:lineRule="auto"/>
      </w:pPr>
      <w:bookmarkStart w:id="29" w:name="_ekuvjcamsmgs" w:colFirst="0" w:colLast="0"/>
      <w:bookmarkStart w:id="30" w:name="_Toc86071820"/>
      <w:bookmarkEnd w:id="29"/>
      <w:r>
        <w:t>C2. Using stringency index of NPIs</w:t>
      </w:r>
      <w:bookmarkEnd w:id="30"/>
    </w:p>
    <w:p w14:paraId="6C08A8D7" w14:textId="1E534CA3" w:rsidR="002564DF" w:rsidRDefault="002564DF" w:rsidP="002564DF">
      <w:r>
        <w:t xml:space="preserve">Of note, we used the stringency index to represent the government response level in terms of ordinal containment, closure policy and public information campaigns, which is calculated by the strictness of ‘lockdown style’ policies that primarily restrict people’s behaviour including school closures, workplace closures, and travel bans. As heterogeneous countries may enact different packages of NPIs and the same intervention may also be implemented in different ways across </w:t>
      </w:r>
      <w:r w:rsidR="000E2274">
        <w:t>neighbouring</w:t>
      </w:r>
      <w:r>
        <w:t xml:space="preserve"> countries</w:t>
      </w:r>
      <w:hyperlink w:anchor="_Reference">
        <w:r>
          <w:rPr>
            <w:color w:val="1155CC"/>
            <w:u w:val="single"/>
            <w:vertAlign w:val="superscript"/>
          </w:rPr>
          <w:t>23</w:t>
        </w:r>
      </w:hyperlink>
      <w:r>
        <w:t xml:space="preserve">, it is hard to find out the standard effect of NPIs applicable in all countries. In contrast, we used the relative common concept of the response level against Covid-19 transmission. For the same strength of the response, different countries are allowed to deploy NPIs with different combinations. </w:t>
      </w:r>
      <w:proofErr w:type="spellStart"/>
      <w:r>
        <w:t>Haug</w:t>
      </w:r>
      <w:proofErr w:type="spellEnd"/>
      <w:r>
        <w:t xml:space="preserve"> et al.</w:t>
      </w:r>
      <w:hyperlink w:anchor="_Reference">
        <w:r>
          <w:rPr>
            <w:color w:val="1155CC"/>
            <w:u w:val="single"/>
            <w:vertAlign w:val="superscript"/>
          </w:rPr>
          <w:t>24</w:t>
        </w:r>
      </w:hyperlink>
      <w:r>
        <w:t xml:space="preserve"> documented that less disruptive and costly NPIs can be as effective as more intrusive, drastic ones (for example, a national lockdown) in March–April 2020, thus a suitable combination of NPIs is </w:t>
      </w:r>
      <w:r>
        <w:lastRenderedPageBreak/>
        <w:t xml:space="preserve">necessary to curb the spread of the virus. In fact, strong associations between </w:t>
      </w:r>
      <w:proofErr w:type="spellStart"/>
      <w:r>
        <w:t>OxCGRT</w:t>
      </w:r>
      <w:proofErr w:type="spellEnd"/>
      <w:r>
        <w:t xml:space="preserve"> stringency index and measures of mobility behaviour have been evidenced</w:t>
      </w:r>
      <w:hyperlink w:anchor="_Reference">
        <w:r>
          <w:rPr>
            <w:color w:val="1155CC"/>
            <w:u w:val="single"/>
            <w:vertAlign w:val="superscript"/>
          </w:rPr>
          <w:t>25</w:t>
        </w:r>
      </w:hyperlink>
      <w:r>
        <w:t>. Despite the effectiveness of individual NPIs cannot be estimated in this way, our study still provided insights on the response level that each country should have, to stop Covid-19 under different vaccination progress.</w:t>
      </w:r>
    </w:p>
    <w:p w14:paraId="23422A35" w14:textId="77777777" w:rsidR="002564DF" w:rsidRDefault="002564DF" w:rsidP="002564DF"/>
    <w:p w14:paraId="3C59EE86" w14:textId="77777777" w:rsidR="002564DF" w:rsidRDefault="002564DF" w:rsidP="002564DF">
      <w:pPr>
        <w:pStyle w:val="Heading1"/>
      </w:pPr>
      <w:bookmarkStart w:id="31" w:name="_oou88tky4r39" w:colFirst="0" w:colLast="0"/>
      <w:bookmarkStart w:id="32" w:name="_Reference"/>
      <w:bookmarkStart w:id="33" w:name="_Toc86071821"/>
      <w:bookmarkEnd w:id="31"/>
      <w:bookmarkEnd w:id="32"/>
      <w:r>
        <w:t>Reference</w:t>
      </w:r>
      <w:bookmarkEnd w:id="33"/>
    </w:p>
    <w:p w14:paraId="61205827" w14:textId="77777777" w:rsidR="002564DF" w:rsidRPr="000E2274" w:rsidRDefault="002564DF" w:rsidP="002564DF">
      <w:pPr>
        <w:numPr>
          <w:ilvl w:val="0"/>
          <w:numId w:val="1"/>
        </w:numPr>
        <w:spacing w:line="240" w:lineRule="auto"/>
        <w:rPr>
          <w:color w:val="000000" w:themeColor="text1"/>
          <w:highlight w:val="white"/>
        </w:rPr>
      </w:pPr>
      <w:r w:rsidRPr="000E2274">
        <w:rPr>
          <w:color w:val="000000" w:themeColor="text1"/>
          <w:highlight w:val="white"/>
        </w:rPr>
        <w:t xml:space="preserve">Fraser, C., Donnelly, C.A., </w:t>
      </w:r>
      <w:proofErr w:type="spellStart"/>
      <w:r w:rsidRPr="000E2274">
        <w:rPr>
          <w:color w:val="000000" w:themeColor="text1"/>
          <w:highlight w:val="white"/>
        </w:rPr>
        <w:t>Cauchemez</w:t>
      </w:r>
      <w:proofErr w:type="spellEnd"/>
      <w:r w:rsidRPr="000E2274">
        <w:rPr>
          <w:color w:val="000000" w:themeColor="text1"/>
          <w:highlight w:val="white"/>
        </w:rPr>
        <w:t xml:space="preserve">, S., </w:t>
      </w:r>
      <w:proofErr w:type="spellStart"/>
      <w:r w:rsidRPr="000E2274">
        <w:rPr>
          <w:color w:val="000000" w:themeColor="text1"/>
          <w:highlight w:val="white"/>
        </w:rPr>
        <w:t>Hanage</w:t>
      </w:r>
      <w:proofErr w:type="spellEnd"/>
      <w:r w:rsidRPr="000E2274">
        <w:rPr>
          <w:color w:val="000000" w:themeColor="text1"/>
          <w:highlight w:val="white"/>
        </w:rPr>
        <w:t xml:space="preserve">, W.P., Van </w:t>
      </w:r>
      <w:proofErr w:type="spellStart"/>
      <w:r w:rsidRPr="000E2274">
        <w:rPr>
          <w:color w:val="000000" w:themeColor="text1"/>
          <w:highlight w:val="white"/>
        </w:rPr>
        <w:t>Kerkhove</w:t>
      </w:r>
      <w:proofErr w:type="spellEnd"/>
      <w:r w:rsidRPr="000E2274">
        <w:rPr>
          <w:color w:val="000000" w:themeColor="text1"/>
          <w:highlight w:val="white"/>
        </w:rPr>
        <w:t xml:space="preserve">, M.D., Hollingsworth, T.D., Griffin, J., </w:t>
      </w:r>
      <w:proofErr w:type="spellStart"/>
      <w:r w:rsidRPr="000E2274">
        <w:rPr>
          <w:color w:val="000000" w:themeColor="text1"/>
          <w:highlight w:val="white"/>
        </w:rPr>
        <w:t>Baggaley</w:t>
      </w:r>
      <w:proofErr w:type="spellEnd"/>
      <w:r w:rsidRPr="000E2274">
        <w:rPr>
          <w:color w:val="000000" w:themeColor="text1"/>
          <w:highlight w:val="white"/>
        </w:rPr>
        <w:t xml:space="preserve">, R.F., Jenkins, H.E., Lyons, E.J. and </w:t>
      </w:r>
      <w:proofErr w:type="spellStart"/>
      <w:r w:rsidRPr="000E2274">
        <w:rPr>
          <w:color w:val="000000" w:themeColor="text1"/>
          <w:highlight w:val="white"/>
        </w:rPr>
        <w:t>Jombart</w:t>
      </w:r>
      <w:proofErr w:type="spellEnd"/>
      <w:r w:rsidRPr="000E2274">
        <w:rPr>
          <w:color w:val="000000" w:themeColor="text1"/>
          <w:highlight w:val="white"/>
        </w:rPr>
        <w:t>, T., 2009. Pandemic potential of a strain of influenza A (H1N1): early findings. science, 324(5934), pp.1557-1561.</w:t>
      </w:r>
    </w:p>
    <w:p w14:paraId="30E2C954" w14:textId="77777777" w:rsidR="002564DF" w:rsidRPr="000E2274" w:rsidRDefault="002564DF" w:rsidP="002564DF">
      <w:pPr>
        <w:numPr>
          <w:ilvl w:val="0"/>
          <w:numId w:val="1"/>
        </w:numPr>
        <w:spacing w:line="240" w:lineRule="auto"/>
        <w:rPr>
          <w:color w:val="000000" w:themeColor="text1"/>
          <w:highlight w:val="white"/>
        </w:rPr>
      </w:pPr>
      <w:r w:rsidRPr="000E2274">
        <w:rPr>
          <w:color w:val="000000" w:themeColor="text1"/>
          <w:highlight w:val="white"/>
        </w:rPr>
        <w:t xml:space="preserve">Bernal, J.L., Andrews, N., Gower, C., Gallagher, E., Simmons, R., </w:t>
      </w:r>
      <w:proofErr w:type="spellStart"/>
      <w:r w:rsidRPr="000E2274">
        <w:rPr>
          <w:color w:val="000000" w:themeColor="text1"/>
          <w:highlight w:val="white"/>
        </w:rPr>
        <w:t>Thelwall</w:t>
      </w:r>
      <w:proofErr w:type="spellEnd"/>
      <w:r w:rsidRPr="000E2274">
        <w:rPr>
          <w:color w:val="000000" w:themeColor="text1"/>
          <w:highlight w:val="white"/>
        </w:rPr>
        <w:t xml:space="preserve">, S., Stowe, J., Tessier, E., Groves, N., </w:t>
      </w:r>
      <w:proofErr w:type="spellStart"/>
      <w:r w:rsidRPr="000E2274">
        <w:rPr>
          <w:color w:val="000000" w:themeColor="text1"/>
          <w:highlight w:val="white"/>
        </w:rPr>
        <w:t>Dabrera</w:t>
      </w:r>
      <w:proofErr w:type="spellEnd"/>
      <w:r w:rsidRPr="000E2274">
        <w:rPr>
          <w:color w:val="000000" w:themeColor="text1"/>
          <w:highlight w:val="white"/>
        </w:rPr>
        <w:t xml:space="preserve">, G. and Myers, R., 2021. Effectiveness of Covid-19 vaccines against the B. 1.617. 2 (delta) </w:t>
      </w:r>
      <w:proofErr w:type="gramStart"/>
      <w:r w:rsidRPr="000E2274">
        <w:rPr>
          <w:color w:val="000000" w:themeColor="text1"/>
          <w:highlight w:val="white"/>
        </w:rPr>
        <w:t>variant</w:t>
      </w:r>
      <w:proofErr w:type="gramEnd"/>
      <w:r w:rsidRPr="000E2274">
        <w:rPr>
          <w:color w:val="000000" w:themeColor="text1"/>
          <w:highlight w:val="white"/>
        </w:rPr>
        <w:t>. New England Journal of Medicine.</w:t>
      </w:r>
    </w:p>
    <w:p w14:paraId="07526A58" w14:textId="77777777" w:rsidR="002564DF" w:rsidRPr="000E2274" w:rsidRDefault="002564DF" w:rsidP="002564DF">
      <w:pPr>
        <w:numPr>
          <w:ilvl w:val="0"/>
          <w:numId w:val="1"/>
        </w:numPr>
        <w:spacing w:line="240" w:lineRule="auto"/>
        <w:rPr>
          <w:color w:val="000000" w:themeColor="text1"/>
          <w:highlight w:val="white"/>
        </w:rPr>
      </w:pPr>
      <w:r w:rsidRPr="000E2274">
        <w:rPr>
          <w:rFonts w:eastAsia="Arial"/>
          <w:color w:val="000000" w:themeColor="text1"/>
          <w:highlight w:val="white"/>
        </w:rPr>
        <w:t xml:space="preserve">Shinde, V., </w:t>
      </w:r>
      <w:proofErr w:type="spellStart"/>
      <w:r w:rsidRPr="000E2274">
        <w:rPr>
          <w:rFonts w:eastAsia="Arial"/>
          <w:color w:val="000000" w:themeColor="text1"/>
          <w:highlight w:val="white"/>
        </w:rPr>
        <w:t>Bhikha</w:t>
      </w:r>
      <w:proofErr w:type="spellEnd"/>
      <w:r w:rsidRPr="000E2274">
        <w:rPr>
          <w:rFonts w:eastAsia="Arial"/>
          <w:color w:val="000000" w:themeColor="text1"/>
          <w:highlight w:val="white"/>
        </w:rPr>
        <w:t xml:space="preserve">, S., </w:t>
      </w:r>
      <w:proofErr w:type="spellStart"/>
      <w:r w:rsidRPr="000E2274">
        <w:rPr>
          <w:rFonts w:eastAsia="Arial"/>
          <w:color w:val="000000" w:themeColor="text1"/>
          <w:highlight w:val="white"/>
        </w:rPr>
        <w:t>Hoosain</w:t>
      </w:r>
      <w:proofErr w:type="spellEnd"/>
      <w:r w:rsidRPr="000E2274">
        <w:rPr>
          <w:rFonts w:eastAsia="Arial"/>
          <w:color w:val="000000" w:themeColor="text1"/>
          <w:highlight w:val="white"/>
        </w:rPr>
        <w:t xml:space="preserve">, Z., </w:t>
      </w:r>
      <w:proofErr w:type="spellStart"/>
      <w:r w:rsidRPr="000E2274">
        <w:rPr>
          <w:rFonts w:eastAsia="Arial"/>
          <w:color w:val="000000" w:themeColor="text1"/>
          <w:highlight w:val="white"/>
        </w:rPr>
        <w:t>Archary</w:t>
      </w:r>
      <w:proofErr w:type="spellEnd"/>
      <w:r w:rsidRPr="000E2274">
        <w:rPr>
          <w:rFonts w:eastAsia="Arial"/>
          <w:color w:val="000000" w:themeColor="text1"/>
          <w:highlight w:val="white"/>
        </w:rPr>
        <w:t xml:space="preserve">, M., </w:t>
      </w:r>
      <w:proofErr w:type="spellStart"/>
      <w:r w:rsidRPr="000E2274">
        <w:rPr>
          <w:rFonts w:eastAsia="Arial"/>
          <w:color w:val="000000" w:themeColor="text1"/>
          <w:highlight w:val="white"/>
        </w:rPr>
        <w:t>Bhorat</w:t>
      </w:r>
      <w:proofErr w:type="spellEnd"/>
      <w:r w:rsidRPr="000E2274">
        <w:rPr>
          <w:rFonts w:eastAsia="Arial"/>
          <w:color w:val="000000" w:themeColor="text1"/>
          <w:highlight w:val="white"/>
        </w:rPr>
        <w:t xml:space="preserve">, Q., </w:t>
      </w:r>
      <w:proofErr w:type="spellStart"/>
      <w:r w:rsidRPr="000E2274">
        <w:rPr>
          <w:rFonts w:eastAsia="Arial"/>
          <w:color w:val="000000" w:themeColor="text1"/>
          <w:highlight w:val="white"/>
        </w:rPr>
        <w:t>Fairlie</w:t>
      </w:r>
      <w:proofErr w:type="spellEnd"/>
      <w:r w:rsidRPr="000E2274">
        <w:rPr>
          <w:rFonts w:eastAsia="Arial"/>
          <w:color w:val="000000" w:themeColor="text1"/>
          <w:highlight w:val="white"/>
        </w:rPr>
        <w:t xml:space="preserve">, L., </w:t>
      </w:r>
      <w:proofErr w:type="spellStart"/>
      <w:r w:rsidRPr="000E2274">
        <w:rPr>
          <w:rFonts w:eastAsia="Arial"/>
          <w:color w:val="000000" w:themeColor="text1"/>
          <w:highlight w:val="white"/>
        </w:rPr>
        <w:t>Lalloo</w:t>
      </w:r>
      <w:proofErr w:type="spellEnd"/>
      <w:r w:rsidRPr="000E2274">
        <w:rPr>
          <w:rFonts w:eastAsia="Arial"/>
          <w:color w:val="000000" w:themeColor="text1"/>
          <w:highlight w:val="white"/>
        </w:rPr>
        <w:t xml:space="preserve">, U., </w:t>
      </w:r>
      <w:proofErr w:type="spellStart"/>
      <w:r w:rsidRPr="000E2274">
        <w:rPr>
          <w:rFonts w:eastAsia="Arial"/>
          <w:color w:val="000000" w:themeColor="text1"/>
          <w:highlight w:val="white"/>
        </w:rPr>
        <w:t>Masilela</w:t>
      </w:r>
      <w:proofErr w:type="spellEnd"/>
      <w:r w:rsidRPr="000E2274">
        <w:rPr>
          <w:rFonts w:eastAsia="Arial"/>
          <w:color w:val="000000" w:themeColor="text1"/>
          <w:highlight w:val="white"/>
        </w:rPr>
        <w:t>, M.S., Moodley, D., Hanley, S. and Fouche, L., 2021. Efficacy of NVX-CoV2373 Covid-19 Vaccine against the B. 1.351 Variant. New England Journal of Medicine, 384(20), pp.1899-1909.</w:t>
      </w:r>
    </w:p>
    <w:p w14:paraId="7FC668BD" w14:textId="77777777" w:rsidR="002564DF" w:rsidRPr="000E2274" w:rsidRDefault="002564DF" w:rsidP="002564DF">
      <w:pPr>
        <w:numPr>
          <w:ilvl w:val="0"/>
          <w:numId w:val="1"/>
        </w:numPr>
        <w:spacing w:line="240" w:lineRule="auto"/>
        <w:rPr>
          <w:rFonts w:eastAsia="Arial"/>
          <w:color w:val="000000" w:themeColor="text1"/>
          <w:highlight w:val="white"/>
        </w:rPr>
      </w:pPr>
      <w:r w:rsidRPr="000E2274">
        <w:rPr>
          <w:rFonts w:eastAsia="Arial"/>
          <w:color w:val="000000" w:themeColor="text1"/>
          <w:highlight w:val="white"/>
        </w:rPr>
        <w:t xml:space="preserve">Dagan, N., </w:t>
      </w:r>
      <w:proofErr w:type="spellStart"/>
      <w:r w:rsidRPr="000E2274">
        <w:rPr>
          <w:rFonts w:eastAsia="Arial"/>
          <w:color w:val="000000" w:themeColor="text1"/>
          <w:highlight w:val="white"/>
        </w:rPr>
        <w:t>Barda</w:t>
      </w:r>
      <w:proofErr w:type="spellEnd"/>
      <w:r w:rsidRPr="000E2274">
        <w:rPr>
          <w:rFonts w:eastAsia="Arial"/>
          <w:color w:val="000000" w:themeColor="text1"/>
          <w:highlight w:val="white"/>
        </w:rPr>
        <w:t xml:space="preserve">, N., </w:t>
      </w:r>
      <w:proofErr w:type="spellStart"/>
      <w:r w:rsidRPr="000E2274">
        <w:rPr>
          <w:rFonts w:eastAsia="Arial"/>
          <w:color w:val="000000" w:themeColor="text1"/>
          <w:highlight w:val="white"/>
        </w:rPr>
        <w:t>Kepten</w:t>
      </w:r>
      <w:proofErr w:type="spellEnd"/>
      <w:r w:rsidRPr="000E2274">
        <w:rPr>
          <w:rFonts w:eastAsia="Arial"/>
          <w:color w:val="000000" w:themeColor="text1"/>
          <w:highlight w:val="white"/>
        </w:rPr>
        <w:t xml:space="preserve">, E., </w:t>
      </w:r>
      <w:proofErr w:type="spellStart"/>
      <w:r w:rsidRPr="000E2274">
        <w:rPr>
          <w:rFonts w:eastAsia="Arial"/>
          <w:color w:val="000000" w:themeColor="text1"/>
          <w:highlight w:val="white"/>
        </w:rPr>
        <w:t>Miron</w:t>
      </w:r>
      <w:proofErr w:type="spellEnd"/>
      <w:r w:rsidRPr="000E2274">
        <w:rPr>
          <w:rFonts w:eastAsia="Arial"/>
          <w:color w:val="000000" w:themeColor="text1"/>
          <w:highlight w:val="white"/>
        </w:rPr>
        <w:t xml:space="preserve">, O., </w:t>
      </w:r>
      <w:proofErr w:type="spellStart"/>
      <w:r w:rsidRPr="000E2274">
        <w:rPr>
          <w:rFonts w:eastAsia="Arial"/>
          <w:color w:val="000000" w:themeColor="text1"/>
          <w:highlight w:val="white"/>
        </w:rPr>
        <w:t>Perchik</w:t>
      </w:r>
      <w:proofErr w:type="spellEnd"/>
      <w:r w:rsidRPr="000E2274">
        <w:rPr>
          <w:rFonts w:eastAsia="Arial"/>
          <w:color w:val="000000" w:themeColor="text1"/>
          <w:highlight w:val="white"/>
        </w:rPr>
        <w:t xml:space="preserve">, S., Katz, M.A., </w:t>
      </w:r>
      <w:proofErr w:type="spellStart"/>
      <w:r w:rsidRPr="000E2274">
        <w:rPr>
          <w:rFonts w:eastAsia="Arial"/>
          <w:color w:val="000000" w:themeColor="text1"/>
          <w:highlight w:val="white"/>
        </w:rPr>
        <w:t>Hernán</w:t>
      </w:r>
      <w:proofErr w:type="spellEnd"/>
      <w:r w:rsidRPr="000E2274">
        <w:rPr>
          <w:rFonts w:eastAsia="Arial"/>
          <w:color w:val="000000" w:themeColor="text1"/>
          <w:highlight w:val="white"/>
        </w:rPr>
        <w:t xml:space="preserve">, M.A., </w:t>
      </w:r>
      <w:proofErr w:type="spellStart"/>
      <w:r w:rsidRPr="000E2274">
        <w:rPr>
          <w:rFonts w:eastAsia="Arial"/>
          <w:color w:val="000000" w:themeColor="text1"/>
          <w:highlight w:val="white"/>
        </w:rPr>
        <w:t>Lipsitch</w:t>
      </w:r>
      <w:proofErr w:type="spellEnd"/>
      <w:r w:rsidRPr="000E2274">
        <w:rPr>
          <w:rFonts w:eastAsia="Arial"/>
          <w:color w:val="000000" w:themeColor="text1"/>
          <w:highlight w:val="white"/>
        </w:rPr>
        <w:t xml:space="preserve">, M., Reis, B. and </w:t>
      </w:r>
      <w:proofErr w:type="spellStart"/>
      <w:r w:rsidRPr="000E2274">
        <w:rPr>
          <w:rFonts w:eastAsia="Arial"/>
          <w:color w:val="000000" w:themeColor="text1"/>
          <w:highlight w:val="white"/>
        </w:rPr>
        <w:t>Balicer</w:t>
      </w:r>
      <w:proofErr w:type="spellEnd"/>
      <w:r w:rsidRPr="000E2274">
        <w:rPr>
          <w:rFonts w:eastAsia="Arial"/>
          <w:color w:val="000000" w:themeColor="text1"/>
          <w:highlight w:val="white"/>
        </w:rPr>
        <w:t>, R.D., 2021. BNT162b2 mRNA Covid-19 vaccine in a nationwide mass vaccination setting. New England Journal of Medicine, 384(15), pp.1412-1423.</w:t>
      </w:r>
    </w:p>
    <w:p w14:paraId="79AD1264" w14:textId="77777777" w:rsidR="002564DF" w:rsidRPr="000E2274" w:rsidRDefault="002564DF" w:rsidP="002564DF">
      <w:pPr>
        <w:numPr>
          <w:ilvl w:val="0"/>
          <w:numId w:val="1"/>
        </w:numPr>
        <w:spacing w:line="240" w:lineRule="auto"/>
        <w:rPr>
          <w:rFonts w:eastAsia="Arial"/>
          <w:color w:val="000000" w:themeColor="text1"/>
          <w:highlight w:val="white"/>
        </w:rPr>
      </w:pPr>
      <w:r w:rsidRPr="000E2274">
        <w:rPr>
          <w:rFonts w:eastAsia="Arial"/>
          <w:color w:val="000000" w:themeColor="text1"/>
          <w:highlight w:val="white"/>
        </w:rPr>
        <w:t xml:space="preserve">Haas, E.J., Angulo, F.J., McLaughlin, J.M., Anis, E., Singer, S.R., Khan, F., Brooks, N., </w:t>
      </w:r>
      <w:proofErr w:type="spellStart"/>
      <w:r w:rsidRPr="000E2274">
        <w:rPr>
          <w:rFonts w:eastAsia="Arial"/>
          <w:color w:val="000000" w:themeColor="text1"/>
          <w:highlight w:val="white"/>
        </w:rPr>
        <w:t>Smaja</w:t>
      </w:r>
      <w:proofErr w:type="spellEnd"/>
      <w:r w:rsidRPr="000E2274">
        <w:rPr>
          <w:rFonts w:eastAsia="Arial"/>
          <w:color w:val="000000" w:themeColor="text1"/>
          <w:highlight w:val="white"/>
        </w:rPr>
        <w:t xml:space="preserve">, M., </w:t>
      </w:r>
      <w:proofErr w:type="spellStart"/>
      <w:r w:rsidRPr="000E2274">
        <w:rPr>
          <w:rFonts w:eastAsia="Arial"/>
          <w:color w:val="000000" w:themeColor="text1"/>
          <w:highlight w:val="white"/>
        </w:rPr>
        <w:t>Mircus</w:t>
      </w:r>
      <w:proofErr w:type="spellEnd"/>
      <w:r w:rsidRPr="000E2274">
        <w:rPr>
          <w:rFonts w:eastAsia="Arial"/>
          <w:color w:val="000000" w:themeColor="text1"/>
          <w:highlight w:val="white"/>
        </w:rPr>
        <w:t>, G., Pan, K. and Southern, J., 2021. Impact and effectiveness of mRNA BNT162b2 vaccine against SARS-CoV-2 infections and COVID-19 cases, hospitalisations, and deaths following a nationwide vaccination campaign in Israel: an observational study using national surveillance data. The Lancet, 397(10287), pp.1819-1829.</w:t>
      </w:r>
    </w:p>
    <w:p w14:paraId="7FA790B8" w14:textId="77777777" w:rsidR="002564DF" w:rsidRPr="000E2274" w:rsidRDefault="002564DF" w:rsidP="002564DF">
      <w:pPr>
        <w:numPr>
          <w:ilvl w:val="0"/>
          <w:numId w:val="1"/>
        </w:numPr>
        <w:spacing w:line="240" w:lineRule="auto"/>
        <w:rPr>
          <w:rFonts w:eastAsia="Arial"/>
          <w:color w:val="000000" w:themeColor="text1"/>
          <w:highlight w:val="white"/>
        </w:rPr>
      </w:pPr>
      <w:proofErr w:type="spellStart"/>
      <w:r w:rsidRPr="000E2274">
        <w:rPr>
          <w:rFonts w:eastAsia="Arial"/>
          <w:color w:val="000000" w:themeColor="text1"/>
          <w:highlight w:val="white"/>
        </w:rPr>
        <w:t>Sadoff</w:t>
      </w:r>
      <w:proofErr w:type="spellEnd"/>
      <w:r w:rsidRPr="000E2274">
        <w:rPr>
          <w:rFonts w:eastAsia="Arial"/>
          <w:color w:val="000000" w:themeColor="text1"/>
          <w:highlight w:val="white"/>
        </w:rPr>
        <w:t xml:space="preserve">, J., Gray, G., </w:t>
      </w:r>
      <w:proofErr w:type="spellStart"/>
      <w:r w:rsidRPr="000E2274">
        <w:rPr>
          <w:rFonts w:eastAsia="Arial"/>
          <w:color w:val="000000" w:themeColor="text1"/>
          <w:highlight w:val="white"/>
        </w:rPr>
        <w:t>Vandebosch</w:t>
      </w:r>
      <w:proofErr w:type="spellEnd"/>
      <w:r w:rsidRPr="000E2274">
        <w:rPr>
          <w:rFonts w:eastAsia="Arial"/>
          <w:color w:val="000000" w:themeColor="text1"/>
          <w:highlight w:val="white"/>
        </w:rPr>
        <w:t xml:space="preserve">, A., Cárdenas, V., </w:t>
      </w:r>
      <w:proofErr w:type="spellStart"/>
      <w:r w:rsidRPr="000E2274">
        <w:rPr>
          <w:rFonts w:eastAsia="Arial"/>
          <w:color w:val="000000" w:themeColor="text1"/>
          <w:highlight w:val="white"/>
        </w:rPr>
        <w:t>Shukarev</w:t>
      </w:r>
      <w:proofErr w:type="spellEnd"/>
      <w:r w:rsidRPr="000E2274">
        <w:rPr>
          <w:rFonts w:eastAsia="Arial"/>
          <w:color w:val="000000" w:themeColor="text1"/>
          <w:highlight w:val="white"/>
        </w:rPr>
        <w:t xml:space="preserve">, G., </w:t>
      </w:r>
      <w:proofErr w:type="spellStart"/>
      <w:r w:rsidRPr="000E2274">
        <w:rPr>
          <w:rFonts w:eastAsia="Arial"/>
          <w:color w:val="000000" w:themeColor="text1"/>
          <w:highlight w:val="white"/>
        </w:rPr>
        <w:t>Grinsztejn</w:t>
      </w:r>
      <w:proofErr w:type="spellEnd"/>
      <w:r w:rsidRPr="000E2274">
        <w:rPr>
          <w:rFonts w:eastAsia="Arial"/>
          <w:color w:val="000000" w:themeColor="text1"/>
          <w:highlight w:val="white"/>
        </w:rPr>
        <w:t xml:space="preserve">, B., </w:t>
      </w:r>
      <w:proofErr w:type="spellStart"/>
      <w:r w:rsidRPr="000E2274">
        <w:rPr>
          <w:rFonts w:eastAsia="Arial"/>
          <w:color w:val="000000" w:themeColor="text1"/>
          <w:highlight w:val="white"/>
        </w:rPr>
        <w:t>Goepfert</w:t>
      </w:r>
      <w:proofErr w:type="spellEnd"/>
      <w:r w:rsidRPr="000E2274">
        <w:rPr>
          <w:rFonts w:eastAsia="Arial"/>
          <w:color w:val="000000" w:themeColor="text1"/>
          <w:highlight w:val="white"/>
        </w:rPr>
        <w:t xml:space="preserve">, P.A., </w:t>
      </w:r>
      <w:proofErr w:type="spellStart"/>
      <w:r w:rsidRPr="000E2274">
        <w:rPr>
          <w:rFonts w:eastAsia="Arial"/>
          <w:color w:val="000000" w:themeColor="text1"/>
          <w:highlight w:val="white"/>
        </w:rPr>
        <w:t>Truyers</w:t>
      </w:r>
      <w:proofErr w:type="spellEnd"/>
      <w:r w:rsidRPr="000E2274">
        <w:rPr>
          <w:rFonts w:eastAsia="Arial"/>
          <w:color w:val="000000" w:themeColor="text1"/>
          <w:highlight w:val="white"/>
        </w:rPr>
        <w:t xml:space="preserve">, C., </w:t>
      </w:r>
      <w:proofErr w:type="spellStart"/>
      <w:r w:rsidRPr="000E2274">
        <w:rPr>
          <w:rFonts w:eastAsia="Arial"/>
          <w:color w:val="000000" w:themeColor="text1"/>
          <w:highlight w:val="white"/>
        </w:rPr>
        <w:t>Fennema</w:t>
      </w:r>
      <w:proofErr w:type="spellEnd"/>
      <w:r w:rsidRPr="000E2274">
        <w:rPr>
          <w:rFonts w:eastAsia="Arial"/>
          <w:color w:val="000000" w:themeColor="text1"/>
          <w:highlight w:val="white"/>
        </w:rPr>
        <w:t xml:space="preserve">, H., </w:t>
      </w:r>
      <w:proofErr w:type="spellStart"/>
      <w:r w:rsidRPr="000E2274">
        <w:rPr>
          <w:rFonts w:eastAsia="Arial"/>
          <w:color w:val="000000" w:themeColor="text1"/>
          <w:highlight w:val="white"/>
        </w:rPr>
        <w:t>Spiessens</w:t>
      </w:r>
      <w:proofErr w:type="spellEnd"/>
      <w:r w:rsidRPr="000E2274">
        <w:rPr>
          <w:rFonts w:eastAsia="Arial"/>
          <w:color w:val="000000" w:themeColor="text1"/>
          <w:highlight w:val="white"/>
        </w:rPr>
        <w:t xml:space="preserve">, B. and </w:t>
      </w:r>
      <w:proofErr w:type="spellStart"/>
      <w:r w:rsidRPr="000E2274">
        <w:rPr>
          <w:rFonts w:eastAsia="Arial"/>
          <w:color w:val="000000" w:themeColor="text1"/>
          <w:highlight w:val="white"/>
        </w:rPr>
        <w:t>Offergeld</w:t>
      </w:r>
      <w:proofErr w:type="spellEnd"/>
      <w:r w:rsidRPr="000E2274">
        <w:rPr>
          <w:rFonts w:eastAsia="Arial"/>
          <w:color w:val="000000" w:themeColor="text1"/>
          <w:highlight w:val="white"/>
        </w:rPr>
        <w:t>, K., 2021. Safety and efficacy of single-dose Ad26. COV2. S vaccine against Covid-19. New England Journal of Medicine, 384(23), pp.2187-2201.</w:t>
      </w:r>
    </w:p>
    <w:p w14:paraId="5A67CF90" w14:textId="77777777" w:rsidR="002564DF" w:rsidRPr="000E2274" w:rsidRDefault="002564DF" w:rsidP="002564DF">
      <w:pPr>
        <w:numPr>
          <w:ilvl w:val="0"/>
          <w:numId w:val="1"/>
        </w:numPr>
        <w:spacing w:line="240" w:lineRule="auto"/>
        <w:rPr>
          <w:rFonts w:eastAsia="Arial"/>
          <w:color w:val="000000" w:themeColor="text1"/>
          <w:highlight w:val="white"/>
        </w:rPr>
      </w:pPr>
      <w:proofErr w:type="spellStart"/>
      <w:r w:rsidRPr="000E2274">
        <w:rPr>
          <w:rFonts w:eastAsia="Arial"/>
          <w:color w:val="000000" w:themeColor="text1"/>
          <w:highlight w:val="white"/>
        </w:rPr>
        <w:t>Chemaitelly</w:t>
      </w:r>
      <w:proofErr w:type="spellEnd"/>
      <w:r w:rsidRPr="000E2274">
        <w:rPr>
          <w:rFonts w:eastAsia="Arial"/>
          <w:color w:val="000000" w:themeColor="text1"/>
          <w:highlight w:val="white"/>
        </w:rPr>
        <w:t xml:space="preserve">, H., Yassine, H.M., Benslimane, F.M., Al Khatib, H.A., Tang, P., Hasan, M.R., Malek, J.A., Coyle, P., Ayoub, H.H., Al </w:t>
      </w:r>
      <w:proofErr w:type="spellStart"/>
      <w:r w:rsidRPr="000E2274">
        <w:rPr>
          <w:rFonts w:eastAsia="Arial"/>
          <w:color w:val="000000" w:themeColor="text1"/>
          <w:highlight w:val="white"/>
        </w:rPr>
        <w:t>Kanaani</w:t>
      </w:r>
      <w:proofErr w:type="spellEnd"/>
      <w:r w:rsidRPr="000E2274">
        <w:rPr>
          <w:rFonts w:eastAsia="Arial"/>
          <w:color w:val="000000" w:themeColor="text1"/>
          <w:highlight w:val="white"/>
        </w:rPr>
        <w:t xml:space="preserve">, Z. and Al </w:t>
      </w:r>
      <w:proofErr w:type="spellStart"/>
      <w:r w:rsidRPr="000E2274">
        <w:rPr>
          <w:rFonts w:eastAsia="Arial"/>
          <w:color w:val="000000" w:themeColor="text1"/>
          <w:highlight w:val="white"/>
        </w:rPr>
        <w:t>Kuwari</w:t>
      </w:r>
      <w:proofErr w:type="spellEnd"/>
      <w:r w:rsidRPr="000E2274">
        <w:rPr>
          <w:rFonts w:eastAsia="Arial"/>
          <w:color w:val="000000" w:themeColor="text1"/>
          <w:highlight w:val="white"/>
        </w:rPr>
        <w:t>, E., 2021. mRNA-1273 COVID-19 vaccine effectiveness against the B. 1.1. 7 and B. 1.351 variants and severe COVID-19 disease in Qatar. Nature medicine, pp.1-8.</w:t>
      </w:r>
    </w:p>
    <w:p w14:paraId="5B92B6BB" w14:textId="77777777" w:rsidR="002564DF" w:rsidRPr="000E2274" w:rsidRDefault="002564DF" w:rsidP="002564DF">
      <w:pPr>
        <w:numPr>
          <w:ilvl w:val="0"/>
          <w:numId w:val="1"/>
        </w:numPr>
        <w:spacing w:line="240" w:lineRule="auto"/>
        <w:rPr>
          <w:rFonts w:eastAsia="Arial"/>
          <w:color w:val="000000" w:themeColor="text1"/>
          <w:highlight w:val="white"/>
        </w:rPr>
      </w:pPr>
      <w:r w:rsidRPr="000E2274">
        <w:rPr>
          <w:rFonts w:eastAsia="Arial"/>
          <w:color w:val="000000" w:themeColor="text1"/>
          <w:highlight w:val="white"/>
        </w:rPr>
        <w:t xml:space="preserve">Thomas, S.J., Moreira Jr, E.D., </w:t>
      </w:r>
      <w:proofErr w:type="spellStart"/>
      <w:r w:rsidRPr="000E2274">
        <w:rPr>
          <w:rFonts w:eastAsia="Arial"/>
          <w:color w:val="000000" w:themeColor="text1"/>
          <w:highlight w:val="white"/>
        </w:rPr>
        <w:t>Kitchin</w:t>
      </w:r>
      <w:proofErr w:type="spellEnd"/>
      <w:r w:rsidRPr="000E2274">
        <w:rPr>
          <w:rFonts w:eastAsia="Arial"/>
          <w:color w:val="000000" w:themeColor="text1"/>
          <w:highlight w:val="white"/>
        </w:rPr>
        <w:t xml:space="preserve">, N., </w:t>
      </w:r>
      <w:proofErr w:type="spellStart"/>
      <w:r w:rsidRPr="000E2274">
        <w:rPr>
          <w:rFonts w:eastAsia="Arial"/>
          <w:color w:val="000000" w:themeColor="text1"/>
          <w:highlight w:val="white"/>
        </w:rPr>
        <w:t>Absalon</w:t>
      </w:r>
      <w:proofErr w:type="spellEnd"/>
      <w:r w:rsidRPr="000E2274">
        <w:rPr>
          <w:rFonts w:eastAsia="Arial"/>
          <w:color w:val="000000" w:themeColor="text1"/>
          <w:highlight w:val="white"/>
        </w:rPr>
        <w:t xml:space="preserve">, J., </w:t>
      </w:r>
      <w:proofErr w:type="spellStart"/>
      <w:r w:rsidRPr="000E2274">
        <w:rPr>
          <w:rFonts w:eastAsia="Arial"/>
          <w:color w:val="000000" w:themeColor="text1"/>
          <w:highlight w:val="white"/>
        </w:rPr>
        <w:t>Gurtman</w:t>
      </w:r>
      <w:proofErr w:type="spellEnd"/>
      <w:r w:rsidRPr="000E2274">
        <w:rPr>
          <w:rFonts w:eastAsia="Arial"/>
          <w:color w:val="000000" w:themeColor="text1"/>
          <w:highlight w:val="white"/>
        </w:rPr>
        <w:t xml:space="preserve">, A., Lockhart, S., Perez, J.L., Pérez Marc, G., Polack, F.P., </w:t>
      </w:r>
      <w:proofErr w:type="spellStart"/>
      <w:r w:rsidRPr="000E2274">
        <w:rPr>
          <w:rFonts w:eastAsia="Arial"/>
          <w:color w:val="000000" w:themeColor="text1"/>
          <w:highlight w:val="white"/>
        </w:rPr>
        <w:t>Zerbini</w:t>
      </w:r>
      <w:proofErr w:type="spellEnd"/>
      <w:r w:rsidRPr="000E2274">
        <w:rPr>
          <w:rFonts w:eastAsia="Arial"/>
          <w:color w:val="000000" w:themeColor="text1"/>
          <w:highlight w:val="white"/>
        </w:rPr>
        <w:t>, C. and Bailey, R., 2021. Safety and efficacy of the BNT162b2 mRNA covid-19 vaccine through 6 months. New England Journal of Medicine.</w:t>
      </w:r>
    </w:p>
    <w:p w14:paraId="26790199" w14:textId="77777777" w:rsidR="002564DF" w:rsidRPr="000E2274" w:rsidRDefault="002564DF" w:rsidP="002564DF">
      <w:pPr>
        <w:numPr>
          <w:ilvl w:val="0"/>
          <w:numId w:val="1"/>
        </w:numPr>
        <w:spacing w:line="240" w:lineRule="auto"/>
        <w:rPr>
          <w:rFonts w:eastAsia="Arial"/>
          <w:color w:val="000000" w:themeColor="text1"/>
          <w:highlight w:val="white"/>
        </w:rPr>
      </w:pPr>
      <w:proofErr w:type="spellStart"/>
      <w:r w:rsidRPr="000E2274">
        <w:rPr>
          <w:rFonts w:eastAsia="Arial"/>
          <w:color w:val="000000" w:themeColor="text1"/>
          <w:highlight w:val="white"/>
        </w:rPr>
        <w:t>Emary</w:t>
      </w:r>
      <w:proofErr w:type="spellEnd"/>
      <w:r w:rsidRPr="000E2274">
        <w:rPr>
          <w:rFonts w:eastAsia="Arial"/>
          <w:color w:val="000000" w:themeColor="text1"/>
          <w:highlight w:val="white"/>
        </w:rPr>
        <w:t xml:space="preserve">, K.R., </w:t>
      </w:r>
      <w:proofErr w:type="spellStart"/>
      <w:r w:rsidRPr="000E2274">
        <w:rPr>
          <w:rFonts w:eastAsia="Arial"/>
          <w:color w:val="000000" w:themeColor="text1"/>
          <w:highlight w:val="white"/>
        </w:rPr>
        <w:t>Golubchik</w:t>
      </w:r>
      <w:proofErr w:type="spellEnd"/>
      <w:r w:rsidRPr="000E2274">
        <w:rPr>
          <w:rFonts w:eastAsia="Arial"/>
          <w:color w:val="000000" w:themeColor="text1"/>
          <w:highlight w:val="white"/>
        </w:rPr>
        <w:t xml:space="preserve">, T., </w:t>
      </w:r>
      <w:proofErr w:type="spellStart"/>
      <w:r w:rsidRPr="000E2274">
        <w:rPr>
          <w:rFonts w:eastAsia="Arial"/>
          <w:color w:val="000000" w:themeColor="text1"/>
          <w:highlight w:val="white"/>
        </w:rPr>
        <w:t>Aley</w:t>
      </w:r>
      <w:proofErr w:type="spellEnd"/>
      <w:r w:rsidRPr="000E2274">
        <w:rPr>
          <w:rFonts w:eastAsia="Arial"/>
          <w:color w:val="000000" w:themeColor="text1"/>
          <w:highlight w:val="white"/>
        </w:rPr>
        <w:t xml:space="preserve">, P.K., </w:t>
      </w:r>
      <w:proofErr w:type="spellStart"/>
      <w:r w:rsidRPr="000E2274">
        <w:rPr>
          <w:rFonts w:eastAsia="Arial"/>
          <w:color w:val="000000" w:themeColor="text1"/>
          <w:highlight w:val="white"/>
        </w:rPr>
        <w:t>Ariani</w:t>
      </w:r>
      <w:proofErr w:type="spellEnd"/>
      <w:r w:rsidRPr="000E2274">
        <w:rPr>
          <w:rFonts w:eastAsia="Arial"/>
          <w:color w:val="000000" w:themeColor="text1"/>
          <w:highlight w:val="white"/>
        </w:rPr>
        <w:t xml:space="preserve">, C.V., Angus, B., Bibi, S., Blane, B., Bonsall, D., </w:t>
      </w:r>
      <w:proofErr w:type="spellStart"/>
      <w:r w:rsidRPr="000E2274">
        <w:rPr>
          <w:rFonts w:eastAsia="Arial"/>
          <w:color w:val="000000" w:themeColor="text1"/>
          <w:highlight w:val="white"/>
        </w:rPr>
        <w:t>Cicconi</w:t>
      </w:r>
      <w:proofErr w:type="spellEnd"/>
      <w:r w:rsidRPr="000E2274">
        <w:rPr>
          <w:rFonts w:eastAsia="Arial"/>
          <w:color w:val="000000" w:themeColor="text1"/>
          <w:highlight w:val="white"/>
        </w:rPr>
        <w:t xml:space="preserve">, P., Charlton, </w:t>
      </w:r>
      <w:proofErr w:type="gramStart"/>
      <w:r w:rsidRPr="000E2274">
        <w:rPr>
          <w:rFonts w:eastAsia="Arial"/>
          <w:color w:val="000000" w:themeColor="text1"/>
          <w:highlight w:val="white"/>
        </w:rPr>
        <w:t>S.</w:t>
      </w:r>
      <w:proofErr w:type="gramEnd"/>
      <w:r w:rsidRPr="000E2274">
        <w:rPr>
          <w:rFonts w:eastAsia="Arial"/>
          <w:color w:val="000000" w:themeColor="text1"/>
          <w:highlight w:val="white"/>
        </w:rPr>
        <w:t xml:space="preserve"> and Clutterbuck, E.A., 2021. Efficacy of ChAdOx1 nCoV-19 (AZD1222) vaccine against SARS-CoV-2 variant of concern 202012/01 (B. 1.1. 7): an exploratory analysis of a randomised controlled trial. The Lancet, 397(10282), pp.1351-1362.</w:t>
      </w:r>
    </w:p>
    <w:p w14:paraId="0B3F0002" w14:textId="77777777" w:rsidR="002564DF" w:rsidRPr="000E2274" w:rsidRDefault="002564DF" w:rsidP="002564DF">
      <w:pPr>
        <w:numPr>
          <w:ilvl w:val="0"/>
          <w:numId w:val="1"/>
        </w:numPr>
        <w:spacing w:line="240" w:lineRule="auto"/>
        <w:rPr>
          <w:rFonts w:eastAsia="Arial"/>
          <w:color w:val="000000" w:themeColor="text1"/>
          <w:highlight w:val="white"/>
        </w:rPr>
      </w:pPr>
      <w:r w:rsidRPr="000E2274">
        <w:rPr>
          <w:rFonts w:eastAsia="Arial"/>
          <w:color w:val="000000" w:themeColor="text1"/>
          <w:highlight w:val="white"/>
        </w:rPr>
        <w:t xml:space="preserve">Heath, P.T., </w:t>
      </w:r>
      <w:proofErr w:type="spellStart"/>
      <w:r w:rsidRPr="000E2274">
        <w:rPr>
          <w:rFonts w:eastAsia="Arial"/>
          <w:color w:val="000000" w:themeColor="text1"/>
          <w:highlight w:val="white"/>
        </w:rPr>
        <w:t>Galiza</w:t>
      </w:r>
      <w:proofErr w:type="spellEnd"/>
      <w:r w:rsidRPr="000E2274">
        <w:rPr>
          <w:rFonts w:eastAsia="Arial"/>
          <w:color w:val="000000" w:themeColor="text1"/>
          <w:highlight w:val="white"/>
        </w:rPr>
        <w:t xml:space="preserve">, E.P., Baxter, D.N., </w:t>
      </w:r>
      <w:proofErr w:type="spellStart"/>
      <w:r w:rsidRPr="000E2274">
        <w:rPr>
          <w:rFonts w:eastAsia="Arial"/>
          <w:color w:val="000000" w:themeColor="text1"/>
          <w:highlight w:val="white"/>
        </w:rPr>
        <w:t>Boffito</w:t>
      </w:r>
      <w:proofErr w:type="spellEnd"/>
      <w:r w:rsidRPr="000E2274">
        <w:rPr>
          <w:rFonts w:eastAsia="Arial"/>
          <w:color w:val="000000" w:themeColor="text1"/>
          <w:highlight w:val="white"/>
        </w:rPr>
        <w:t xml:space="preserve">, M., Browne, D., Burns, F., Chadwick, D.R., Clark, R., Cosgrove, C., Galloway, </w:t>
      </w:r>
      <w:proofErr w:type="gramStart"/>
      <w:r w:rsidRPr="000E2274">
        <w:rPr>
          <w:rFonts w:eastAsia="Arial"/>
          <w:color w:val="000000" w:themeColor="text1"/>
          <w:highlight w:val="white"/>
        </w:rPr>
        <w:t>J.</w:t>
      </w:r>
      <w:proofErr w:type="gramEnd"/>
      <w:r w:rsidRPr="000E2274">
        <w:rPr>
          <w:rFonts w:eastAsia="Arial"/>
          <w:color w:val="000000" w:themeColor="text1"/>
          <w:highlight w:val="white"/>
        </w:rPr>
        <w:t xml:space="preserve"> and Goodman, A.L., 2021. Safety and efficacy of NVX-CoV2373 Covid-19 vaccine. New England Journal of Medicine.</w:t>
      </w:r>
    </w:p>
    <w:p w14:paraId="0AF013C3" w14:textId="77777777" w:rsidR="002564DF" w:rsidRPr="000E2274" w:rsidRDefault="002564DF" w:rsidP="002564DF">
      <w:pPr>
        <w:numPr>
          <w:ilvl w:val="0"/>
          <w:numId w:val="1"/>
        </w:numPr>
        <w:spacing w:line="240" w:lineRule="auto"/>
        <w:rPr>
          <w:rFonts w:eastAsia="Arial"/>
          <w:color w:val="000000" w:themeColor="text1"/>
          <w:highlight w:val="white"/>
        </w:rPr>
      </w:pPr>
      <w:proofErr w:type="spellStart"/>
      <w:r w:rsidRPr="000E2274">
        <w:rPr>
          <w:rFonts w:eastAsia="Arial"/>
          <w:color w:val="000000" w:themeColor="text1"/>
          <w:highlight w:val="white"/>
        </w:rPr>
        <w:t>Madhi</w:t>
      </w:r>
      <w:proofErr w:type="spellEnd"/>
      <w:r w:rsidRPr="000E2274">
        <w:rPr>
          <w:rFonts w:eastAsia="Arial"/>
          <w:color w:val="000000" w:themeColor="text1"/>
          <w:highlight w:val="white"/>
        </w:rPr>
        <w:t xml:space="preserve">, S.A., Baillie, V., </w:t>
      </w:r>
      <w:proofErr w:type="spellStart"/>
      <w:r w:rsidRPr="000E2274">
        <w:rPr>
          <w:rFonts w:eastAsia="Arial"/>
          <w:color w:val="000000" w:themeColor="text1"/>
          <w:highlight w:val="white"/>
        </w:rPr>
        <w:t>Cutland</w:t>
      </w:r>
      <w:proofErr w:type="spellEnd"/>
      <w:r w:rsidRPr="000E2274">
        <w:rPr>
          <w:rFonts w:eastAsia="Arial"/>
          <w:color w:val="000000" w:themeColor="text1"/>
          <w:highlight w:val="white"/>
        </w:rPr>
        <w:t xml:space="preserve">, C.L., </w:t>
      </w:r>
      <w:proofErr w:type="spellStart"/>
      <w:r w:rsidRPr="000E2274">
        <w:rPr>
          <w:rFonts w:eastAsia="Arial"/>
          <w:color w:val="000000" w:themeColor="text1"/>
          <w:highlight w:val="white"/>
        </w:rPr>
        <w:t>Voysey</w:t>
      </w:r>
      <w:proofErr w:type="spellEnd"/>
      <w:r w:rsidRPr="000E2274">
        <w:rPr>
          <w:rFonts w:eastAsia="Arial"/>
          <w:color w:val="000000" w:themeColor="text1"/>
          <w:highlight w:val="white"/>
        </w:rPr>
        <w:t xml:space="preserve">, M., Koen, A.L., </w:t>
      </w:r>
      <w:proofErr w:type="spellStart"/>
      <w:r w:rsidRPr="000E2274">
        <w:rPr>
          <w:rFonts w:eastAsia="Arial"/>
          <w:color w:val="000000" w:themeColor="text1"/>
          <w:highlight w:val="white"/>
        </w:rPr>
        <w:t>Fairlie</w:t>
      </w:r>
      <w:proofErr w:type="spellEnd"/>
      <w:r w:rsidRPr="000E2274">
        <w:rPr>
          <w:rFonts w:eastAsia="Arial"/>
          <w:color w:val="000000" w:themeColor="text1"/>
          <w:highlight w:val="white"/>
        </w:rPr>
        <w:t xml:space="preserve">, L., </w:t>
      </w:r>
      <w:proofErr w:type="spellStart"/>
      <w:r w:rsidRPr="000E2274">
        <w:rPr>
          <w:rFonts w:eastAsia="Arial"/>
          <w:color w:val="000000" w:themeColor="text1"/>
          <w:highlight w:val="white"/>
        </w:rPr>
        <w:t>Padayachee</w:t>
      </w:r>
      <w:proofErr w:type="spellEnd"/>
      <w:r w:rsidRPr="000E2274">
        <w:rPr>
          <w:rFonts w:eastAsia="Arial"/>
          <w:color w:val="000000" w:themeColor="text1"/>
          <w:highlight w:val="white"/>
        </w:rPr>
        <w:t xml:space="preserve">, S.D., </w:t>
      </w:r>
      <w:proofErr w:type="spellStart"/>
      <w:r w:rsidRPr="000E2274">
        <w:rPr>
          <w:rFonts w:eastAsia="Arial"/>
          <w:color w:val="000000" w:themeColor="text1"/>
          <w:highlight w:val="white"/>
        </w:rPr>
        <w:t>Dheda</w:t>
      </w:r>
      <w:proofErr w:type="spellEnd"/>
      <w:r w:rsidRPr="000E2274">
        <w:rPr>
          <w:rFonts w:eastAsia="Arial"/>
          <w:color w:val="000000" w:themeColor="text1"/>
          <w:highlight w:val="white"/>
        </w:rPr>
        <w:t xml:space="preserve">, K., Barnabas, S.L., </w:t>
      </w:r>
      <w:proofErr w:type="spellStart"/>
      <w:r w:rsidRPr="000E2274">
        <w:rPr>
          <w:rFonts w:eastAsia="Arial"/>
          <w:color w:val="000000" w:themeColor="text1"/>
          <w:highlight w:val="white"/>
        </w:rPr>
        <w:t>Bhorat</w:t>
      </w:r>
      <w:proofErr w:type="spellEnd"/>
      <w:r w:rsidRPr="000E2274">
        <w:rPr>
          <w:rFonts w:eastAsia="Arial"/>
          <w:color w:val="000000" w:themeColor="text1"/>
          <w:highlight w:val="white"/>
        </w:rPr>
        <w:t>, Q.E. and Briner, C., 2021. Efficacy of the ChAdOx1 nCoV-19 Covid-19 vaccine against the B. 1.351 variant. New England Journal of Medicine, 384(20), pp.1885-1898.</w:t>
      </w:r>
    </w:p>
    <w:p w14:paraId="3732DACF" w14:textId="77777777" w:rsidR="002564DF" w:rsidRPr="000E2274" w:rsidRDefault="002564DF" w:rsidP="002564DF">
      <w:pPr>
        <w:numPr>
          <w:ilvl w:val="0"/>
          <w:numId w:val="1"/>
        </w:numPr>
        <w:spacing w:line="240" w:lineRule="auto"/>
        <w:rPr>
          <w:rFonts w:eastAsia="Arial"/>
          <w:color w:val="000000" w:themeColor="text1"/>
          <w:highlight w:val="white"/>
        </w:rPr>
      </w:pPr>
      <w:proofErr w:type="spellStart"/>
      <w:r w:rsidRPr="000E2274">
        <w:rPr>
          <w:rFonts w:eastAsia="Roboto"/>
          <w:color w:val="000000" w:themeColor="text1"/>
          <w:highlight w:val="white"/>
        </w:rPr>
        <w:lastRenderedPageBreak/>
        <w:t>Brauner</w:t>
      </w:r>
      <w:proofErr w:type="spellEnd"/>
      <w:r w:rsidRPr="000E2274">
        <w:rPr>
          <w:rFonts w:eastAsia="Roboto"/>
          <w:color w:val="000000" w:themeColor="text1"/>
          <w:highlight w:val="white"/>
        </w:rPr>
        <w:t xml:space="preserve">, J.M., </w:t>
      </w:r>
      <w:proofErr w:type="spellStart"/>
      <w:r w:rsidRPr="000E2274">
        <w:rPr>
          <w:rFonts w:eastAsia="Roboto"/>
          <w:color w:val="000000" w:themeColor="text1"/>
          <w:highlight w:val="white"/>
        </w:rPr>
        <w:t>Mindermann</w:t>
      </w:r>
      <w:proofErr w:type="spellEnd"/>
      <w:r w:rsidRPr="000E2274">
        <w:rPr>
          <w:rFonts w:eastAsia="Roboto"/>
          <w:color w:val="000000" w:themeColor="text1"/>
          <w:highlight w:val="white"/>
        </w:rPr>
        <w:t xml:space="preserve">, S., Sharma, M., Johnston, D., </w:t>
      </w:r>
      <w:proofErr w:type="spellStart"/>
      <w:r w:rsidRPr="000E2274">
        <w:rPr>
          <w:rFonts w:eastAsia="Roboto"/>
          <w:color w:val="000000" w:themeColor="text1"/>
          <w:highlight w:val="white"/>
        </w:rPr>
        <w:t>Salvatier</w:t>
      </w:r>
      <w:proofErr w:type="spellEnd"/>
      <w:r w:rsidRPr="000E2274">
        <w:rPr>
          <w:rFonts w:eastAsia="Roboto"/>
          <w:color w:val="000000" w:themeColor="text1"/>
          <w:highlight w:val="white"/>
        </w:rPr>
        <w:t xml:space="preserve">, J., </w:t>
      </w:r>
      <w:proofErr w:type="spellStart"/>
      <w:r w:rsidRPr="000E2274">
        <w:rPr>
          <w:rFonts w:eastAsia="Roboto"/>
          <w:color w:val="000000" w:themeColor="text1"/>
          <w:highlight w:val="white"/>
        </w:rPr>
        <w:t>Gavenčiak</w:t>
      </w:r>
      <w:proofErr w:type="spellEnd"/>
      <w:r w:rsidRPr="000E2274">
        <w:rPr>
          <w:rFonts w:eastAsia="Roboto"/>
          <w:color w:val="000000" w:themeColor="text1"/>
          <w:highlight w:val="white"/>
        </w:rPr>
        <w:t xml:space="preserve">, T., Stephenson, A.B., Leech, G., Altman, G., </w:t>
      </w:r>
      <w:proofErr w:type="spellStart"/>
      <w:r w:rsidRPr="000E2274">
        <w:rPr>
          <w:rFonts w:eastAsia="Roboto"/>
          <w:color w:val="000000" w:themeColor="text1"/>
          <w:highlight w:val="white"/>
        </w:rPr>
        <w:t>Mikulik</w:t>
      </w:r>
      <w:proofErr w:type="spellEnd"/>
      <w:r w:rsidRPr="000E2274">
        <w:rPr>
          <w:rFonts w:eastAsia="Roboto"/>
          <w:color w:val="000000" w:themeColor="text1"/>
          <w:highlight w:val="white"/>
        </w:rPr>
        <w:t>, V. and Norman, A.J., 2021. Inferring the effectiveness of government interventions against COVID-19. Science, 371(6531).</w:t>
      </w:r>
    </w:p>
    <w:p w14:paraId="35010F2B"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Roboto"/>
          <w:color w:val="000000" w:themeColor="text1"/>
          <w:highlight w:val="white"/>
        </w:rPr>
        <w:t>Curran, J., Dol, J., Boulos, L., Somerville, M., &amp; McCulloch, H. Public Health and Health Systems Impacts of SARS-CoV-2 Variants of Concern.</w:t>
      </w:r>
    </w:p>
    <w:p w14:paraId="04AFA18B"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Roboto"/>
          <w:color w:val="000000" w:themeColor="text1"/>
          <w:highlight w:val="white"/>
        </w:rPr>
        <w:t xml:space="preserve">US </w:t>
      </w:r>
      <w:proofErr w:type="spellStart"/>
      <w:r w:rsidRPr="000E2274">
        <w:rPr>
          <w:rFonts w:eastAsia="Roboto"/>
          <w:color w:val="000000" w:themeColor="text1"/>
          <w:highlight w:val="white"/>
        </w:rPr>
        <w:t>Centers</w:t>
      </w:r>
      <w:proofErr w:type="spellEnd"/>
      <w:r w:rsidRPr="000E2274">
        <w:rPr>
          <w:rFonts w:eastAsia="Roboto"/>
          <w:color w:val="000000" w:themeColor="text1"/>
          <w:highlight w:val="white"/>
        </w:rPr>
        <w:t xml:space="preserve"> for Disease Control and Prevention. SARS-CoV-2 variant classifications and definitions. Updated Aug 2021. </w:t>
      </w:r>
      <w:hyperlink r:id="rId26">
        <w:r w:rsidRPr="000E2274">
          <w:rPr>
            <w:rFonts w:eastAsia="Roboto"/>
            <w:color w:val="000000" w:themeColor="text1"/>
            <w:highlight w:val="white"/>
            <w:u w:val="single"/>
          </w:rPr>
          <w:t>https://www.cdc.gov/coronavirus/2019-ncov/variants/variant-info.html</w:t>
        </w:r>
      </w:hyperlink>
    </w:p>
    <w:p w14:paraId="60D4F875"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Arial"/>
          <w:color w:val="000000" w:themeColor="text1"/>
          <w:highlight w:val="white"/>
        </w:rPr>
        <w:t xml:space="preserve">Campbell, F., Archer, B., </w:t>
      </w:r>
      <w:proofErr w:type="spellStart"/>
      <w:r w:rsidRPr="000E2274">
        <w:rPr>
          <w:rFonts w:eastAsia="Arial"/>
          <w:color w:val="000000" w:themeColor="text1"/>
          <w:highlight w:val="white"/>
        </w:rPr>
        <w:t>Laurenson</w:t>
      </w:r>
      <w:proofErr w:type="spellEnd"/>
      <w:r w:rsidRPr="000E2274">
        <w:rPr>
          <w:rFonts w:eastAsia="Arial"/>
          <w:color w:val="000000" w:themeColor="text1"/>
          <w:highlight w:val="white"/>
        </w:rPr>
        <w:t xml:space="preserve">-Schafer, H., Jinnai, Y., </w:t>
      </w:r>
      <w:proofErr w:type="spellStart"/>
      <w:r w:rsidRPr="000E2274">
        <w:rPr>
          <w:rFonts w:eastAsia="Arial"/>
          <w:color w:val="000000" w:themeColor="text1"/>
          <w:highlight w:val="white"/>
        </w:rPr>
        <w:t>Konings</w:t>
      </w:r>
      <w:proofErr w:type="spellEnd"/>
      <w:r w:rsidRPr="000E2274">
        <w:rPr>
          <w:rFonts w:eastAsia="Arial"/>
          <w:color w:val="000000" w:themeColor="text1"/>
          <w:highlight w:val="white"/>
        </w:rPr>
        <w:t xml:space="preserve">, F., Batra, N., </w:t>
      </w:r>
      <w:proofErr w:type="spellStart"/>
      <w:r w:rsidRPr="000E2274">
        <w:rPr>
          <w:rFonts w:eastAsia="Arial"/>
          <w:color w:val="000000" w:themeColor="text1"/>
          <w:highlight w:val="white"/>
        </w:rPr>
        <w:t>Pavlin</w:t>
      </w:r>
      <w:proofErr w:type="spellEnd"/>
      <w:r w:rsidRPr="000E2274">
        <w:rPr>
          <w:rFonts w:eastAsia="Arial"/>
          <w:color w:val="000000" w:themeColor="text1"/>
          <w:highlight w:val="white"/>
        </w:rPr>
        <w:t xml:space="preserve">, B., </w:t>
      </w:r>
      <w:proofErr w:type="spellStart"/>
      <w:r w:rsidRPr="000E2274">
        <w:rPr>
          <w:rFonts w:eastAsia="Arial"/>
          <w:color w:val="000000" w:themeColor="text1"/>
          <w:highlight w:val="white"/>
        </w:rPr>
        <w:t>Vandemaele</w:t>
      </w:r>
      <w:proofErr w:type="spellEnd"/>
      <w:r w:rsidRPr="000E2274">
        <w:rPr>
          <w:rFonts w:eastAsia="Arial"/>
          <w:color w:val="000000" w:themeColor="text1"/>
          <w:highlight w:val="white"/>
        </w:rPr>
        <w:t xml:space="preserve">, K., Van </w:t>
      </w:r>
      <w:proofErr w:type="spellStart"/>
      <w:r w:rsidRPr="000E2274">
        <w:rPr>
          <w:rFonts w:eastAsia="Arial"/>
          <w:color w:val="000000" w:themeColor="text1"/>
          <w:highlight w:val="white"/>
        </w:rPr>
        <w:t>Kerkhove</w:t>
      </w:r>
      <w:proofErr w:type="spellEnd"/>
      <w:r w:rsidRPr="000E2274">
        <w:rPr>
          <w:rFonts w:eastAsia="Arial"/>
          <w:color w:val="000000" w:themeColor="text1"/>
          <w:highlight w:val="white"/>
        </w:rPr>
        <w:t xml:space="preserve">, M.D., </w:t>
      </w:r>
      <w:proofErr w:type="spellStart"/>
      <w:r w:rsidRPr="000E2274">
        <w:rPr>
          <w:rFonts w:eastAsia="Arial"/>
          <w:color w:val="000000" w:themeColor="text1"/>
          <w:highlight w:val="white"/>
        </w:rPr>
        <w:t>Jombart</w:t>
      </w:r>
      <w:proofErr w:type="spellEnd"/>
      <w:r w:rsidRPr="000E2274">
        <w:rPr>
          <w:rFonts w:eastAsia="Arial"/>
          <w:color w:val="000000" w:themeColor="text1"/>
          <w:highlight w:val="white"/>
        </w:rPr>
        <w:t xml:space="preserve">, T. and Morgan, O., 2021. Increased transmissibility and global spread of SARS-CoV-2 variants of concern as </w:t>
      </w:r>
      <w:proofErr w:type="gramStart"/>
      <w:r w:rsidRPr="000E2274">
        <w:rPr>
          <w:rFonts w:eastAsia="Arial"/>
          <w:color w:val="000000" w:themeColor="text1"/>
          <w:highlight w:val="white"/>
        </w:rPr>
        <w:t>at</w:t>
      </w:r>
      <w:proofErr w:type="gramEnd"/>
      <w:r w:rsidRPr="000E2274">
        <w:rPr>
          <w:rFonts w:eastAsia="Arial"/>
          <w:color w:val="000000" w:themeColor="text1"/>
          <w:highlight w:val="white"/>
        </w:rPr>
        <w:t xml:space="preserve"> June 2021. </w:t>
      </w:r>
      <w:proofErr w:type="spellStart"/>
      <w:r w:rsidRPr="000E2274">
        <w:rPr>
          <w:rFonts w:eastAsia="Arial"/>
          <w:color w:val="000000" w:themeColor="text1"/>
          <w:highlight w:val="white"/>
        </w:rPr>
        <w:t>Eurosurveillance</w:t>
      </w:r>
      <w:proofErr w:type="spellEnd"/>
      <w:r w:rsidRPr="000E2274">
        <w:rPr>
          <w:rFonts w:eastAsia="Arial"/>
          <w:color w:val="000000" w:themeColor="text1"/>
          <w:highlight w:val="white"/>
        </w:rPr>
        <w:t>, 26(24), p.2100509.</w:t>
      </w:r>
    </w:p>
    <w:p w14:paraId="654C8BB9" w14:textId="77777777" w:rsidR="002564DF" w:rsidRPr="000E2274" w:rsidRDefault="002564DF" w:rsidP="002564DF">
      <w:pPr>
        <w:numPr>
          <w:ilvl w:val="0"/>
          <w:numId w:val="1"/>
        </w:numPr>
        <w:spacing w:line="240" w:lineRule="auto"/>
        <w:rPr>
          <w:rFonts w:eastAsia="Arial"/>
          <w:color w:val="000000" w:themeColor="text1"/>
          <w:highlight w:val="white"/>
        </w:rPr>
      </w:pPr>
      <w:hyperlink r:id="rId27">
        <w:r w:rsidRPr="000E2274">
          <w:rPr>
            <w:rFonts w:eastAsia="Roboto"/>
            <w:color w:val="000000" w:themeColor="text1"/>
            <w:highlight w:val="white"/>
            <w:u w:val="single"/>
          </w:rPr>
          <w:t>https://www.hindustantimes.com/india-news/study-delta-variant-more-transmissible-than-others-101624300116730.html</w:t>
        </w:r>
      </w:hyperlink>
    </w:p>
    <w:p w14:paraId="449935A3" w14:textId="77777777" w:rsidR="002564DF" w:rsidRPr="000E2274" w:rsidRDefault="002564DF" w:rsidP="002564DF">
      <w:pPr>
        <w:numPr>
          <w:ilvl w:val="0"/>
          <w:numId w:val="1"/>
        </w:numPr>
        <w:spacing w:line="240" w:lineRule="auto"/>
        <w:rPr>
          <w:rFonts w:eastAsia="Arial"/>
          <w:color w:val="000000" w:themeColor="text1"/>
          <w:highlight w:val="white"/>
        </w:rPr>
      </w:pPr>
      <w:r w:rsidRPr="000E2274">
        <w:rPr>
          <w:rFonts w:eastAsia="Roboto"/>
          <w:color w:val="000000" w:themeColor="text1"/>
          <w:highlight w:val="white"/>
        </w:rPr>
        <w:t xml:space="preserve">Fine, P., Eames, K. and </w:t>
      </w:r>
      <w:proofErr w:type="spellStart"/>
      <w:r w:rsidRPr="000E2274">
        <w:rPr>
          <w:rFonts w:eastAsia="Roboto"/>
          <w:color w:val="000000" w:themeColor="text1"/>
          <w:highlight w:val="white"/>
        </w:rPr>
        <w:t>Heymann</w:t>
      </w:r>
      <w:proofErr w:type="spellEnd"/>
      <w:r w:rsidRPr="000E2274">
        <w:rPr>
          <w:rFonts w:eastAsia="Roboto"/>
          <w:color w:val="000000" w:themeColor="text1"/>
          <w:highlight w:val="white"/>
        </w:rPr>
        <w:t>, D.L., 2011. “Herd immunity”: a rough guide. Clinical infectious diseases, 52(7), pp.911-916.</w:t>
      </w:r>
    </w:p>
    <w:p w14:paraId="44AB8A9A" w14:textId="77777777" w:rsidR="002564DF" w:rsidRPr="000E2274" w:rsidRDefault="002564DF" w:rsidP="002564DF">
      <w:pPr>
        <w:numPr>
          <w:ilvl w:val="0"/>
          <w:numId w:val="1"/>
        </w:numPr>
        <w:spacing w:line="240" w:lineRule="auto"/>
        <w:rPr>
          <w:rFonts w:eastAsia="Roboto"/>
          <w:color w:val="000000" w:themeColor="text1"/>
          <w:highlight w:val="white"/>
        </w:rPr>
      </w:pPr>
      <w:proofErr w:type="spellStart"/>
      <w:r w:rsidRPr="000E2274">
        <w:rPr>
          <w:rFonts w:eastAsia="Roboto"/>
          <w:color w:val="000000" w:themeColor="text1"/>
          <w:highlight w:val="white"/>
        </w:rPr>
        <w:t>Chowell</w:t>
      </w:r>
      <w:proofErr w:type="spellEnd"/>
      <w:r w:rsidRPr="000E2274">
        <w:rPr>
          <w:rFonts w:eastAsia="Roboto"/>
          <w:color w:val="000000" w:themeColor="text1"/>
          <w:highlight w:val="white"/>
        </w:rPr>
        <w:t xml:space="preserve">, G., </w:t>
      </w:r>
      <w:proofErr w:type="spellStart"/>
      <w:r w:rsidRPr="000E2274">
        <w:rPr>
          <w:rFonts w:eastAsia="Roboto"/>
          <w:color w:val="000000" w:themeColor="text1"/>
          <w:highlight w:val="white"/>
        </w:rPr>
        <w:t>Hengartner</w:t>
      </w:r>
      <w:proofErr w:type="spellEnd"/>
      <w:r w:rsidRPr="000E2274">
        <w:rPr>
          <w:rFonts w:eastAsia="Roboto"/>
          <w:color w:val="000000" w:themeColor="text1"/>
          <w:highlight w:val="white"/>
        </w:rPr>
        <w:t>, N.W., Castillo-Chavez, C., Fenimore, P.W. and Hyman, J.M., 2004. The basic reproductive number of Ebola and the effects of public health measures: the cases of Congo and Uganda. Journal of theoretical biology, 229(1), pp.119-126.</w:t>
      </w:r>
    </w:p>
    <w:p w14:paraId="03F10E5D" w14:textId="77777777" w:rsidR="002564DF" w:rsidRPr="000E2274" w:rsidRDefault="002564DF" w:rsidP="002564DF">
      <w:pPr>
        <w:numPr>
          <w:ilvl w:val="0"/>
          <w:numId w:val="1"/>
        </w:numPr>
        <w:spacing w:line="240" w:lineRule="auto"/>
        <w:rPr>
          <w:rFonts w:eastAsia="Roboto"/>
          <w:color w:val="000000" w:themeColor="text1"/>
          <w:highlight w:val="white"/>
        </w:rPr>
      </w:pPr>
      <w:proofErr w:type="spellStart"/>
      <w:r w:rsidRPr="000E2274">
        <w:rPr>
          <w:rFonts w:eastAsia="Roboto"/>
          <w:color w:val="000000" w:themeColor="text1"/>
          <w:highlight w:val="white"/>
        </w:rPr>
        <w:t>Ajelli</w:t>
      </w:r>
      <w:proofErr w:type="spellEnd"/>
      <w:r w:rsidRPr="000E2274">
        <w:rPr>
          <w:rFonts w:eastAsia="Roboto"/>
          <w:color w:val="000000" w:themeColor="text1"/>
          <w:highlight w:val="white"/>
        </w:rPr>
        <w:t xml:space="preserve">, M., </w:t>
      </w:r>
      <w:proofErr w:type="spellStart"/>
      <w:r w:rsidRPr="000E2274">
        <w:rPr>
          <w:rFonts w:eastAsia="Roboto"/>
          <w:color w:val="000000" w:themeColor="text1"/>
          <w:highlight w:val="white"/>
        </w:rPr>
        <w:t>Iannelli</w:t>
      </w:r>
      <w:proofErr w:type="spellEnd"/>
      <w:r w:rsidRPr="000E2274">
        <w:rPr>
          <w:rFonts w:eastAsia="Roboto"/>
          <w:color w:val="000000" w:themeColor="text1"/>
          <w:highlight w:val="white"/>
        </w:rPr>
        <w:t xml:space="preserve">, M., Manfredi, P. and </w:t>
      </w:r>
      <w:proofErr w:type="spellStart"/>
      <w:r w:rsidRPr="000E2274">
        <w:rPr>
          <w:rFonts w:eastAsia="Roboto"/>
          <w:color w:val="000000" w:themeColor="text1"/>
          <w:highlight w:val="white"/>
        </w:rPr>
        <w:t>degli</w:t>
      </w:r>
      <w:proofErr w:type="spellEnd"/>
      <w:r w:rsidRPr="000E2274">
        <w:rPr>
          <w:rFonts w:eastAsia="Roboto"/>
          <w:color w:val="000000" w:themeColor="text1"/>
          <w:highlight w:val="white"/>
        </w:rPr>
        <w:t xml:space="preserve"> </w:t>
      </w:r>
      <w:proofErr w:type="spellStart"/>
      <w:r w:rsidRPr="000E2274">
        <w:rPr>
          <w:rFonts w:eastAsia="Roboto"/>
          <w:color w:val="000000" w:themeColor="text1"/>
          <w:highlight w:val="white"/>
        </w:rPr>
        <w:t>Atti</w:t>
      </w:r>
      <w:proofErr w:type="spellEnd"/>
      <w:r w:rsidRPr="000E2274">
        <w:rPr>
          <w:rFonts w:eastAsia="Roboto"/>
          <w:color w:val="000000" w:themeColor="text1"/>
          <w:highlight w:val="white"/>
        </w:rPr>
        <w:t>, M.L.C., 2008. Basic mathematical models for the temporal dynamics of HAV in medium-endemicity Italian areas. Vaccine, 26(13), pp.1697-1707.</w:t>
      </w:r>
    </w:p>
    <w:p w14:paraId="51C0C626"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Roboto"/>
          <w:color w:val="000000" w:themeColor="text1"/>
          <w:highlight w:val="white"/>
        </w:rPr>
        <w:t xml:space="preserve">Heffernan, J.M., Smith, </w:t>
      </w:r>
      <w:proofErr w:type="gramStart"/>
      <w:r w:rsidRPr="000E2274">
        <w:rPr>
          <w:rFonts w:eastAsia="Roboto"/>
          <w:color w:val="000000" w:themeColor="text1"/>
          <w:highlight w:val="white"/>
        </w:rPr>
        <w:t>R.J.</w:t>
      </w:r>
      <w:proofErr w:type="gramEnd"/>
      <w:r w:rsidRPr="000E2274">
        <w:rPr>
          <w:rFonts w:eastAsia="Roboto"/>
          <w:color w:val="000000" w:themeColor="text1"/>
          <w:highlight w:val="white"/>
        </w:rPr>
        <w:t xml:space="preserve"> and Wahl, L.M., 2005. Perspectives on the basic reproductive ratio. Journal of the Royal Society Interface, 2(4), pp.281-293.</w:t>
      </w:r>
    </w:p>
    <w:p w14:paraId="6B7E7AC4"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Roboto"/>
          <w:color w:val="000000" w:themeColor="text1"/>
          <w:highlight w:val="white"/>
        </w:rPr>
        <w:t xml:space="preserve">Li, J. and Blakeley, D., The failure of </w:t>
      </w:r>
      <w:r w:rsidRPr="000E2274">
        <w:rPr>
          <w:rFonts w:ascii="Cambria Math" w:eastAsia="Roboto" w:hAnsi="Cambria Math" w:cs="Cambria Math"/>
          <w:color w:val="000000" w:themeColor="text1"/>
          <w:highlight w:val="white"/>
        </w:rPr>
        <w:t>𝑅</w:t>
      </w:r>
      <w:r w:rsidRPr="000E2274">
        <w:rPr>
          <w:rFonts w:eastAsia="Roboto"/>
          <w:color w:val="000000" w:themeColor="text1"/>
          <w:highlight w:val="white"/>
        </w:rPr>
        <w:t>0. Computational and Mathematical Methods in Medicine, 2011.</w:t>
      </w:r>
    </w:p>
    <w:p w14:paraId="6E389EAC"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Roboto"/>
          <w:color w:val="000000" w:themeColor="text1"/>
          <w:highlight w:val="white"/>
        </w:rPr>
        <w:t>Delamater, P.L., Street, E.J., Leslie, T.F., Yang, Y.T. and Jacobsen, K.H., 2019. Complexity of the basic reproduction number (R0). Emerging infectious diseases, 25(1), p.1.</w:t>
      </w:r>
    </w:p>
    <w:p w14:paraId="0D2C14DD" w14:textId="77777777" w:rsidR="002564DF" w:rsidRPr="000E2274" w:rsidRDefault="002564DF" w:rsidP="002564DF">
      <w:pPr>
        <w:numPr>
          <w:ilvl w:val="0"/>
          <w:numId w:val="1"/>
        </w:numPr>
        <w:spacing w:line="240" w:lineRule="auto"/>
        <w:rPr>
          <w:rFonts w:eastAsia="Roboto"/>
          <w:color w:val="000000" w:themeColor="text1"/>
          <w:highlight w:val="white"/>
        </w:rPr>
      </w:pPr>
      <w:proofErr w:type="spellStart"/>
      <w:r w:rsidRPr="000E2274">
        <w:rPr>
          <w:rFonts w:eastAsia="Roboto"/>
          <w:color w:val="000000" w:themeColor="text1"/>
          <w:highlight w:val="white"/>
        </w:rPr>
        <w:t>Ruktanonchai</w:t>
      </w:r>
      <w:proofErr w:type="spellEnd"/>
      <w:r w:rsidRPr="000E2274">
        <w:rPr>
          <w:rFonts w:eastAsia="Roboto"/>
          <w:color w:val="000000" w:themeColor="text1"/>
          <w:highlight w:val="white"/>
        </w:rPr>
        <w:t xml:space="preserve">, N.W., Floyd, J.R., Lai, S., </w:t>
      </w:r>
      <w:proofErr w:type="spellStart"/>
      <w:r w:rsidRPr="000E2274">
        <w:rPr>
          <w:rFonts w:eastAsia="Roboto"/>
          <w:color w:val="000000" w:themeColor="text1"/>
          <w:highlight w:val="white"/>
        </w:rPr>
        <w:t>Ruktanonchai</w:t>
      </w:r>
      <w:proofErr w:type="spellEnd"/>
      <w:r w:rsidRPr="000E2274">
        <w:rPr>
          <w:rFonts w:eastAsia="Roboto"/>
          <w:color w:val="000000" w:themeColor="text1"/>
          <w:highlight w:val="white"/>
        </w:rPr>
        <w:t xml:space="preserve">, C.W., </w:t>
      </w:r>
      <w:proofErr w:type="spellStart"/>
      <w:r w:rsidRPr="000E2274">
        <w:rPr>
          <w:rFonts w:eastAsia="Roboto"/>
          <w:color w:val="000000" w:themeColor="text1"/>
          <w:highlight w:val="white"/>
        </w:rPr>
        <w:t>Sadilek</w:t>
      </w:r>
      <w:proofErr w:type="spellEnd"/>
      <w:r w:rsidRPr="000E2274">
        <w:rPr>
          <w:rFonts w:eastAsia="Roboto"/>
          <w:color w:val="000000" w:themeColor="text1"/>
          <w:highlight w:val="white"/>
        </w:rPr>
        <w:t xml:space="preserve">, A., </w:t>
      </w:r>
      <w:proofErr w:type="spellStart"/>
      <w:r w:rsidRPr="000E2274">
        <w:rPr>
          <w:rFonts w:eastAsia="Roboto"/>
          <w:color w:val="000000" w:themeColor="text1"/>
          <w:highlight w:val="white"/>
        </w:rPr>
        <w:t>Rente</w:t>
      </w:r>
      <w:proofErr w:type="spellEnd"/>
      <w:r w:rsidRPr="000E2274">
        <w:rPr>
          <w:rFonts w:eastAsia="Roboto"/>
          <w:color w:val="000000" w:themeColor="text1"/>
          <w:highlight w:val="white"/>
        </w:rPr>
        <w:t xml:space="preserve">-Lourenco, P., Ben, X., </w:t>
      </w:r>
      <w:proofErr w:type="spellStart"/>
      <w:r w:rsidRPr="000E2274">
        <w:rPr>
          <w:rFonts w:eastAsia="Roboto"/>
          <w:color w:val="000000" w:themeColor="text1"/>
          <w:highlight w:val="white"/>
        </w:rPr>
        <w:t>Carioli</w:t>
      </w:r>
      <w:proofErr w:type="spellEnd"/>
      <w:r w:rsidRPr="000E2274">
        <w:rPr>
          <w:rFonts w:eastAsia="Roboto"/>
          <w:color w:val="000000" w:themeColor="text1"/>
          <w:highlight w:val="white"/>
        </w:rPr>
        <w:t>, A., Gwinn, J., Steele, J.E. and Prosper, O., 2020. Assessing the impact of coordinated COVID-19 exit strategies across Europe. Science, 369(6510), pp.1465-1470.</w:t>
      </w:r>
    </w:p>
    <w:p w14:paraId="6F2916CF" w14:textId="77777777" w:rsidR="002564DF" w:rsidRPr="000E2274" w:rsidRDefault="002564DF" w:rsidP="002564DF">
      <w:pPr>
        <w:numPr>
          <w:ilvl w:val="0"/>
          <w:numId w:val="1"/>
        </w:numPr>
        <w:spacing w:line="240" w:lineRule="auto"/>
        <w:rPr>
          <w:rFonts w:eastAsia="Roboto"/>
          <w:color w:val="000000" w:themeColor="text1"/>
          <w:highlight w:val="white"/>
        </w:rPr>
      </w:pPr>
      <w:proofErr w:type="spellStart"/>
      <w:r w:rsidRPr="000E2274">
        <w:rPr>
          <w:rFonts w:eastAsia="Roboto"/>
          <w:color w:val="000000" w:themeColor="text1"/>
          <w:highlight w:val="white"/>
        </w:rPr>
        <w:t>Haug</w:t>
      </w:r>
      <w:proofErr w:type="spellEnd"/>
      <w:r w:rsidRPr="000E2274">
        <w:rPr>
          <w:rFonts w:eastAsia="Roboto"/>
          <w:color w:val="000000" w:themeColor="text1"/>
          <w:highlight w:val="white"/>
        </w:rPr>
        <w:t xml:space="preserve">, N., </w:t>
      </w:r>
      <w:proofErr w:type="spellStart"/>
      <w:r w:rsidRPr="000E2274">
        <w:rPr>
          <w:rFonts w:eastAsia="Roboto"/>
          <w:color w:val="000000" w:themeColor="text1"/>
          <w:highlight w:val="white"/>
        </w:rPr>
        <w:t>Geyrhofer</w:t>
      </w:r>
      <w:proofErr w:type="spellEnd"/>
      <w:r w:rsidRPr="000E2274">
        <w:rPr>
          <w:rFonts w:eastAsia="Roboto"/>
          <w:color w:val="000000" w:themeColor="text1"/>
          <w:highlight w:val="white"/>
        </w:rPr>
        <w:t xml:space="preserve">, L., </w:t>
      </w:r>
      <w:proofErr w:type="spellStart"/>
      <w:r w:rsidRPr="000E2274">
        <w:rPr>
          <w:rFonts w:eastAsia="Roboto"/>
          <w:color w:val="000000" w:themeColor="text1"/>
          <w:highlight w:val="white"/>
        </w:rPr>
        <w:t>Londei</w:t>
      </w:r>
      <w:proofErr w:type="spellEnd"/>
      <w:r w:rsidRPr="000E2274">
        <w:rPr>
          <w:rFonts w:eastAsia="Roboto"/>
          <w:color w:val="000000" w:themeColor="text1"/>
          <w:highlight w:val="white"/>
        </w:rPr>
        <w:t xml:space="preserve">, A. et al. Ranking the effectiveness of worldwide COVID-19 government interventions. Nat Hum </w:t>
      </w:r>
      <w:proofErr w:type="spellStart"/>
      <w:r w:rsidRPr="000E2274">
        <w:rPr>
          <w:rFonts w:eastAsia="Roboto"/>
          <w:color w:val="000000" w:themeColor="text1"/>
          <w:highlight w:val="white"/>
        </w:rPr>
        <w:t>Behav</w:t>
      </w:r>
      <w:proofErr w:type="spellEnd"/>
      <w:r w:rsidRPr="000E2274">
        <w:rPr>
          <w:rFonts w:eastAsia="Roboto"/>
          <w:color w:val="000000" w:themeColor="text1"/>
          <w:highlight w:val="white"/>
        </w:rPr>
        <w:t xml:space="preserve"> 4, 1303–1312 (2020). </w:t>
      </w:r>
      <w:hyperlink r:id="rId28">
        <w:r w:rsidRPr="000E2274">
          <w:rPr>
            <w:rFonts w:eastAsia="Roboto"/>
            <w:color w:val="000000" w:themeColor="text1"/>
            <w:highlight w:val="white"/>
          </w:rPr>
          <w:t>https://doi.org/10.1038/s41562-020-01009-0</w:t>
        </w:r>
      </w:hyperlink>
    </w:p>
    <w:p w14:paraId="165CE9B4" w14:textId="77777777" w:rsidR="002564DF" w:rsidRPr="000E2274" w:rsidRDefault="002564DF" w:rsidP="002564DF">
      <w:pPr>
        <w:numPr>
          <w:ilvl w:val="0"/>
          <w:numId w:val="1"/>
        </w:numPr>
        <w:spacing w:line="240" w:lineRule="auto"/>
        <w:rPr>
          <w:rFonts w:eastAsia="Roboto"/>
          <w:color w:val="000000" w:themeColor="text1"/>
          <w:highlight w:val="white"/>
        </w:rPr>
      </w:pPr>
      <w:r w:rsidRPr="000E2274">
        <w:rPr>
          <w:rFonts w:eastAsia="Roboto"/>
          <w:color w:val="000000" w:themeColor="text1"/>
          <w:highlight w:val="white"/>
        </w:rPr>
        <w:t xml:space="preserve">Hale, T., Angrist, N., </w:t>
      </w:r>
      <w:proofErr w:type="spellStart"/>
      <w:r w:rsidRPr="000E2274">
        <w:rPr>
          <w:rFonts w:eastAsia="Roboto"/>
          <w:color w:val="000000" w:themeColor="text1"/>
          <w:highlight w:val="white"/>
        </w:rPr>
        <w:t>Goldszmidt</w:t>
      </w:r>
      <w:proofErr w:type="spellEnd"/>
      <w:r w:rsidRPr="000E2274">
        <w:rPr>
          <w:rFonts w:eastAsia="Roboto"/>
          <w:color w:val="000000" w:themeColor="text1"/>
          <w:highlight w:val="white"/>
        </w:rPr>
        <w:t xml:space="preserve">, R. et al. A global panel database of pandemic policies (Oxford COVID-19 Government Response Tracker). Nat Hum </w:t>
      </w:r>
      <w:proofErr w:type="spellStart"/>
      <w:r w:rsidRPr="000E2274">
        <w:rPr>
          <w:rFonts w:eastAsia="Roboto"/>
          <w:color w:val="000000" w:themeColor="text1"/>
          <w:highlight w:val="white"/>
        </w:rPr>
        <w:t>Behav</w:t>
      </w:r>
      <w:proofErr w:type="spellEnd"/>
      <w:r w:rsidRPr="000E2274">
        <w:rPr>
          <w:rFonts w:eastAsia="Roboto"/>
          <w:color w:val="000000" w:themeColor="text1"/>
          <w:highlight w:val="white"/>
        </w:rPr>
        <w:t xml:space="preserve"> 5, 529–538 (2021). </w:t>
      </w:r>
      <w:hyperlink r:id="rId29">
        <w:r w:rsidRPr="000E2274">
          <w:rPr>
            <w:rFonts w:eastAsia="Roboto"/>
            <w:color w:val="000000" w:themeColor="text1"/>
            <w:highlight w:val="white"/>
          </w:rPr>
          <w:t>https://doi.org/10.1038/s41562-021-01079-8</w:t>
        </w:r>
      </w:hyperlink>
    </w:p>
    <w:p w14:paraId="057E6474" w14:textId="77777777" w:rsidR="002564DF" w:rsidRDefault="002564DF" w:rsidP="002564DF"/>
    <w:p w14:paraId="263371BE" w14:textId="77777777" w:rsidR="00FB3048" w:rsidRDefault="00FB3048"/>
    <w:sectPr w:rsidR="00FB3048">
      <w:pgSz w:w="11900" w:h="16840"/>
      <w:pgMar w:top="1440" w:right="1800" w:bottom="1440" w:left="180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2FF" w:usb1="5000205B" w:usb2="0000002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428D8"/>
    <w:multiLevelType w:val="multilevel"/>
    <w:tmpl w:val="6694D8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4DF"/>
    <w:rsid w:val="00011DE9"/>
    <w:rsid w:val="0006238C"/>
    <w:rsid w:val="000A75D1"/>
    <w:rsid w:val="000E2274"/>
    <w:rsid w:val="00133157"/>
    <w:rsid w:val="0014764F"/>
    <w:rsid w:val="002564DF"/>
    <w:rsid w:val="00312006"/>
    <w:rsid w:val="004E2AA2"/>
    <w:rsid w:val="005F1B9B"/>
    <w:rsid w:val="006241A9"/>
    <w:rsid w:val="00983FF1"/>
    <w:rsid w:val="00B56A03"/>
    <w:rsid w:val="00CC1518"/>
    <w:rsid w:val="00EE47C1"/>
    <w:rsid w:val="00F4257B"/>
    <w:rsid w:val="00FA7E11"/>
    <w:rsid w:val="00FB3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A485E"/>
  <w15:chartTrackingRefBased/>
  <w15:docId w15:val="{965E300D-A3CD-47B4-9B8C-7DE08FA68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64DF"/>
    <w:pPr>
      <w:spacing w:line="480" w:lineRule="auto"/>
      <w:jc w:val="both"/>
    </w:pPr>
    <w:rPr>
      <w:rFonts w:ascii="Times New Roman" w:hAnsi="Times New Roman" w:cs="Times New Roman"/>
      <w:kern w:val="0"/>
      <w:sz w:val="24"/>
      <w:szCs w:val="24"/>
      <w:lang w:val="en-GB"/>
    </w:rPr>
  </w:style>
  <w:style w:type="paragraph" w:styleId="Heading1">
    <w:name w:val="heading 1"/>
    <w:basedOn w:val="Normal"/>
    <w:next w:val="Normal"/>
    <w:link w:val="Heading1Char"/>
    <w:uiPriority w:val="9"/>
    <w:qFormat/>
    <w:rsid w:val="002564DF"/>
    <w:pPr>
      <w:keepNext/>
      <w:keepLines/>
      <w:spacing w:line="360" w:lineRule="auto"/>
      <w:outlineLvl w:val="0"/>
    </w:pPr>
    <w:rPr>
      <w:b/>
    </w:rPr>
  </w:style>
  <w:style w:type="paragraph" w:styleId="Heading2">
    <w:name w:val="heading 2"/>
    <w:basedOn w:val="Normal"/>
    <w:next w:val="Normal"/>
    <w:link w:val="Heading2Char"/>
    <w:uiPriority w:val="9"/>
    <w:unhideWhenUsed/>
    <w:qFormat/>
    <w:rsid w:val="002564DF"/>
    <w:pPr>
      <w:keepNext/>
      <w:keepLines/>
      <w:spacing w:line="360" w:lineRule="auto"/>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64DF"/>
    <w:rPr>
      <w:rFonts w:ascii="Times New Roman" w:hAnsi="Times New Roman" w:cs="Times New Roman"/>
      <w:b/>
      <w:kern w:val="0"/>
      <w:sz w:val="24"/>
      <w:szCs w:val="24"/>
      <w:lang w:val="en-GB"/>
    </w:rPr>
  </w:style>
  <w:style w:type="character" w:customStyle="1" w:styleId="Heading2Char">
    <w:name w:val="Heading 2 Char"/>
    <w:basedOn w:val="DefaultParagraphFont"/>
    <w:link w:val="Heading2"/>
    <w:uiPriority w:val="9"/>
    <w:rsid w:val="002564DF"/>
    <w:rPr>
      <w:rFonts w:ascii="Times New Roman" w:hAnsi="Times New Roman" w:cs="Times New Roman"/>
      <w:b/>
      <w:kern w:val="0"/>
      <w:sz w:val="24"/>
      <w:szCs w:val="24"/>
      <w:lang w:val="en-GB"/>
    </w:rPr>
  </w:style>
  <w:style w:type="paragraph" w:styleId="Title">
    <w:name w:val="Title"/>
    <w:basedOn w:val="Normal"/>
    <w:next w:val="Normal"/>
    <w:link w:val="TitleChar"/>
    <w:uiPriority w:val="10"/>
    <w:qFormat/>
    <w:rsid w:val="002564DF"/>
    <w:pPr>
      <w:keepNext/>
      <w:keepLines/>
      <w:spacing w:line="360" w:lineRule="auto"/>
    </w:pPr>
    <w:rPr>
      <w:b/>
      <w:sz w:val="32"/>
      <w:szCs w:val="32"/>
    </w:rPr>
  </w:style>
  <w:style w:type="character" w:customStyle="1" w:styleId="TitleChar">
    <w:name w:val="Title Char"/>
    <w:basedOn w:val="DefaultParagraphFont"/>
    <w:link w:val="Title"/>
    <w:uiPriority w:val="10"/>
    <w:rsid w:val="002564DF"/>
    <w:rPr>
      <w:rFonts w:ascii="Times New Roman" w:hAnsi="Times New Roman" w:cs="Times New Roman"/>
      <w:b/>
      <w:kern w:val="0"/>
      <w:sz w:val="32"/>
      <w:szCs w:val="32"/>
      <w:lang w:val="en-GB"/>
    </w:rPr>
  </w:style>
  <w:style w:type="paragraph" w:styleId="TOCHeading">
    <w:name w:val="TOC Heading"/>
    <w:basedOn w:val="Heading1"/>
    <w:next w:val="Normal"/>
    <w:uiPriority w:val="39"/>
    <w:unhideWhenUsed/>
    <w:qFormat/>
    <w:rsid w:val="0006238C"/>
    <w:pPr>
      <w:spacing w:before="240" w:line="259" w:lineRule="auto"/>
      <w:jc w:val="left"/>
      <w:outlineLvl w:val="9"/>
    </w:pPr>
    <w:rPr>
      <w:rFonts w:asciiTheme="majorHAnsi" w:eastAsiaTheme="majorEastAsia" w:hAnsiTheme="majorHAnsi" w:cstheme="majorBidi"/>
      <w:b w:val="0"/>
      <w:color w:val="2F5496" w:themeColor="accent1" w:themeShade="BF"/>
      <w:sz w:val="32"/>
      <w:szCs w:val="32"/>
      <w:lang w:val="en-US" w:eastAsia="en-US"/>
    </w:rPr>
  </w:style>
  <w:style w:type="paragraph" w:styleId="TOC1">
    <w:name w:val="toc 1"/>
    <w:basedOn w:val="Normal"/>
    <w:next w:val="Normal"/>
    <w:autoRedefine/>
    <w:uiPriority w:val="39"/>
    <w:unhideWhenUsed/>
    <w:rsid w:val="00F4257B"/>
    <w:pPr>
      <w:tabs>
        <w:tab w:val="right" w:leader="dot" w:pos="8290"/>
      </w:tabs>
    </w:pPr>
    <w:rPr>
      <w:b/>
      <w:bCs/>
      <w:noProof/>
    </w:rPr>
  </w:style>
  <w:style w:type="paragraph" w:styleId="TOC2">
    <w:name w:val="toc 2"/>
    <w:basedOn w:val="Normal"/>
    <w:next w:val="Normal"/>
    <w:autoRedefine/>
    <w:uiPriority w:val="39"/>
    <w:unhideWhenUsed/>
    <w:rsid w:val="0006238C"/>
    <w:pPr>
      <w:ind w:leftChars="200" w:left="420"/>
    </w:pPr>
  </w:style>
  <w:style w:type="character" w:styleId="Hyperlink">
    <w:name w:val="Hyperlink"/>
    <w:basedOn w:val="DefaultParagraphFont"/>
    <w:uiPriority w:val="99"/>
    <w:unhideWhenUsed/>
    <w:rsid w:val="0006238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hyperlink" Target="https://www.cdc.gov/coronavirus/2019-ncov/variants/variant-info.html" TargetMode="Externa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hyperlink" Target="https://doi.org/10.1038/s41562-021-01079-8"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hyperlink" Target="https://doi.org/10.1038/s41562-020-01009-0" TargetMode="Externa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yperlink" Target="https://www.hindustantimes.com/india-news/study-delta-variant-more-transmissible-than-others-101624300116730.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9288E-79B9-4BE5-8620-3A3167B19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22</Pages>
  <Words>4345</Words>
  <Characters>24767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文彬</dc:creator>
  <cp:keywords/>
  <dc:description/>
  <cp:lastModifiedBy>张 文彬</cp:lastModifiedBy>
  <cp:revision>16</cp:revision>
  <dcterms:created xsi:type="dcterms:W3CDTF">2021-10-25T02:28:00Z</dcterms:created>
  <dcterms:modified xsi:type="dcterms:W3CDTF">2021-10-25T08:29:00Z</dcterms:modified>
</cp:coreProperties>
</file>