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184F74" w:rsidRPr="005C387E" w:rsidTr="008655EB">
        <w:tc>
          <w:tcPr>
            <w:tcW w:w="3041" w:type="dxa"/>
            <w:shd w:val="clear" w:color="auto" w:fill="1F4E79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b/>
                <w:sz w:val="24"/>
                <w:szCs w:val="24"/>
              </w:rPr>
              <w:t>Time Point</w:t>
            </w:r>
          </w:p>
        </w:tc>
        <w:tc>
          <w:tcPr>
            <w:tcW w:w="3041" w:type="dxa"/>
            <w:shd w:val="clear" w:color="auto" w:fill="1F4E79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b/>
                <w:sz w:val="24"/>
                <w:szCs w:val="24"/>
              </w:rPr>
              <w:t>Event</w:t>
            </w:r>
          </w:p>
        </w:tc>
        <w:tc>
          <w:tcPr>
            <w:tcW w:w="3041" w:type="dxa"/>
            <w:shd w:val="clear" w:color="auto" w:fill="1F4E79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b/>
                <w:sz w:val="24"/>
                <w:szCs w:val="24"/>
              </w:rPr>
              <w:t>Key Finding / Action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Pre-hospital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High-velocity rollover RTA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Front-seat passenger; direct EMS transport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ED Arrival (T=0)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Primary &amp; secondary survey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GCS 14/15; haemodynamically stable; PERRLA; injuries identified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T=0 – 30 min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FAST, plain radiographs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FAST negative; CXR/pelvis/C-spine normal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T=30 – 90 min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CT head (non-contrast)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Small Right tentorial extra-axial haemorrhage; no midline shift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T=90 – 180 min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Pan-CT (whole body)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Left 1st–2nd rib Fracture; Right 1st rib Fracture; C7 spinous process Fracture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T=180 – 240 min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CT angiography head &amp; neck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 FINDING: absent left ICA; absent bony carotid canal (congenital agenesis)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T=240 – 360 min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Cardiac evaluation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ECG, troponin, CK-MB, echo all normal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Day 1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MDT review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Neurosurgery, orthopaedics, trauma surgery, vascular neurology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Day 2 (48 h)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Repeat CT head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Stable tentorial haemorrhage; no interval change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Days 1–7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Inpatient management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Conservative; wound care; analgesia; respiratory physiotherapy and soft cervical collar support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Day 7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Discharge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Stable; aspirin commenced; statin prescribed; written instructions issued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Week 6 post-discharge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Outpatient neurovascular review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First follow-up scheduled</w:t>
            </w:r>
          </w:p>
        </w:tc>
      </w:tr>
      <w:tr w:rsidR="00184F74" w:rsidRPr="005C387E" w:rsidTr="008655EB"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Year 5 from the index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MRA surveillance</w:t>
            </w:r>
          </w:p>
        </w:tc>
        <w:tc>
          <w:tcPr>
            <w:tcW w:w="3041" w:type="dxa"/>
          </w:tcPr>
          <w:p w:rsidR="00184F74" w:rsidRPr="005C387E" w:rsidRDefault="00184F74" w:rsidP="00865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387E">
              <w:rPr>
                <w:rFonts w:asciiTheme="majorBidi" w:hAnsiTheme="majorBidi" w:cstheme="majorBidi"/>
                <w:sz w:val="24"/>
                <w:szCs w:val="24"/>
              </w:rPr>
              <w:t>Planned de novo aneurysm screening [9]</w:t>
            </w:r>
          </w:p>
        </w:tc>
      </w:tr>
    </w:tbl>
    <w:p w:rsidR="00184F74" w:rsidRDefault="00184F74"/>
    <w:sectPr w:rsidR="00184F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74"/>
    <w:rsid w:val="001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O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B8A948-A908-D744-A270-A48B5E89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O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74"/>
    <w:rPr>
      <w:rFonts w:ascii="Georgia" w:eastAsia="Georgia" w:hAnsi="Georgia" w:cs="Georgia"/>
      <w:color w:val="11111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F74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Parkash, Niha</dc:creator>
  <cp:keywords/>
  <dc:description/>
  <cp:lastModifiedBy>Parkash, Niha</cp:lastModifiedBy>
  <cp:revision>1</cp:revision>
  <dcterms:created xsi:type="dcterms:W3CDTF">2026-07-13T04:52:00Z</dcterms:created>
  <dcterms:modified xsi:type="dcterms:W3CDTF">2026-07-13T04:53:00Z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22A39BC0-1094-4AEE-A053-7F16A18AEE9C</vt:lpwstr>
  </property>
</Properties>
</file>