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7FC" w:rsidRDefault="009627F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17DEA">
        <w:rPr>
          <w:rFonts w:ascii="Times New Roman" w:hAnsi="Times New Roman" w:cs="Times New Roman"/>
          <w:b/>
          <w:sz w:val="24"/>
          <w:szCs w:val="24"/>
        </w:rPr>
        <w:t>Mbewe et al Supplementary Files</w:t>
      </w:r>
    </w:p>
    <w:p w:rsidR="006124AF" w:rsidRDefault="006124AF"/>
    <w:p w:rsidR="00C17DEA" w:rsidRDefault="006124AF">
      <w:pPr>
        <w:rPr>
          <w:rFonts w:ascii="Times New Roman" w:hAnsi="Times New Roman" w:cs="Times New Roman"/>
          <w:sz w:val="24"/>
          <w:szCs w:val="24"/>
        </w:rPr>
      </w:pPr>
      <w:r w:rsidRPr="006124AF">
        <w:rPr>
          <w:rFonts w:ascii="Times New Roman" w:hAnsi="Times New Roman" w:cs="Times New Roman"/>
          <w:sz w:val="24"/>
          <w:szCs w:val="24"/>
        </w:rPr>
        <w:t>Supplementary Table S1. Database-specific search strategies used to identify studies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24AF" w:rsidRPr="006124AF" w:rsidRDefault="006124A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08"/>
        <w:gridCol w:w="3685"/>
        <w:gridCol w:w="1923"/>
        <w:gridCol w:w="1210"/>
      </w:tblGrid>
      <w:tr w:rsidR="00C17DEA" w:rsidRPr="00C17DEA" w:rsidTr="00C17D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bCs w:val="0"/>
                <w:sz w:val="24"/>
                <w:szCs w:val="24"/>
              </w:rPr>
              <w:t>Information source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bCs w:val="0"/>
                <w:sz w:val="24"/>
                <w:szCs w:val="24"/>
              </w:rPr>
              <w:t>Complete search strategy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bCs w:val="0"/>
                <w:sz w:val="24"/>
                <w:szCs w:val="24"/>
              </w:rPr>
              <w:t>Limits/filters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bCs w:val="0"/>
                <w:sz w:val="24"/>
                <w:szCs w:val="24"/>
              </w:rPr>
              <w:t>Records identified</w:t>
            </w:r>
          </w:p>
        </w:tc>
      </w:tr>
      <w:tr w:rsidR="00C17DEA" w:rsidRPr="00C17DEA" w:rsidTr="00C17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PubMed/MEDLINE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(("One Health"[Title/Abstract] OR "One Medicine"[Title/Abstract] OR multisectoral[Title/Abstract] OR "integrated surveillance"[Title/Abstract] OR "cross-sectoral surveillance"[Title/Abstract] OR "human-animal interface"[Title/Abstract] OR "human animal environment"[Title/Abstract]) AND (surveillance[Title/Abstract] OR monitoring[Title/Abstract] OR "early warning"[Title/Abstract] OR "disease detection"[Title/Abstract] OR "outbreak detection"[Title/Abstract]) AND ("infectious disease"[Title/Abstract] OR "infectious diseases"[Title/Abstract] OR zoonosis[Title/Abstract] OR zoonoses[Title/Abstract] OR pathogen*[Title/Abstract] OR "emerging infectious disease"[Title/Abstract] OR "antimicrobial resistance"[Title/Abstract] OR AMR[Title/Abstract] OR "genomic surveillance"[Title/Abstract] OR "wastewater surveillance"[Title/Abstract] OR "environmental surveillance"[Title/Abstract] OR "wildlife surveillance"[Title/Abstract] OR "vector surveillance"[Title/Abstract] OR "foodborne disease"[Title/Abstract]))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English; publication date 1 January 2000–31 December 2025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C17DEA" w:rsidRPr="00C17DEA" w:rsidTr="00C17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lastRenderedPageBreak/>
              <w:t>Scopus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TITLE-ABS-KEY(("One Health" OR "One Medicine" OR multisectoral OR "integrated surveillance" OR "cross-sectoral surveillance" OR "human-animal interface" OR "human animal environment") AND (surveillance OR monitoring OR "early warning" OR "disease detection" OR "outbreak detection") AND ("infectious disease" OR zoonosis OR zoonoses OR pathogen* OR "emerging infectious disease" OR "antimicrobial resistance" OR AMR OR "genomic surveillance" OR "wastewater surveillance" OR "environmental surveillance" OR "wildlife surveillance" OR "vector surveillance" OR "foodborne disease"))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English; publication years 2000–2025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C17DEA" w:rsidRPr="00C17DEA" w:rsidTr="00C17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Web of Science Core Collection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TS=(("One Health" OR "One Medicine" OR multisectoral OR "integrated surveillance" OR "cross-sectoral surveillance" OR "human-animal interface" OR "human animal environment") AND (surveillance OR monitoring OR "early warning" OR "disease detection" OR "outbreak detection") AND ("infectious disease" OR zoonosis OR zoonoses OR pathogen* OR "emerging infectious disease" OR "antimicrobial resistance" OR AMR OR "genomic surveillance" OR "wastewater surveillance" OR "environmental surveillance" OR "wildlife surveillance" OR "vector surveillance" OR "foodborne disease"))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English; publication years 2000–2025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C17DEA" w:rsidRPr="00C17DEA" w:rsidTr="00C17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ScienceDirect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 xml:space="preserve">("One Health" OR "One Medicine" OR multisectoral OR "integrated surveillance" OR "cross-sectoral surveillance") AND (surveillance OR monitoring OR "early warning" OR "disease detection" OR "outbreak detection") AND ("infectious disease" OR zoonosis OR "antimicrobial resistance" OR AMR OR "genomic surveillance"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OR "wastewater surveillance" OR "environmental surveillance" OR "wildlife surveillance" OR "vector surveillance" OR "foodborne disease")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Research and review articles; English; 2000–2025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17DEA" w:rsidRPr="00C17DEA" w:rsidTr="00C17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Health" "integrated surveillance" infectious disease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Health" antimicrobial resistance surveillance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Health" zoonotic disease surveillance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"wastewater-based epidemiology" "One Health"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"genomic surveillance" zoonotic diseases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"wildlife surveillance" antimicrobial resistance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"vector-borne disease" "One Health surveillance"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"digital disease surveillance" "One Health"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English; 2000–2025. First 200 results ranked by relevance screened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17DEA" w:rsidRPr="00C17DEA" w:rsidTr="00C17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WHO repositories and website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Health" AND surveillance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"integrated surveillance" AND infectious disease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Health" AND antimicrobial resistance AND surveillance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"environmental surveillance" AND One Health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"genomic surveillance" AND One Health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 documents; 2000–2025; reports, technical guidance, surveillance frameworks and implementation documents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Included within 18*</w:t>
            </w:r>
          </w:p>
        </w:tc>
      </w:tr>
      <w:tr w:rsidR="00C17DEA" w:rsidRPr="00C17DEA" w:rsidTr="00C17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FAO repositories and website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 surveillance"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"antimicrobial resistance surveillance" AND One Health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"food chain surveillance" AND antimicrobial resistance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"animal human environment surveillance"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 documents; 2000–2025; technical reports, frameworks and surveillance guidance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Included within 18*</w:t>
            </w:r>
          </w:p>
        </w:tc>
      </w:tr>
      <w:tr w:rsidR="00C17DEA" w:rsidRPr="00C17DEA" w:rsidTr="00C17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WOAH repositories and website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 surveillance"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"animal human surveillance"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"antimicrobial resistance surveillance"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"zoonotic disease surveillance" AND One Health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 documents; 2000–2025; surveillance standards, technical reports and implementation guidance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Included within 18*</w:t>
            </w:r>
          </w:p>
        </w:tc>
      </w:tr>
      <w:tr w:rsidR="00C17DEA" w:rsidRPr="00C17DEA" w:rsidTr="00C17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UNEP repositories and website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Health" AND surveillance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"environmental surveillance" AND pathogens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"antimicrobial resistance" AND environment AND surveillance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"environmental dimensions of One Health"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 documents; 2000–2025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Included within 18*</w:t>
            </w:r>
          </w:p>
        </w:tc>
      </w:tr>
      <w:tr w:rsidR="00C17DEA" w:rsidRPr="00C17DEA" w:rsidTr="00C17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lastRenderedPageBreak/>
              <w:t>ECDC website and repositories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 surveillance"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"integrated surveillance" AND zoonoses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"antimicrobial resistance surveillance" AND animal AND human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"genomic surveillance"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 documents; 2000–2025; surveillance reports and technical guidance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Included within 12†</w:t>
            </w:r>
          </w:p>
        </w:tc>
      </w:tr>
      <w:tr w:rsidR="00C17DEA" w:rsidRPr="00C17DEA" w:rsidTr="00C17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US CDC website and repositories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 surveillance"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Health" AND disease surveillance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"zoonotic disease surveillance"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"antimicrobial resistance surveillance" AND One Health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"wastewater surveillance"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 documents; 2000–2025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Included within 12†</w:t>
            </w:r>
          </w:p>
        </w:tc>
      </w:tr>
      <w:tr w:rsidR="00C17DEA" w:rsidRPr="00C17DEA" w:rsidTr="00C17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Africa CDC website and repositories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"One Health surveillance"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"integrated disease surveillance" AND One Health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"antimicrobial resistance surveillance"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"genomic surveillance" AND Africa</w:t>
            </w: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17DEA">
              <w:rPr>
                <w:rStyle w:val="HTMLCode"/>
                <w:rFonts w:ascii="Times New Roman" w:eastAsiaTheme="minorHAnsi" w:hAnsi="Times New Roman" w:cs="Times New Roman"/>
                <w:sz w:val="24"/>
                <w:szCs w:val="24"/>
              </w:rPr>
              <w:t>"pathogen surveillance" AND One Health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English documents; 2000–2025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Included within 12†</w:t>
            </w:r>
          </w:p>
        </w:tc>
      </w:tr>
      <w:tr w:rsidR="00C17DEA" w:rsidRPr="00C17DEA" w:rsidTr="00C17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7DEA" w:rsidRPr="00C17DEA" w:rsidRDefault="00C1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Backward citation searching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Reference lists of all studies retained for full-text assessment and relevant systematic/scoping reviews were manually screened for additional eligible surveillance studies and technical reports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Eligibility criteria identical to primary search</w:t>
            </w:r>
          </w:p>
        </w:tc>
        <w:tc>
          <w:tcPr>
            <w:tcW w:w="0" w:type="auto"/>
            <w:hideMark/>
          </w:tcPr>
          <w:p w:rsidR="00C17DEA" w:rsidRPr="00C17DEA" w:rsidRDefault="00C17D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D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C17DEA" w:rsidRDefault="00C17DEA">
      <w:pPr>
        <w:rPr>
          <w:rFonts w:ascii="Times New Roman" w:hAnsi="Times New Roman" w:cs="Times New Roman"/>
          <w:b/>
          <w:sz w:val="24"/>
          <w:szCs w:val="24"/>
        </w:rPr>
      </w:pPr>
    </w:p>
    <w:p w:rsidR="00C17DEA" w:rsidRPr="00C17DEA" w:rsidRDefault="00C17DEA" w:rsidP="00C17DEA">
      <w:pPr>
        <w:jc w:val="both"/>
        <w:rPr>
          <w:rFonts w:ascii="Times New Roman" w:hAnsi="Times New Roman" w:cs="Times New Roman"/>
          <w:sz w:val="24"/>
          <w:szCs w:val="24"/>
        </w:rPr>
      </w:pPr>
      <w:r w:rsidRPr="00C17DEA">
        <w:rPr>
          <w:rFonts w:ascii="Times New Roman" w:hAnsi="Times New Roman" w:cs="Times New Roman"/>
          <w:sz w:val="24"/>
          <w:szCs w:val="24"/>
        </w:rPr>
        <w:t xml:space="preserve">* WHO, FAO, WOAH and UNEP searches collectively contributed </w:t>
      </w:r>
      <w:r w:rsidRPr="00C17DEA">
        <w:rPr>
          <w:rStyle w:val="Strong"/>
          <w:rFonts w:ascii="Times New Roman" w:hAnsi="Times New Roman" w:cs="Times New Roman"/>
          <w:sz w:val="24"/>
          <w:szCs w:val="24"/>
        </w:rPr>
        <w:t>18 records</w:t>
      </w:r>
      <w:r w:rsidRPr="00C17DEA">
        <w:rPr>
          <w:rFonts w:ascii="Times New Roman" w:hAnsi="Times New Roman" w:cs="Times New Roman"/>
          <w:sz w:val="24"/>
          <w:szCs w:val="24"/>
        </w:rPr>
        <w:t xml:space="preserve"> to the supplementary-source search.</w:t>
      </w:r>
    </w:p>
    <w:p w:rsidR="00C17DEA" w:rsidRPr="00C17DEA" w:rsidRDefault="00C17DEA" w:rsidP="00C17DEA">
      <w:pPr>
        <w:jc w:val="both"/>
        <w:rPr>
          <w:rFonts w:ascii="Times New Roman" w:hAnsi="Times New Roman" w:cs="Times New Roman"/>
          <w:sz w:val="24"/>
          <w:szCs w:val="24"/>
        </w:rPr>
      </w:pPr>
      <w:r w:rsidRPr="00C17DEA">
        <w:rPr>
          <w:rFonts w:ascii="Times New Roman" w:hAnsi="Times New Roman" w:cs="Times New Roman"/>
          <w:sz w:val="24"/>
          <w:szCs w:val="24"/>
        </w:rPr>
        <w:t xml:space="preserve">† ECDC, CDC and Africa CDC searches collectively contributed </w:t>
      </w:r>
      <w:r w:rsidRPr="00C17DEA">
        <w:rPr>
          <w:rStyle w:val="Strong"/>
          <w:rFonts w:ascii="Times New Roman" w:hAnsi="Times New Roman" w:cs="Times New Roman"/>
          <w:sz w:val="24"/>
          <w:szCs w:val="24"/>
        </w:rPr>
        <w:t>12 records</w:t>
      </w:r>
      <w:r w:rsidRPr="00C17DEA">
        <w:rPr>
          <w:rFonts w:ascii="Times New Roman" w:hAnsi="Times New Roman" w:cs="Times New Roman"/>
          <w:sz w:val="24"/>
          <w:szCs w:val="24"/>
        </w:rPr>
        <w:t>.</w:t>
      </w:r>
    </w:p>
    <w:p w:rsidR="00C17DEA" w:rsidRPr="00C17DEA" w:rsidRDefault="00C17DEA" w:rsidP="00C17D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DEA" w:rsidRDefault="00C17DEA" w:rsidP="00C17DEA">
      <w:pPr>
        <w:jc w:val="both"/>
        <w:rPr>
          <w:rFonts w:ascii="Times New Roman" w:hAnsi="Times New Roman" w:cs="Times New Roman"/>
          <w:sz w:val="24"/>
          <w:szCs w:val="24"/>
        </w:rPr>
      </w:pPr>
      <w:r w:rsidRPr="00C17DEA">
        <w:rPr>
          <w:rStyle w:val="Strong"/>
          <w:rFonts w:ascii="Times New Roman" w:hAnsi="Times New Roman" w:cs="Times New Roman"/>
          <w:sz w:val="24"/>
          <w:szCs w:val="24"/>
        </w:rPr>
        <w:t>Abbreviations:</w:t>
      </w:r>
      <w:r w:rsidRPr="00C17DEA">
        <w:rPr>
          <w:rFonts w:ascii="Times New Roman" w:hAnsi="Times New Roman" w:cs="Times New Roman"/>
          <w:sz w:val="24"/>
          <w:szCs w:val="24"/>
        </w:rPr>
        <w:t xml:space="preserve"> AMR, antimicrobial resistance; CDC, </w:t>
      </w:r>
      <w:proofErr w:type="spellStart"/>
      <w:r w:rsidRPr="00C17DEA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C17DEA">
        <w:rPr>
          <w:rFonts w:ascii="Times New Roman" w:hAnsi="Times New Roman" w:cs="Times New Roman"/>
          <w:sz w:val="24"/>
          <w:szCs w:val="24"/>
        </w:rPr>
        <w:t xml:space="preserve"> for Disease Control and Prevention; ECDC, European Centre for Disease Prevention and Control; FAO, Food and Agriculture Organization of the United Nations; TS, Topic Search; UNEP, United Nations Environment Programme; WHO, World Health Organization; WOAH, World Organisation for Animal Health. </w:t>
      </w:r>
    </w:p>
    <w:p w:rsidR="006116E6" w:rsidRDefault="006116E6" w:rsidP="00C17D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6E6" w:rsidRDefault="006116E6" w:rsidP="00C17D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6E6" w:rsidRDefault="006116E6" w:rsidP="00C17D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6E6" w:rsidRDefault="006116E6" w:rsidP="00C17D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6E6" w:rsidRDefault="006116E6" w:rsidP="00C17D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6E6" w:rsidRDefault="006116E6" w:rsidP="00C17D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6E6" w:rsidRPr="00F41E9C" w:rsidRDefault="00F23295" w:rsidP="00C17D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E9C">
        <w:rPr>
          <w:rFonts w:ascii="Times New Roman" w:hAnsi="Times New Roman" w:cs="Times New Roman"/>
          <w:b/>
          <w:sz w:val="24"/>
          <w:szCs w:val="24"/>
        </w:rPr>
        <w:lastRenderedPageBreak/>
        <w:t>Supplementary Table S2. Operational classification of One Health surveillance integration</w:t>
      </w:r>
    </w:p>
    <w:p w:rsidR="00931DFB" w:rsidRDefault="00931DFB" w:rsidP="00C17D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57"/>
        <w:gridCol w:w="2106"/>
        <w:gridCol w:w="2360"/>
        <w:gridCol w:w="2903"/>
      </w:tblGrid>
      <w:tr w:rsidR="00931DFB" w:rsidRPr="00931DFB" w:rsidTr="00931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31DFB" w:rsidRPr="00931DFB" w:rsidRDefault="0093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bCs w:val="0"/>
                <w:sz w:val="24"/>
                <w:szCs w:val="24"/>
              </w:rPr>
              <w:t>Integration dimension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bCs w:val="0"/>
                <w:sz w:val="24"/>
                <w:szCs w:val="24"/>
              </w:rPr>
              <w:t>Minimal integration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bCs w:val="0"/>
                <w:sz w:val="24"/>
                <w:szCs w:val="24"/>
              </w:rPr>
              <w:t>Moderate integration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bCs w:val="0"/>
                <w:sz w:val="24"/>
                <w:szCs w:val="24"/>
              </w:rPr>
              <w:t>High integration</w:t>
            </w:r>
          </w:p>
        </w:tc>
      </w:tr>
      <w:tr w:rsidR="00931DFB" w:rsidRPr="00931DFB" w:rsidTr="00931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31DFB" w:rsidRPr="00931DFB" w:rsidRDefault="00931DF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31DF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Sectoral participation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≥2 sectors represented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Multiple sectors actively involved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Multiple relevant sectors institutionally embedded</w:t>
            </w:r>
          </w:p>
        </w:tc>
      </w:tr>
      <w:tr w:rsidR="00931DFB" w:rsidRPr="00931DFB" w:rsidTr="00931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31DFB" w:rsidRPr="00931DFB" w:rsidRDefault="0093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Surveillance operations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Parallel sector-specific activities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Some coordinated surveillance activities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Harmonized or jointly implemented surveillance processes</w:t>
            </w:r>
          </w:p>
        </w:tc>
      </w:tr>
      <w:tr w:rsidR="00931DFB" w:rsidRPr="00931DFB" w:rsidTr="00931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31DFB" w:rsidRPr="00931DFB" w:rsidRDefault="0093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Data exchange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Limited, ad hoc, or absent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Periodic or routine cross-sector data exchange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Routine, structured, and institutionalized data exchange</w:t>
            </w:r>
          </w:p>
        </w:tc>
      </w:tr>
      <w:tr w:rsidR="00931DFB" w:rsidRPr="00931DFB" w:rsidTr="00931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31DFB" w:rsidRPr="00931DFB" w:rsidRDefault="0093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Data integration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Separate datasets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Datasets combined for selected analyses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Interoperable or routinely linked information systems</w:t>
            </w:r>
          </w:p>
        </w:tc>
      </w:tr>
      <w:tr w:rsidR="00931DFB" w:rsidRPr="00931DFB" w:rsidTr="00931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31DFB" w:rsidRPr="00931DFB" w:rsidRDefault="0093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Governance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Separate sectoral mandates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Coordinating committee or partial joint governance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Shared or formally integrated governance arrangements</w:t>
            </w:r>
          </w:p>
        </w:tc>
      </w:tr>
      <w:tr w:rsidR="00931DFB" w:rsidRPr="00931DFB" w:rsidTr="00931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31DFB" w:rsidRPr="00931DFB" w:rsidRDefault="0093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Interpretation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Sector-specific interpretation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Occasional or issue-specific joint interpretation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Routine multisectoral interpretation and risk assessment</w:t>
            </w:r>
          </w:p>
        </w:tc>
      </w:tr>
      <w:tr w:rsidR="00931DFB" w:rsidRPr="00931DFB" w:rsidTr="00931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31DFB" w:rsidRPr="00931DFB" w:rsidRDefault="0093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Independent sectoral response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Some coordinated action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Defined mechanisms for joint investigation and coordinated response</w:t>
            </w:r>
          </w:p>
        </w:tc>
      </w:tr>
      <w:tr w:rsidR="00931DFB" w:rsidRPr="00931DFB" w:rsidTr="00931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31DFB" w:rsidRPr="00931DFB" w:rsidRDefault="0093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Overall classification rule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Multisector participation without substantive operational integration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Evidence of coordination or data linkage, but incomplete integration across key dimensions</w:t>
            </w:r>
          </w:p>
        </w:tc>
        <w:tc>
          <w:tcPr>
            <w:tcW w:w="0" w:type="auto"/>
            <w:hideMark/>
          </w:tcPr>
          <w:p w:rsidR="00931DFB" w:rsidRPr="00931DFB" w:rsidRDefault="00931D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FB">
              <w:rPr>
                <w:rFonts w:ascii="Times New Roman" w:hAnsi="Times New Roman" w:cs="Times New Roman"/>
                <w:sz w:val="24"/>
                <w:szCs w:val="24"/>
              </w:rPr>
              <w:t>Integration extends from governance and surveillance processes through data linkage to joint interpretation and response</w:t>
            </w:r>
          </w:p>
        </w:tc>
      </w:tr>
    </w:tbl>
    <w:p w:rsidR="00931DFB" w:rsidRPr="00C17DEA" w:rsidRDefault="00931DFB" w:rsidP="00C17D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31DFB" w:rsidRPr="00C17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7FC"/>
    <w:rsid w:val="00577AFA"/>
    <w:rsid w:val="006116E6"/>
    <w:rsid w:val="006124AF"/>
    <w:rsid w:val="006B189D"/>
    <w:rsid w:val="00931DFB"/>
    <w:rsid w:val="009627FC"/>
    <w:rsid w:val="00C17DEA"/>
    <w:rsid w:val="00EF23C8"/>
    <w:rsid w:val="00F23295"/>
    <w:rsid w:val="00F4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E9A881-AEB2-4A9E-A481-C67B9734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17DE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C17DEA"/>
    <w:rPr>
      <w:rFonts w:ascii="Courier New" w:eastAsia="Times New Roman" w:hAnsi="Courier New" w:cs="Courier New"/>
      <w:sz w:val="20"/>
      <w:szCs w:val="20"/>
    </w:rPr>
  </w:style>
  <w:style w:type="table" w:styleId="PlainTable2">
    <w:name w:val="Plain Table 2"/>
    <w:basedOn w:val="TableNormal"/>
    <w:uiPriority w:val="42"/>
    <w:rsid w:val="00C17D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dq2pgselectionanchorcontainer">
    <w:name w:val="pdq2pg_selectionanchorcontainer"/>
    <w:basedOn w:val="Normal"/>
    <w:rsid w:val="00C1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1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Willard Mbewe</dc:creator>
  <cp:keywords/>
  <dc:description/>
  <cp:lastModifiedBy>Willard Mbewe</cp:lastModifiedBy>
  <cp:revision>2</cp:revision>
  <dcterms:created xsi:type="dcterms:W3CDTF">2026-07-12T14:55:00Z</dcterms:created>
  <dcterms:modified xsi:type="dcterms:W3CDTF">2026-07-12T14:55:00Z</dcterms:modified>
</cp:coreProperties>
</file>