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AE69F3">
      <w:pPr>
        <w:jc w:val="center"/>
        <w:rPr>
          <w:rFonts w:hint="eastAsia" w:eastAsia="宋体"/>
          <w:lang w:val="en-US" w:eastAsia="zh-CN"/>
        </w:rPr>
      </w:pPr>
      <w:r>
        <w:rPr>
          <w:b/>
          <w:sz w:val="32"/>
        </w:rPr>
        <w:t>Supplementary Material</w:t>
      </w:r>
      <w:r>
        <w:rPr>
          <w:rFonts w:hint="eastAsia" w:eastAsia="宋体"/>
          <w:b/>
          <w:sz w:val="32"/>
          <w:lang w:val="en-US" w:eastAsia="zh-CN"/>
        </w:rPr>
        <w:t>s</w:t>
      </w:r>
    </w:p>
    <w:p w14:paraId="5A23722E">
      <w:pPr>
        <w:spacing w:before="240"/>
        <w:jc w:val="center"/>
      </w:pPr>
      <w:r>
        <w:rPr>
          <w:b/>
          <w:sz w:val="26"/>
        </w:rPr>
        <w:t>Carboxylated magnetic polymer microspheres with tunable poly(acrylic acid) shells for charge-selective adsorption of cationic dyes</w:t>
      </w:r>
    </w:p>
    <w:p w14:paraId="60A4F4C5">
      <w:pPr>
        <w:keepNext w:val="0"/>
        <w:keepLines w:val="0"/>
        <w:widowControl/>
        <w:suppressLineNumbers w:val="0"/>
        <w:spacing w:before="0" w:beforeAutospacing="0" w:after="120" w:afterAutospacing="0" w:line="360" w:lineRule="auto"/>
        <w:ind w:left="0" w:right="0"/>
        <w:jc w:val="center"/>
        <w:rPr>
          <w:rFonts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  <w:lang w:val="en-US" w:eastAsia="zh-CN" w:bidi="ar"/>
        </w:rPr>
        <w:t>Linlin Du, Shangfang Zhao, Bing Niu</w:t>
      </w:r>
      <w:r>
        <w:rPr>
          <w:rFonts w:hint="eastAsia" w:eastAsia="宋体" w:cs="Times New Roman"/>
          <w:sz w:val="24"/>
          <w:szCs w:val="24"/>
          <w:vertAlign w:val="superscript"/>
          <w:lang w:val="en-US" w:eastAsia="zh-CN" w:bidi="ar"/>
        </w:rPr>
        <w:t>*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  <w:lang w:val="en-US" w:eastAsia="zh-CN" w:bidi="ar"/>
        </w:rPr>
        <w:t>, Sisi Ma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  <w:vertAlign w:val="superscript"/>
          <w:lang w:val="en-US" w:eastAsia="zh-CN" w:bidi="ar"/>
        </w:rPr>
        <w:t>*</w:t>
      </w:r>
    </w:p>
    <w:p w14:paraId="3D0423CA">
      <w:pPr>
        <w:keepNext w:val="0"/>
        <w:keepLines w:val="0"/>
        <w:widowControl/>
        <w:suppressLineNumbers w:val="0"/>
        <w:spacing w:before="0" w:beforeAutospacing="0" w:after="120" w:afterAutospacing="0" w:line="360" w:lineRule="auto"/>
        <w:ind w:left="0" w:right="0"/>
        <w:jc w:val="center"/>
        <w:rPr>
          <w:rFonts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  <w:lang w:val="en-US" w:eastAsia="zh-CN" w:bidi="ar"/>
        </w:rPr>
        <w:t>College of Textile Engineering, Henan University of Engineering, Zhengzhou 451191, China</w:t>
      </w:r>
    </w:p>
    <w:p w14:paraId="434C5DC6">
      <w:pPr>
        <w:spacing w:before="120" w:after="40"/>
        <w:jc w:val="center"/>
      </w:pPr>
      <w:r>
        <w:drawing>
          <wp:inline distT="0" distB="0" distL="0" distR="0">
            <wp:extent cx="5683250" cy="6920230"/>
            <wp:effectExtent l="0" t="0" r="12700" b="139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83250" cy="6920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B65E47">
      <w:pPr>
        <w:spacing w:before="80" w:after="240"/>
        <w:jc w:val="center"/>
        <w:rPr>
          <w:rFonts w:hint="eastAsia" w:eastAsia="宋体"/>
          <w:lang w:eastAsia="zh-CN"/>
        </w:rPr>
      </w:pPr>
      <w:r>
        <w:rPr>
          <w:b/>
        </w:rPr>
        <w:t>Fig. S1</w:t>
      </w:r>
      <w:r>
        <w:t xml:space="preserve"> Dynamic light scattering size distributions of magnetic particles (MPs) and carboxylated magnetic polymer microspheres prepared with different polymer-shell contents: (a) MPs, (b) CMPs-1, (c) CMPs-2, (d) CMPs-3, (e) CMPs-4, and (f) CMPs-5</w:t>
      </w:r>
      <w:r>
        <w:rPr>
          <w:rFonts w:hint="eastAsia" w:eastAsia="宋体"/>
          <w:lang w:eastAsia="zh-CN"/>
        </w:rPr>
        <w:t>.</w:t>
      </w:r>
    </w:p>
    <w:p w14:paraId="664BB277">
      <w:r>
        <w:br w:type="page"/>
      </w:r>
    </w:p>
    <w:p w14:paraId="010A75EC">
      <w:pPr>
        <w:spacing w:before="120" w:after="40"/>
        <w:jc w:val="center"/>
      </w:pPr>
      <w:r>
        <w:drawing>
          <wp:inline distT="0" distB="0" distL="0" distR="0">
            <wp:extent cx="2814955" cy="2353310"/>
            <wp:effectExtent l="0" t="0" r="4445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8"/>
                    <a:srcRect l="8261" t="8975" r="12700" b="4704"/>
                    <a:stretch>
                      <a:fillRect/>
                    </a:stretch>
                  </pic:blipFill>
                  <pic:spPr>
                    <a:xfrm>
                      <a:off x="0" y="0"/>
                      <a:ext cx="2822198" cy="235959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5A876D">
      <w:pPr>
        <w:spacing w:before="80" w:after="240"/>
        <w:jc w:val="center"/>
        <w:rPr>
          <w:rFonts w:hint="eastAsia" w:eastAsia="宋体"/>
          <w:lang w:eastAsia="zh-CN"/>
        </w:rPr>
      </w:pPr>
      <w:r>
        <w:rPr>
          <w:b/>
        </w:rPr>
        <w:t>Fig. S2</w:t>
      </w:r>
      <w:r>
        <w:t xml:space="preserve"> Zeta potential of CMPs-4 as a function of solution pH</w:t>
      </w:r>
      <w:r>
        <w:rPr>
          <w:rFonts w:hint="eastAsia" w:eastAsia="宋体"/>
          <w:lang w:eastAsia="zh-CN"/>
        </w:rPr>
        <w:t>.</w:t>
      </w:r>
    </w:p>
    <w:p w14:paraId="710A05E9">
      <w:pPr>
        <w:spacing w:before="120" w:after="40"/>
        <w:jc w:val="center"/>
      </w:pPr>
      <w:r>
        <w:drawing>
          <wp:inline distT="0" distB="0" distL="0" distR="0">
            <wp:extent cx="4736465" cy="2036445"/>
            <wp:effectExtent l="0" t="0" r="6985" b="19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>
                    <a:blip r:embed="rId9"/>
                    <a:srcRect l="2041" t="16266" r="9640" b="16229"/>
                    <a:stretch>
                      <a:fillRect/>
                    </a:stretch>
                  </pic:blipFill>
                  <pic:spPr>
                    <a:xfrm>
                      <a:off x="0" y="0"/>
                      <a:ext cx="4737910" cy="203699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7A65B7">
      <w:pPr>
        <w:spacing w:before="80" w:after="240"/>
        <w:jc w:val="center"/>
      </w:pPr>
      <w:r>
        <w:rPr>
          <w:b/>
        </w:rPr>
        <w:t>Fig. S3</w:t>
      </w:r>
      <w:r>
        <w:t xml:space="preserve"> Kinetic fitting for adsorption of methylene blue (MB) and methyl violet (MV) onto CMPs: (a) pseudo-first-order kinetic model and (b) intraparticle diffusion model</w:t>
      </w:r>
      <w:r>
        <w:rPr>
          <w:rFonts w:hint="eastAsia" w:eastAsia="宋体"/>
          <w:lang w:eastAsia="zh-CN"/>
        </w:rPr>
        <w:t>.</w:t>
      </w:r>
    </w:p>
    <w:p w14:paraId="0A9D0FAD">
      <w:pPr>
        <w:spacing w:before="120" w:after="40"/>
        <w:jc w:val="center"/>
      </w:pPr>
      <w:r>
        <w:drawing>
          <wp:inline distT="0" distB="0" distL="0" distR="0">
            <wp:extent cx="5687060" cy="229362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/>
                    </pic:cNvPicPr>
                  </pic:nvPicPr>
                  <pic:blipFill>
                    <a:blip r:embed="rId10"/>
                    <a:srcRect t="13375" b="14947"/>
                    <a:stretch>
                      <a:fillRect/>
                    </a:stretch>
                  </pic:blipFill>
                  <pic:spPr>
                    <a:xfrm>
                      <a:off x="0" y="0"/>
                      <a:ext cx="5687106" cy="229362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6F0C6E">
      <w:pPr>
        <w:spacing w:before="80" w:after="240"/>
        <w:rPr>
          <w:rFonts w:hint="eastAsia" w:eastAsia="宋体"/>
          <w:lang w:eastAsia="zh-CN"/>
        </w:rPr>
      </w:pPr>
      <w:r>
        <w:rPr>
          <w:b/>
        </w:rPr>
        <w:t>Fig. S4</w:t>
      </w:r>
      <w:r>
        <w:t xml:space="preserve"> Isotherm fitting for adsorption of MB and MV onto CMPs: (a) Freundlich model and (b) Temkin model</w:t>
      </w:r>
      <w:r>
        <w:rPr>
          <w:rFonts w:hint="eastAsia" w:eastAsia="宋体"/>
          <w:lang w:eastAsia="zh-CN"/>
        </w:rPr>
        <w:t>.</w:t>
      </w:r>
    </w:p>
    <w:p w14:paraId="2D3CB4B9">
      <w:pPr>
        <w:spacing w:before="120" w:after="40"/>
        <w:jc w:val="center"/>
      </w:pPr>
      <w:r>
        <w:drawing>
          <wp:inline distT="0" distB="0" distL="0" distR="0">
            <wp:extent cx="5685790" cy="223774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/>
                    </pic:cNvPicPr>
                  </pic:nvPicPr>
                  <pic:blipFill>
                    <a:blip r:embed="rId11"/>
                    <a:srcRect t="13460" b="16575"/>
                    <a:stretch>
                      <a:fillRect/>
                    </a:stretch>
                  </pic:blipFill>
                  <pic:spPr>
                    <a:xfrm>
                      <a:off x="0" y="0"/>
                      <a:ext cx="5688105" cy="2239141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EDF21B">
      <w:pPr>
        <w:spacing w:before="80" w:after="240"/>
        <w:jc w:val="center"/>
        <w:rPr>
          <w:rFonts w:hint="eastAsia" w:eastAsia="宋体"/>
          <w:lang w:eastAsia="zh-CN"/>
        </w:rPr>
      </w:pPr>
      <w:r>
        <w:rPr>
          <w:b/>
        </w:rPr>
        <w:t>Fig. S5</w:t>
      </w:r>
      <w:r>
        <w:t xml:space="preserve"> SEM images of CMPs (a) before and (b) after five adsorption-desorption cycles</w:t>
      </w:r>
      <w:r>
        <w:rPr>
          <w:rFonts w:hint="eastAsia" w:eastAsia="宋体"/>
          <w:lang w:eastAsia="zh-CN"/>
        </w:rPr>
        <w:t>.</w:t>
      </w:r>
    </w:p>
    <w:p w14:paraId="09DE362A">
      <w:pPr>
        <w:spacing w:before="80" w:after="240"/>
        <w:jc w:val="center"/>
        <w:rPr>
          <w:rFonts w:hint="eastAsia" w:eastAsia="宋体"/>
          <w:lang w:eastAsia="zh-CN"/>
        </w:rPr>
      </w:pPr>
    </w:p>
    <w:p w14:paraId="525EF2B0">
      <w:pPr>
        <w:spacing w:line="400" w:lineRule="exact"/>
        <w:ind w:firstLine="400" w:firstLineChars="200"/>
        <w:jc w:val="center"/>
        <w:rPr>
          <w:rFonts w:ascii="Times New Roman" w:hAnsi="Times New Roman" w:eastAsia="宋体" w:cs="Times New Roman"/>
          <w:sz w:val="20"/>
          <w:szCs w:val="21"/>
          <w:highlight w:val="none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  <w:highlight w:val="none"/>
        </w:rPr>
        <w:t xml:space="preserve">Table </w:t>
      </w:r>
      <w:r>
        <w:rPr>
          <w:rFonts w:hint="eastAsia" w:ascii="Times New Roman" w:hAnsi="Times New Roman" w:cs="Times New Roman"/>
          <w:b/>
          <w:bCs/>
          <w:color w:val="000000"/>
          <w:sz w:val="20"/>
          <w:szCs w:val="20"/>
          <w:highlight w:val="none"/>
        </w:rPr>
        <w:t>S</w:t>
      </w:r>
      <w:r>
        <w:rPr>
          <w:rFonts w:hint="eastAsia" w:ascii="Times New Roman" w:hAnsi="Times New Roman" w:cs="Times New Roman"/>
          <w:b/>
          <w:bCs/>
          <w:color w:val="000000"/>
          <w:sz w:val="20"/>
          <w:szCs w:val="20"/>
          <w:highlight w:val="none"/>
          <w:lang w:val="en-US" w:eastAsia="zh-CN"/>
        </w:rPr>
        <w:t>1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highlight w:val="none"/>
        </w:rPr>
        <w:t>.</w:t>
      </w:r>
      <w:r>
        <w:rPr>
          <w:rFonts w:ascii="Times New Roman" w:hAnsi="Times New Roman" w:cs="Times New Roman"/>
          <w:color w:val="000000"/>
          <w:sz w:val="20"/>
          <w:szCs w:val="20"/>
          <w:highlight w:val="none"/>
        </w:rPr>
        <w:t xml:space="preserve"> Comparison of the adsorption capacities of </w:t>
      </w:r>
      <w:r>
        <w:rPr>
          <w:rFonts w:hint="eastAsia" w:ascii="Times New Roman" w:hAnsi="Times New Roman" w:cs="Times New Roman"/>
          <w:color w:val="000000"/>
          <w:sz w:val="20"/>
          <w:szCs w:val="20"/>
          <w:highlight w:val="none"/>
        </w:rPr>
        <w:t>CMPs</w:t>
      </w:r>
      <w:r>
        <w:rPr>
          <w:rFonts w:ascii="Times New Roman" w:hAnsi="Times New Roman" w:cs="Times New Roman"/>
          <w:color w:val="000000"/>
          <w:sz w:val="20"/>
          <w:szCs w:val="20"/>
          <w:highlight w:val="none"/>
        </w:rPr>
        <w:t xml:space="preserve"> with those of reported biosorbents.</w:t>
      </w:r>
    </w:p>
    <w:tbl>
      <w:tblPr>
        <w:tblStyle w:val="34"/>
        <w:tblpPr w:leftFromText="180" w:rightFromText="180" w:vertAnchor="text" w:horzAnchor="margin" w:tblpXSpec="center" w:tblpY="71"/>
        <w:tblW w:w="7938" w:type="dxa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3"/>
        <w:gridCol w:w="992"/>
        <w:gridCol w:w="1418"/>
        <w:gridCol w:w="1275"/>
      </w:tblGrid>
      <w:tr w14:paraId="1D61DD8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53" w:type="dxa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 w14:paraId="112D02A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highlight w:val="none"/>
              </w:rPr>
              <w:t>Adsorbents</w:t>
            </w:r>
          </w:p>
        </w:tc>
        <w:tc>
          <w:tcPr>
            <w:tcW w:w="992" w:type="dxa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 w14:paraId="30B5A39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highlight w:val="none"/>
              </w:rPr>
              <w:t>Dye types</w:t>
            </w:r>
          </w:p>
        </w:tc>
        <w:tc>
          <w:tcPr>
            <w:tcW w:w="1418" w:type="dxa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 w14:paraId="30F1558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AdvGulliv-I" w:cs="Times New Roman"/>
                <w:b/>
                <w:bCs/>
                <w:kern w:val="0"/>
                <w:sz w:val="18"/>
                <w:szCs w:val="18"/>
                <w:highlight w:val="none"/>
              </w:rPr>
              <w:t>Q</w:t>
            </w:r>
            <w:r>
              <w:rPr>
                <w:rFonts w:hint="default" w:ascii="Times New Roman" w:hAnsi="Times New Roman" w:eastAsia="AdvGulliv-R" w:cs="Times New Roman"/>
                <w:b/>
                <w:bCs/>
                <w:kern w:val="0"/>
                <w:sz w:val="18"/>
                <w:szCs w:val="18"/>
                <w:highlight w:val="none"/>
                <w:vertAlign w:val="subscript"/>
              </w:rPr>
              <w:t>max</w:t>
            </w:r>
            <w:r>
              <w:rPr>
                <w:rFonts w:hint="default" w:ascii="Times New Roman" w:hAnsi="Times New Roman" w:eastAsia="AdvGulliv-R" w:cs="Times New Roman"/>
                <w:b/>
                <w:bCs/>
                <w:kern w:val="0"/>
                <w:sz w:val="18"/>
                <w:szCs w:val="18"/>
                <w:highlight w:val="none"/>
              </w:rPr>
              <w:t xml:space="preserve"> (mg·g</w:t>
            </w:r>
            <w:r>
              <w:rPr>
                <w:rFonts w:hint="default" w:ascii="Times New Roman" w:hAnsi="Times New Roman" w:eastAsia="AdvGulliv-R" w:cs="Times New Roman"/>
                <w:b/>
                <w:bCs/>
                <w:kern w:val="0"/>
                <w:sz w:val="18"/>
                <w:szCs w:val="18"/>
                <w:highlight w:val="none"/>
                <w:vertAlign w:val="superscript"/>
              </w:rPr>
              <w:t>-1</w:t>
            </w:r>
            <w:r>
              <w:rPr>
                <w:rFonts w:hint="default" w:ascii="Times New Roman" w:hAnsi="Times New Roman" w:eastAsia="AdvGulliv-R" w:cs="Times New Roman"/>
                <w:b/>
                <w:bCs/>
                <w:kern w:val="0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1275" w:type="dxa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 w14:paraId="4B388A3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AdvGulliv-R" w:cs="Times New Roman"/>
                <w:b/>
                <w:bCs/>
                <w:kern w:val="0"/>
                <w:sz w:val="18"/>
                <w:szCs w:val="18"/>
                <w:highlight w:val="none"/>
              </w:rPr>
              <w:t>References</w:t>
            </w:r>
          </w:p>
        </w:tc>
      </w:tr>
      <w:tr w14:paraId="6466E12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53" w:type="dxa"/>
            <w:tcBorders>
              <w:top w:val="single" w:color="auto" w:sz="8" w:space="0"/>
            </w:tcBorders>
            <w:vAlign w:val="center"/>
          </w:tcPr>
          <w:p w14:paraId="798B678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Magnetic chitosan</w:t>
            </w:r>
            <w:r>
              <w:rPr>
                <w:rFonts w:hint="eastAsia" w:eastAsia="宋体" w:cs="Times New Roman"/>
                <w:kern w:val="0"/>
                <w:sz w:val="18"/>
                <w:szCs w:val="18"/>
                <w:highlight w:val="none"/>
                <w:lang w:val="en-US" w:eastAsia="zh-CN"/>
              </w:rPr>
              <w:t>-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Fe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highlight w:val="none"/>
                <w:vertAlign w:val="subscript"/>
              </w:rPr>
              <w:t>3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O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highlight w:val="none"/>
                <w:vertAlign w:val="subscript"/>
              </w:rPr>
              <w:t>4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/activated carbon composite</w:t>
            </w:r>
          </w:p>
        </w:tc>
        <w:tc>
          <w:tcPr>
            <w:tcW w:w="992" w:type="dxa"/>
            <w:tcBorders>
              <w:top w:val="single" w:color="auto" w:sz="8" w:space="0"/>
            </w:tcBorders>
            <w:vAlign w:val="center"/>
          </w:tcPr>
          <w:p w14:paraId="0FDC86D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  <w:highlight w:val="none"/>
                <w:lang w:val="en-US" w:eastAsia="zh-CN"/>
              </w:rPr>
              <w:t>MB</w:t>
            </w:r>
          </w:p>
        </w:tc>
        <w:tc>
          <w:tcPr>
            <w:tcW w:w="1418" w:type="dxa"/>
            <w:tcBorders>
              <w:top w:val="single" w:color="auto" w:sz="8" w:space="0"/>
            </w:tcBorders>
            <w:vAlign w:val="center"/>
          </w:tcPr>
          <w:p w14:paraId="6CB8D9C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11.02</w:t>
            </w:r>
          </w:p>
        </w:tc>
        <w:tc>
          <w:tcPr>
            <w:tcW w:w="1275" w:type="dxa"/>
            <w:tcBorders>
              <w:top w:val="single" w:color="auto" w:sz="8" w:space="0"/>
            </w:tcBorders>
            <w:vAlign w:val="center"/>
          </w:tcPr>
          <w:p w14:paraId="4C8BD14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[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]</w:t>
            </w:r>
          </w:p>
        </w:tc>
      </w:tr>
      <w:tr w14:paraId="75AD6D0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53" w:type="dxa"/>
            <w:vAlign w:val="center"/>
          </w:tcPr>
          <w:p w14:paraId="070ADE5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gum/Fe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highlight w:val="none"/>
                <w:vertAlign w:val="subscript"/>
              </w:rPr>
              <w:t>3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O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highlight w:val="none"/>
                <w:vertAlign w:val="subscript"/>
              </w:rPr>
              <w:t>4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 xml:space="preserve"> nano-bioadsorbent</w:t>
            </w:r>
          </w:p>
        </w:tc>
        <w:tc>
          <w:tcPr>
            <w:tcW w:w="992" w:type="dxa"/>
            <w:vAlign w:val="center"/>
          </w:tcPr>
          <w:p w14:paraId="6BF273B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MB</w:t>
            </w:r>
          </w:p>
        </w:tc>
        <w:tc>
          <w:tcPr>
            <w:tcW w:w="1418" w:type="dxa"/>
            <w:vAlign w:val="center"/>
          </w:tcPr>
          <w:p w14:paraId="191BA54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  <w:highlight w:val="none"/>
                <w:lang w:val="en-US" w:eastAsia="zh-CN"/>
              </w:rPr>
              <w:t>85.7</w:t>
            </w:r>
          </w:p>
        </w:tc>
        <w:tc>
          <w:tcPr>
            <w:tcW w:w="1275" w:type="dxa"/>
            <w:vAlign w:val="center"/>
          </w:tcPr>
          <w:p w14:paraId="164D883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[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]</w:t>
            </w:r>
          </w:p>
        </w:tc>
      </w:tr>
      <w:tr w14:paraId="1B3BD6C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53" w:type="dxa"/>
            <w:vAlign w:val="center"/>
          </w:tcPr>
          <w:p w14:paraId="64CA093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Fe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highlight w:val="none"/>
                <w:vertAlign w:val="subscript"/>
              </w:rPr>
              <w:t>3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O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highlight w:val="none"/>
                <w:vertAlign w:val="subscript"/>
              </w:rPr>
              <w:t>4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/Polypyrrole/Phytic Acid Magnetic Nanocomposite</w:t>
            </w:r>
          </w:p>
        </w:tc>
        <w:tc>
          <w:tcPr>
            <w:tcW w:w="992" w:type="dxa"/>
            <w:vAlign w:val="center"/>
          </w:tcPr>
          <w:p w14:paraId="39F922E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MB</w:t>
            </w:r>
          </w:p>
        </w:tc>
        <w:tc>
          <w:tcPr>
            <w:tcW w:w="1418" w:type="dxa"/>
            <w:vAlign w:val="center"/>
          </w:tcPr>
          <w:p w14:paraId="3EAAF7D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153.84</w:t>
            </w:r>
          </w:p>
        </w:tc>
        <w:tc>
          <w:tcPr>
            <w:tcW w:w="1275" w:type="dxa"/>
            <w:vAlign w:val="center"/>
          </w:tcPr>
          <w:p w14:paraId="38DC5B4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[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]</w:t>
            </w:r>
          </w:p>
        </w:tc>
      </w:tr>
      <w:tr w14:paraId="272BB01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53" w:type="dxa"/>
            <w:vAlign w:val="center"/>
          </w:tcPr>
          <w:p w14:paraId="4E3DB19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EDTA modified Fe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highlight w:val="none"/>
                <w:vertAlign w:val="subscript"/>
              </w:rPr>
              <w:t>3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O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highlight w:val="none"/>
                <w:vertAlign w:val="subscript"/>
              </w:rPr>
              <w:t>4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/sawdust carbon nanocomposites</w:t>
            </w:r>
          </w:p>
        </w:tc>
        <w:tc>
          <w:tcPr>
            <w:tcW w:w="992" w:type="dxa"/>
            <w:vAlign w:val="center"/>
          </w:tcPr>
          <w:p w14:paraId="6E6DF3D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MB</w:t>
            </w:r>
          </w:p>
        </w:tc>
        <w:tc>
          <w:tcPr>
            <w:tcW w:w="1418" w:type="dxa"/>
            <w:vAlign w:val="center"/>
          </w:tcPr>
          <w:p w14:paraId="12BE54A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227.3</w:t>
            </w:r>
          </w:p>
        </w:tc>
        <w:tc>
          <w:tcPr>
            <w:tcW w:w="1275" w:type="dxa"/>
            <w:vAlign w:val="center"/>
          </w:tcPr>
          <w:p w14:paraId="39A12DB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[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]</w:t>
            </w:r>
          </w:p>
        </w:tc>
      </w:tr>
      <w:tr w14:paraId="6B8B30A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53" w:type="dxa"/>
            <w:vAlign w:val="center"/>
          </w:tcPr>
          <w:p w14:paraId="795FCDF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0"/>
                <w:szCs w:val="20"/>
                <w:highlight w:val="none"/>
              </w:rPr>
              <w:t>CMPs</w:t>
            </w:r>
          </w:p>
        </w:tc>
        <w:tc>
          <w:tcPr>
            <w:tcW w:w="992" w:type="dxa"/>
            <w:vAlign w:val="center"/>
          </w:tcPr>
          <w:p w14:paraId="65350CE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highlight w:val="none"/>
              </w:rPr>
              <w:t>MB</w:t>
            </w:r>
          </w:p>
        </w:tc>
        <w:tc>
          <w:tcPr>
            <w:tcW w:w="1418" w:type="dxa"/>
            <w:vAlign w:val="center"/>
          </w:tcPr>
          <w:p w14:paraId="3939BD1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highlight w:val="none"/>
              </w:rPr>
              <w:t>322.58</w:t>
            </w:r>
          </w:p>
        </w:tc>
        <w:tc>
          <w:tcPr>
            <w:tcW w:w="1275" w:type="dxa"/>
            <w:vAlign w:val="center"/>
          </w:tcPr>
          <w:p w14:paraId="2790E56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highlight w:val="none"/>
              </w:rPr>
              <w:t>Present study</w:t>
            </w:r>
          </w:p>
        </w:tc>
      </w:tr>
      <w:tr w14:paraId="6F33139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53" w:type="dxa"/>
            <w:vAlign w:val="center"/>
          </w:tcPr>
          <w:p w14:paraId="1D8C26E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gum xanthan/Fe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highlight w:val="none"/>
                <w:vertAlign w:val="subscript"/>
              </w:rPr>
              <w:t>3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O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highlight w:val="none"/>
                <w:vertAlign w:val="subscript"/>
              </w:rPr>
              <w:t>4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 xml:space="preserve"> based nanocomposite hydrogel</w:t>
            </w:r>
          </w:p>
        </w:tc>
        <w:tc>
          <w:tcPr>
            <w:tcW w:w="992" w:type="dxa"/>
            <w:vAlign w:val="center"/>
          </w:tcPr>
          <w:p w14:paraId="4D87CE2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MV</w:t>
            </w:r>
          </w:p>
        </w:tc>
        <w:tc>
          <w:tcPr>
            <w:tcW w:w="1418" w:type="dxa"/>
            <w:vAlign w:val="center"/>
          </w:tcPr>
          <w:p w14:paraId="5205773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642</w:t>
            </w:r>
          </w:p>
        </w:tc>
        <w:tc>
          <w:tcPr>
            <w:tcW w:w="1275" w:type="dxa"/>
            <w:vAlign w:val="center"/>
          </w:tcPr>
          <w:p w14:paraId="3D9AA71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[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]</w:t>
            </w:r>
          </w:p>
        </w:tc>
      </w:tr>
      <w:tr w14:paraId="000781C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53" w:type="dxa"/>
            <w:vAlign w:val="center"/>
          </w:tcPr>
          <w:p w14:paraId="54EE4D0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gum/Fe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highlight w:val="none"/>
                <w:vertAlign w:val="subscript"/>
              </w:rPr>
              <w:t>3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O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highlight w:val="none"/>
                <w:vertAlign w:val="subscript"/>
              </w:rPr>
              <w:t>4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 xml:space="preserve"> nano-bioadsorbent</w:t>
            </w:r>
          </w:p>
        </w:tc>
        <w:tc>
          <w:tcPr>
            <w:tcW w:w="992" w:type="dxa"/>
            <w:vAlign w:val="center"/>
          </w:tcPr>
          <w:p w14:paraId="41604F1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MV</w:t>
            </w:r>
          </w:p>
        </w:tc>
        <w:tc>
          <w:tcPr>
            <w:tcW w:w="1418" w:type="dxa"/>
            <w:vAlign w:val="center"/>
          </w:tcPr>
          <w:p w14:paraId="6F5AFC0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113</w:t>
            </w:r>
          </w:p>
        </w:tc>
        <w:tc>
          <w:tcPr>
            <w:tcW w:w="1275" w:type="dxa"/>
            <w:vAlign w:val="center"/>
          </w:tcPr>
          <w:p w14:paraId="7EF201C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[</w:t>
            </w:r>
            <w:r>
              <w:rPr>
                <w:rFonts w:hint="eastAsia" w:eastAsia="宋体" w:cs="Times New Roman"/>
                <w:kern w:val="0"/>
                <w:sz w:val="18"/>
                <w:szCs w:val="18"/>
                <w:highlight w:val="none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]</w:t>
            </w:r>
          </w:p>
        </w:tc>
      </w:tr>
      <w:tr w14:paraId="7DBDB17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53" w:type="dxa"/>
            <w:vAlign w:val="center"/>
          </w:tcPr>
          <w:p w14:paraId="5653F82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Clay/starch/Fe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highlight w:val="none"/>
                <w:vertAlign w:val="subscript"/>
              </w:rPr>
              <w:t>3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O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highlight w:val="none"/>
                <w:vertAlign w:val="subscript"/>
              </w:rPr>
              <w:t>4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 xml:space="preserve"> nanocomposite</w:t>
            </w:r>
          </w:p>
        </w:tc>
        <w:tc>
          <w:tcPr>
            <w:tcW w:w="992" w:type="dxa"/>
            <w:vAlign w:val="center"/>
          </w:tcPr>
          <w:p w14:paraId="2553B73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MV</w:t>
            </w:r>
          </w:p>
        </w:tc>
        <w:tc>
          <w:tcPr>
            <w:tcW w:w="1418" w:type="dxa"/>
            <w:vAlign w:val="center"/>
          </w:tcPr>
          <w:p w14:paraId="2519E4D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29.67</w:t>
            </w:r>
          </w:p>
        </w:tc>
        <w:tc>
          <w:tcPr>
            <w:tcW w:w="1275" w:type="dxa"/>
            <w:vAlign w:val="center"/>
          </w:tcPr>
          <w:p w14:paraId="2D0C80D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[</w:t>
            </w:r>
            <w:r>
              <w:rPr>
                <w:rFonts w:hint="eastAsia" w:eastAsia="宋体" w:cs="Times New Roman"/>
                <w:kern w:val="0"/>
                <w:sz w:val="18"/>
                <w:szCs w:val="18"/>
                <w:highlight w:val="none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]</w:t>
            </w:r>
          </w:p>
        </w:tc>
      </w:tr>
      <w:tr w14:paraId="4218A18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53" w:type="dxa"/>
            <w:vAlign w:val="center"/>
          </w:tcPr>
          <w:p w14:paraId="2EE1A5A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montmorillonite/graphene oxide/CoFe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highlight w:val="none"/>
                <w:vertAlign w:val="subscript"/>
              </w:rPr>
              <w:t>2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O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highlight w:val="none"/>
                <w:vertAlign w:val="subscript"/>
              </w:rPr>
              <w:t>4</w:t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 xml:space="preserve"> nanocomposite</w:t>
            </w:r>
          </w:p>
        </w:tc>
        <w:tc>
          <w:tcPr>
            <w:tcW w:w="992" w:type="dxa"/>
            <w:vAlign w:val="center"/>
          </w:tcPr>
          <w:p w14:paraId="4FF6EC0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MV</w:t>
            </w:r>
          </w:p>
        </w:tc>
        <w:tc>
          <w:tcPr>
            <w:tcW w:w="1418" w:type="dxa"/>
            <w:vAlign w:val="center"/>
          </w:tcPr>
          <w:p w14:paraId="2FCB40E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97.26</w:t>
            </w:r>
          </w:p>
        </w:tc>
        <w:tc>
          <w:tcPr>
            <w:tcW w:w="1275" w:type="dxa"/>
            <w:vAlign w:val="center"/>
          </w:tcPr>
          <w:p w14:paraId="620AE8D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[</w:t>
            </w:r>
            <w:r>
              <w:rPr>
                <w:rFonts w:hint="eastAsia" w:eastAsia="宋体" w:cs="Times New Roman"/>
                <w:kern w:val="0"/>
                <w:sz w:val="18"/>
                <w:szCs w:val="18"/>
                <w:highlight w:val="none"/>
                <w:lang w:val="en-US" w:eastAsia="zh-CN"/>
              </w:rPr>
              <w:t>7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]</w:t>
            </w:r>
          </w:p>
        </w:tc>
      </w:tr>
      <w:tr w14:paraId="07DDFD2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53" w:type="dxa"/>
            <w:vAlign w:val="center"/>
          </w:tcPr>
          <w:p w14:paraId="18D2EAF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0"/>
                <w:szCs w:val="20"/>
                <w:highlight w:val="none"/>
              </w:rPr>
              <w:t>CMPs</w:t>
            </w:r>
          </w:p>
        </w:tc>
        <w:tc>
          <w:tcPr>
            <w:tcW w:w="992" w:type="dxa"/>
            <w:vAlign w:val="center"/>
          </w:tcPr>
          <w:p w14:paraId="2AAD587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highlight w:val="none"/>
              </w:rPr>
              <w:t>MV</w:t>
            </w:r>
          </w:p>
        </w:tc>
        <w:tc>
          <w:tcPr>
            <w:tcW w:w="1418" w:type="dxa"/>
            <w:vAlign w:val="center"/>
          </w:tcPr>
          <w:p w14:paraId="7D44C21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sz w:val="18"/>
                <w:szCs w:val="18"/>
                <w:lang w:val="en-US" w:eastAsia="en-US" w:bidi="ar"/>
              </w:rPr>
              <w:t>653.59</w:t>
            </w:r>
          </w:p>
        </w:tc>
        <w:tc>
          <w:tcPr>
            <w:tcW w:w="1275" w:type="dxa"/>
            <w:vAlign w:val="center"/>
          </w:tcPr>
          <w:p w14:paraId="3EBA1D1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highlight w:val="none"/>
              </w:rPr>
              <w:t>Present study</w:t>
            </w:r>
          </w:p>
        </w:tc>
      </w:tr>
    </w:tbl>
    <w:p w14:paraId="50E6B452">
      <w:pPr>
        <w:spacing w:line="360" w:lineRule="auto"/>
        <w:jc w:val="both"/>
        <w:rPr>
          <w:rFonts w:ascii="Times New Roman" w:hAnsi="Times New Roman" w:cs="Times New Roman"/>
          <w:highlight w:val="none"/>
        </w:rPr>
      </w:pPr>
    </w:p>
    <w:p w14:paraId="1AB949D8">
      <w:pPr>
        <w:spacing w:line="360" w:lineRule="auto"/>
        <w:jc w:val="center"/>
        <w:rPr>
          <w:rFonts w:ascii="Times New Roman" w:hAnsi="Times New Roman" w:cs="Times New Roman"/>
          <w:highlight w:val="none"/>
        </w:rPr>
      </w:pPr>
    </w:p>
    <w:p w14:paraId="6FAA2B93">
      <w:pPr>
        <w:spacing w:line="360" w:lineRule="auto"/>
        <w:jc w:val="center"/>
        <w:rPr>
          <w:rFonts w:ascii="Times New Roman" w:hAnsi="Times New Roman" w:cs="Times New Roman"/>
          <w:highlight w:val="none"/>
        </w:rPr>
      </w:pPr>
    </w:p>
    <w:p w14:paraId="17FAA97A">
      <w:pPr>
        <w:spacing w:line="360" w:lineRule="auto"/>
        <w:jc w:val="center"/>
        <w:rPr>
          <w:rFonts w:ascii="Times New Roman" w:hAnsi="Times New Roman" w:cs="Times New Roman"/>
          <w:highlight w:val="none"/>
        </w:rPr>
      </w:pPr>
    </w:p>
    <w:p w14:paraId="07259D77">
      <w:pPr>
        <w:spacing w:line="360" w:lineRule="auto"/>
        <w:jc w:val="center"/>
        <w:rPr>
          <w:rFonts w:ascii="Times New Roman" w:hAnsi="Times New Roman" w:cs="Times New Roman"/>
          <w:highlight w:val="none"/>
        </w:rPr>
      </w:pPr>
    </w:p>
    <w:p w14:paraId="367FAFCB">
      <w:pPr>
        <w:spacing w:line="360" w:lineRule="auto"/>
        <w:jc w:val="center"/>
        <w:rPr>
          <w:rFonts w:ascii="Times New Roman" w:hAnsi="Times New Roman" w:cs="Times New Roman"/>
          <w:highlight w:val="none"/>
        </w:rPr>
      </w:pPr>
    </w:p>
    <w:p w14:paraId="254F86CF">
      <w:pPr>
        <w:spacing w:line="360" w:lineRule="auto"/>
        <w:jc w:val="center"/>
        <w:rPr>
          <w:rFonts w:ascii="Times New Roman" w:hAnsi="Times New Roman" w:cs="Times New Roman"/>
          <w:highlight w:val="none"/>
        </w:rPr>
      </w:pPr>
    </w:p>
    <w:p w14:paraId="12EF8C4F">
      <w:pPr>
        <w:spacing w:line="360" w:lineRule="auto"/>
        <w:jc w:val="center"/>
        <w:rPr>
          <w:rFonts w:ascii="Times New Roman" w:hAnsi="Times New Roman" w:cs="Times New Roman"/>
          <w:highlight w:val="none"/>
        </w:rPr>
      </w:pPr>
    </w:p>
    <w:p w14:paraId="3FDAED8B">
      <w:pPr>
        <w:spacing w:before="80" w:after="240"/>
        <w:jc w:val="center"/>
        <w:rPr>
          <w:rFonts w:hint="eastAsia" w:eastAsia="宋体"/>
          <w:lang w:eastAsia="zh-CN"/>
        </w:rPr>
      </w:pPr>
    </w:p>
    <w:p w14:paraId="5030CFFC"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Fonts w:eastAsia="宋体" w:cs="Times New Roman"/>
          <w:b/>
          <w:bCs/>
          <w:sz w:val="24"/>
          <w:szCs w:val="32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kern w:val="0"/>
          <w:sz w:val="24"/>
          <w:szCs w:val="32"/>
          <w:lang w:val="en-US" w:eastAsia="zh-CN" w:bidi="ar"/>
        </w:rPr>
        <w:t>References</w:t>
      </w:r>
    </w:p>
    <w:p w14:paraId="1E0038A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jc w:val="both"/>
        <w:textAlignment w:val="auto"/>
        <w:rPr>
          <w:rFonts w:hint="default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[1] Tsauria Q D, Gareso P L, Abdullah B, et al. Magnetic chitosan-Fe</w:t>
      </w:r>
      <w:r>
        <w:rPr>
          <w:rFonts w:hint="eastAsia" w:eastAsia="宋体"/>
          <w:vertAlign w:val="subscript"/>
          <w:lang w:val="en-US" w:eastAsia="zh-CN"/>
        </w:rPr>
        <w:t>3</w:t>
      </w:r>
      <w:r>
        <w:rPr>
          <w:rFonts w:hint="eastAsia" w:eastAsia="宋体"/>
          <w:lang w:val="en-US" w:eastAsia="zh-CN"/>
        </w:rPr>
        <w:t>O</w:t>
      </w:r>
      <w:r>
        <w:rPr>
          <w:rFonts w:hint="eastAsia" w:eastAsia="宋体"/>
          <w:vertAlign w:val="subscript"/>
          <w:lang w:val="en-US" w:eastAsia="zh-CN"/>
        </w:rPr>
        <w:t>4</w:t>
      </w:r>
      <w:r>
        <w:rPr>
          <w:rFonts w:hint="eastAsia" w:eastAsia="宋体"/>
          <w:lang w:val="en-US" w:eastAsia="zh-CN"/>
        </w:rPr>
        <w:t>/activated carbon composite for efficient simultaneous removal of methylene blue and congo red from water[J]. Advanced Powder Technology, 2026, 37(7): 105315.</w:t>
      </w:r>
    </w:p>
    <w:p w14:paraId="64574B74">
      <w:pPr>
        <w:keepNext w:val="0"/>
        <w:keepLines w:val="0"/>
        <w:pageBreakBefore w:val="0"/>
        <w:widowControl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jc w:val="both"/>
        <w:textAlignment w:val="auto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>Kumar A, Sur D, Algethami N, et al. Synthesis and characterization of gum/Fe</w:t>
      </w:r>
      <w:r>
        <w:rPr>
          <w:rFonts w:hint="eastAsia" w:eastAsia="宋体"/>
          <w:vertAlign w:val="subscript"/>
          <w:lang w:eastAsia="zh-CN"/>
        </w:rPr>
        <w:t>3</w:t>
      </w:r>
      <w:r>
        <w:rPr>
          <w:rFonts w:hint="eastAsia" w:eastAsia="宋体"/>
          <w:lang w:eastAsia="zh-CN"/>
        </w:rPr>
        <w:t>O</w:t>
      </w:r>
      <w:r>
        <w:rPr>
          <w:rFonts w:hint="eastAsia" w:eastAsia="宋体"/>
          <w:vertAlign w:val="subscript"/>
          <w:lang w:eastAsia="zh-CN"/>
        </w:rPr>
        <w:t>4</w:t>
      </w:r>
      <w:r>
        <w:rPr>
          <w:rFonts w:hint="eastAsia" w:eastAsia="宋体"/>
          <w:lang w:eastAsia="zh-CN"/>
        </w:rPr>
        <w:t xml:space="preserve"> nano-bioadsorbent for removing methylene blue and methyl violet in batch and continuous systems[J]. Journal of Sol-Gel Science and Technology, 2025, 116(2): 1188-1204.</w:t>
      </w:r>
    </w:p>
    <w:p w14:paraId="52740554">
      <w:pPr>
        <w:keepNext w:val="0"/>
        <w:keepLines w:val="0"/>
        <w:pageBreakBefore w:val="0"/>
        <w:widowControl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jc w:val="both"/>
        <w:textAlignment w:val="auto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>Mohanty</w:t>
      </w:r>
      <w:r>
        <w:rPr>
          <w:rFonts w:hint="eastAsia" w:eastAsia="宋体"/>
          <w:lang w:val="en-US" w:eastAsia="zh-CN"/>
        </w:rPr>
        <w:t xml:space="preserve"> </w:t>
      </w:r>
      <w:r>
        <w:rPr>
          <w:rFonts w:hint="eastAsia" w:eastAsia="宋体"/>
          <w:lang w:eastAsia="zh-CN"/>
        </w:rPr>
        <w:t>N, Behera</w:t>
      </w:r>
      <w:r>
        <w:rPr>
          <w:rFonts w:hint="eastAsia" w:eastAsia="宋体"/>
          <w:lang w:val="en-US" w:eastAsia="zh-CN"/>
        </w:rPr>
        <w:t xml:space="preserve"> </w:t>
      </w:r>
      <w:r>
        <w:rPr>
          <w:rFonts w:hint="eastAsia" w:eastAsia="宋体"/>
          <w:lang w:eastAsia="zh-CN"/>
        </w:rPr>
        <w:t>S, Patra</w:t>
      </w:r>
      <w:r>
        <w:rPr>
          <w:rFonts w:hint="eastAsia" w:eastAsia="宋体"/>
          <w:lang w:val="en-US" w:eastAsia="zh-CN"/>
        </w:rPr>
        <w:t xml:space="preserve"> </w:t>
      </w:r>
      <w:r>
        <w:rPr>
          <w:rFonts w:hint="eastAsia" w:eastAsia="宋体"/>
          <w:lang w:eastAsia="zh-CN"/>
        </w:rPr>
        <w:t>B</w:t>
      </w:r>
      <w:r>
        <w:rPr>
          <w:rFonts w:hint="eastAsia" w:eastAsia="宋体"/>
          <w:lang w:val="en-US" w:eastAsia="zh-CN"/>
        </w:rPr>
        <w:t xml:space="preserve"> </w:t>
      </w:r>
      <w:r>
        <w:rPr>
          <w:rFonts w:hint="eastAsia" w:eastAsia="宋体"/>
          <w:lang w:eastAsia="zh-CN"/>
        </w:rPr>
        <w:t>N</w:t>
      </w:r>
      <w:r>
        <w:rPr>
          <w:rFonts w:hint="eastAsia" w:eastAsia="宋体"/>
          <w:lang w:val="en-US" w:eastAsia="zh-CN"/>
        </w:rPr>
        <w:t>.</w:t>
      </w:r>
      <w:r>
        <w:rPr>
          <w:rFonts w:hint="eastAsia" w:eastAsia="宋体"/>
          <w:lang w:eastAsia="zh-CN"/>
        </w:rPr>
        <w:t xml:space="preserve"> Fabrication of Fe</w:t>
      </w:r>
      <w:r>
        <w:rPr>
          <w:rFonts w:hint="eastAsia" w:eastAsia="宋体"/>
          <w:vertAlign w:val="subscript"/>
          <w:lang w:eastAsia="zh-CN"/>
        </w:rPr>
        <w:t>3</w:t>
      </w:r>
      <w:r>
        <w:rPr>
          <w:rFonts w:hint="eastAsia" w:eastAsia="宋体"/>
          <w:lang w:eastAsia="zh-CN"/>
        </w:rPr>
        <w:t>O</w:t>
      </w:r>
      <w:r>
        <w:rPr>
          <w:rFonts w:hint="eastAsia" w:eastAsia="宋体"/>
          <w:vertAlign w:val="subscript"/>
          <w:lang w:eastAsia="zh-CN"/>
        </w:rPr>
        <w:t>4</w:t>
      </w:r>
      <w:r>
        <w:rPr>
          <w:rFonts w:hint="eastAsia" w:eastAsia="宋体"/>
          <w:lang w:eastAsia="zh-CN"/>
        </w:rPr>
        <w:t>/</w:t>
      </w:r>
      <w:r>
        <w:rPr>
          <w:rFonts w:hint="eastAsia" w:eastAsia="宋体"/>
          <w:lang w:val="en-US" w:eastAsia="zh-CN"/>
        </w:rPr>
        <w:t>p</w:t>
      </w:r>
      <w:r>
        <w:rPr>
          <w:rFonts w:hint="eastAsia" w:eastAsia="宋体"/>
          <w:lang w:eastAsia="zh-CN"/>
        </w:rPr>
        <w:t>olypyrrole/</w:t>
      </w:r>
      <w:r>
        <w:rPr>
          <w:rFonts w:hint="eastAsia" w:eastAsia="宋体"/>
          <w:lang w:val="en-US" w:eastAsia="zh-CN"/>
        </w:rPr>
        <w:t>p</w:t>
      </w:r>
      <w:r>
        <w:rPr>
          <w:rFonts w:hint="eastAsia" w:eastAsia="宋体"/>
          <w:lang w:eastAsia="zh-CN"/>
        </w:rPr>
        <w:t xml:space="preserve">hytic </w:t>
      </w:r>
      <w:r>
        <w:rPr>
          <w:rFonts w:hint="eastAsia" w:eastAsia="宋体"/>
          <w:lang w:val="en-US" w:eastAsia="zh-CN"/>
        </w:rPr>
        <w:t>a</w:t>
      </w:r>
      <w:r>
        <w:rPr>
          <w:rFonts w:hint="eastAsia" w:eastAsia="宋体"/>
          <w:lang w:eastAsia="zh-CN"/>
        </w:rPr>
        <w:t xml:space="preserve">cid </w:t>
      </w:r>
      <w:r>
        <w:rPr>
          <w:rFonts w:hint="eastAsia" w:eastAsia="宋体"/>
          <w:lang w:val="en-US" w:eastAsia="zh-CN"/>
        </w:rPr>
        <w:t>m</w:t>
      </w:r>
      <w:r>
        <w:rPr>
          <w:rFonts w:hint="eastAsia" w:eastAsia="宋体"/>
          <w:lang w:eastAsia="zh-CN"/>
        </w:rPr>
        <w:t xml:space="preserve">agnetic </w:t>
      </w:r>
      <w:r>
        <w:rPr>
          <w:rFonts w:hint="eastAsia" w:eastAsia="宋体"/>
          <w:lang w:val="en-US" w:eastAsia="zh-CN"/>
        </w:rPr>
        <w:t>n</w:t>
      </w:r>
      <w:r>
        <w:rPr>
          <w:rFonts w:hint="eastAsia" w:eastAsia="宋体"/>
          <w:lang w:eastAsia="zh-CN"/>
        </w:rPr>
        <w:t xml:space="preserve">anocomposite for </w:t>
      </w:r>
      <w:r>
        <w:rPr>
          <w:rFonts w:hint="eastAsia" w:eastAsia="宋体"/>
          <w:lang w:val="en-US" w:eastAsia="zh-CN"/>
        </w:rPr>
        <w:t>p</w:t>
      </w:r>
      <w:r>
        <w:rPr>
          <w:rFonts w:hint="eastAsia" w:eastAsia="宋体"/>
          <w:lang w:eastAsia="zh-CN"/>
        </w:rPr>
        <w:t xml:space="preserve">referential </w:t>
      </w:r>
      <w:r>
        <w:rPr>
          <w:rFonts w:hint="eastAsia" w:eastAsia="宋体"/>
          <w:lang w:val="en-US" w:eastAsia="zh-CN"/>
        </w:rPr>
        <w:t>a</w:t>
      </w:r>
      <w:r>
        <w:rPr>
          <w:rFonts w:hint="eastAsia" w:eastAsia="宋体"/>
          <w:lang w:eastAsia="zh-CN"/>
        </w:rPr>
        <w:t xml:space="preserve">dsorption of </w:t>
      </w:r>
      <w:r>
        <w:rPr>
          <w:rFonts w:hint="eastAsia" w:eastAsia="宋体"/>
          <w:lang w:val="en-US" w:eastAsia="zh-CN"/>
        </w:rPr>
        <w:t>c</w:t>
      </w:r>
      <w:r>
        <w:rPr>
          <w:rFonts w:hint="eastAsia" w:eastAsia="宋体"/>
          <w:lang w:eastAsia="zh-CN"/>
        </w:rPr>
        <w:t xml:space="preserve">ationic </w:t>
      </w:r>
      <w:r>
        <w:rPr>
          <w:rFonts w:hint="eastAsia" w:eastAsia="宋体"/>
          <w:lang w:val="en-US" w:eastAsia="zh-CN"/>
        </w:rPr>
        <w:t>d</w:t>
      </w:r>
      <w:r>
        <w:rPr>
          <w:rFonts w:hint="eastAsia" w:eastAsia="宋体"/>
          <w:lang w:eastAsia="zh-CN"/>
        </w:rPr>
        <w:t xml:space="preserve">ye: Adsorption </w:t>
      </w:r>
      <w:r>
        <w:rPr>
          <w:rFonts w:hint="eastAsia" w:eastAsia="宋体"/>
          <w:lang w:val="en-US" w:eastAsia="zh-CN"/>
        </w:rPr>
        <w:t>p</w:t>
      </w:r>
      <w:r>
        <w:rPr>
          <w:rFonts w:hint="eastAsia" w:eastAsia="宋体"/>
          <w:lang w:eastAsia="zh-CN"/>
        </w:rPr>
        <w:t xml:space="preserve">roperties, </w:t>
      </w:r>
      <w:r>
        <w:rPr>
          <w:rFonts w:hint="eastAsia" w:eastAsia="宋体"/>
          <w:lang w:val="en-US" w:eastAsia="zh-CN"/>
        </w:rPr>
        <w:t>k</w:t>
      </w:r>
      <w:r>
        <w:rPr>
          <w:rFonts w:hint="eastAsia" w:eastAsia="宋体"/>
          <w:lang w:eastAsia="zh-CN"/>
        </w:rPr>
        <w:t xml:space="preserve">inetics, and </w:t>
      </w:r>
      <w:r>
        <w:rPr>
          <w:rFonts w:hint="eastAsia" w:eastAsia="宋体"/>
          <w:lang w:val="en-US" w:eastAsia="zh-CN"/>
        </w:rPr>
        <w:t>m</w:t>
      </w:r>
      <w:r>
        <w:rPr>
          <w:rFonts w:hint="eastAsia" w:eastAsia="宋体"/>
          <w:lang w:eastAsia="zh-CN"/>
        </w:rPr>
        <w:t>echanism</w:t>
      </w:r>
      <w:r>
        <w:rPr>
          <w:rFonts w:hint="eastAsia" w:eastAsia="宋体"/>
          <w:lang w:val="en-US" w:eastAsia="zh-CN"/>
        </w:rPr>
        <w:t xml:space="preserve">[J]. </w:t>
      </w:r>
      <w:r>
        <w:rPr>
          <w:rFonts w:hint="eastAsia" w:eastAsia="宋体"/>
          <w:lang w:eastAsia="zh-CN"/>
        </w:rPr>
        <w:t xml:space="preserve">Industrial </w:t>
      </w:r>
      <w:r>
        <w:rPr>
          <w:rFonts w:hint="eastAsia" w:eastAsia="宋体"/>
          <w:lang w:val="en-US" w:eastAsia="zh-CN"/>
        </w:rPr>
        <w:t>and</w:t>
      </w:r>
      <w:r>
        <w:rPr>
          <w:rFonts w:hint="eastAsia" w:eastAsia="宋体"/>
          <w:lang w:eastAsia="zh-CN"/>
        </w:rPr>
        <w:t xml:space="preserve"> Engineering Chemistry Research</w:t>
      </w:r>
      <w:r>
        <w:rPr>
          <w:rFonts w:hint="eastAsia" w:eastAsia="宋体"/>
          <w:lang w:val="en-US" w:eastAsia="zh-CN"/>
        </w:rPr>
        <w:t xml:space="preserve">, </w:t>
      </w:r>
      <w:r>
        <w:rPr>
          <w:rFonts w:hint="eastAsia" w:eastAsia="宋体"/>
          <w:lang w:eastAsia="zh-CN"/>
        </w:rPr>
        <w:t>2025</w:t>
      </w:r>
      <w:r>
        <w:rPr>
          <w:rFonts w:hint="eastAsia" w:eastAsia="宋体"/>
          <w:lang w:val="en-US" w:eastAsia="zh-CN"/>
        </w:rPr>
        <w:t>,</w:t>
      </w:r>
      <w:r>
        <w:rPr>
          <w:rFonts w:hint="eastAsia" w:eastAsia="宋体"/>
          <w:lang w:eastAsia="zh-CN"/>
        </w:rPr>
        <w:t xml:space="preserve"> 64 (4), 2274-2282</w:t>
      </w:r>
      <w:r>
        <w:rPr>
          <w:rFonts w:hint="eastAsia" w:eastAsia="宋体"/>
          <w:lang w:val="en-US" w:eastAsia="zh-CN"/>
        </w:rPr>
        <w:t>.</w:t>
      </w:r>
    </w:p>
    <w:p w14:paraId="3DB33E40">
      <w:pPr>
        <w:keepNext w:val="0"/>
        <w:keepLines w:val="0"/>
        <w:pageBreakBefore w:val="0"/>
        <w:widowControl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jc w:val="both"/>
        <w:textAlignment w:val="auto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>Kataria N, Garg V K. Application of EDTA modified Fe</w:t>
      </w:r>
      <w:r>
        <w:rPr>
          <w:rFonts w:hint="eastAsia" w:eastAsia="宋体"/>
          <w:vertAlign w:val="subscript"/>
          <w:lang w:eastAsia="zh-CN"/>
        </w:rPr>
        <w:t>3</w:t>
      </w:r>
      <w:r>
        <w:rPr>
          <w:rFonts w:hint="eastAsia" w:eastAsia="宋体"/>
          <w:lang w:eastAsia="zh-CN"/>
        </w:rPr>
        <w:t>O</w:t>
      </w:r>
      <w:r>
        <w:rPr>
          <w:rFonts w:hint="eastAsia" w:eastAsia="宋体"/>
          <w:vertAlign w:val="subscript"/>
          <w:lang w:eastAsia="zh-CN"/>
        </w:rPr>
        <w:t>4</w:t>
      </w:r>
      <w:r>
        <w:rPr>
          <w:rFonts w:hint="eastAsia" w:eastAsia="宋体"/>
          <w:lang w:eastAsia="zh-CN"/>
        </w:rPr>
        <w:t>/sawdust carbon nanocomposites to ameliorate methylene blue and brilliant green dye laden water[J]. Environmental research, 2019, 172: 43-54.</w:t>
      </w:r>
    </w:p>
    <w:p w14:paraId="6B139A36">
      <w:pPr>
        <w:keepNext w:val="0"/>
        <w:keepLines w:val="0"/>
        <w:pageBreakBefore w:val="0"/>
        <w:widowControl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jc w:val="both"/>
        <w:textAlignment w:val="auto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t>Mittal</w:t>
      </w:r>
      <w:r>
        <w:rPr>
          <w:rFonts w:hint="eastAsia" w:eastAsia="宋体"/>
          <w:lang w:val="en-US" w:eastAsia="zh-CN"/>
        </w:rPr>
        <w:t xml:space="preserve"> </w:t>
      </w:r>
      <w:r>
        <w:rPr>
          <w:rFonts w:hint="eastAsia" w:eastAsia="宋体"/>
          <w:lang w:eastAsia="zh-CN"/>
        </w:rPr>
        <w:t>H, Kumar</w:t>
      </w:r>
      <w:r>
        <w:rPr>
          <w:rFonts w:hint="eastAsia" w:eastAsia="宋体"/>
          <w:lang w:val="en-US" w:eastAsia="zh-CN"/>
        </w:rPr>
        <w:t xml:space="preserve"> </w:t>
      </w:r>
      <w:r>
        <w:rPr>
          <w:rFonts w:hint="eastAsia" w:eastAsia="宋体"/>
          <w:lang w:eastAsia="zh-CN"/>
        </w:rPr>
        <w:t>V, Saruchi,</w:t>
      </w:r>
      <w:r>
        <w:rPr>
          <w:rFonts w:hint="eastAsia" w:eastAsia="宋体"/>
          <w:lang w:val="en-US" w:eastAsia="zh-CN"/>
        </w:rPr>
        <w:t xml:space="preserve"> et al. </w:t>
      </w:r>
      <w:r>
        <w:rPr>
          <w:rFonts w:hint="eastAsia" w:eastAsia="宋体"/>
          <w:lang w:eastAsia="zh-CN"/>
        </w:rPr>
        <w:t>Adsorption of methyl violet from aqueous solution using gum xanthan/Fe</w:t>
      </w:r>
      <w:r>
        <w:rPr>
          <w:rFonts w:hint="eastAsia" w:eastAsia="宋体"/>
          <w:vertAlign w:val="subscript"/>
          <w:lang w:eastAsia="zh-CN"/>
        </w:rPr>
        <w:t>3</w:t>
      </w:r>
      <w:r>
        <w:rPr>
          <w:rFonts w:hint="eastAsia" w:eastAsia="宋体"/>
          <w:lang w:eastAsia="zh-CN"/>
        </w:rPr>
        <w:t>O</w:t>
      </w:r>
      <w:r>
        <w:rPr>
          <w:rFonts w:hint="eastAsia" w:eastAsia="宋体"/>
          <w:vertAlign w:val="subscript"/>
          <w:lang w:eastAsia="zh-CN"/>
        </w:rPr>
        <w:t>4</w:t>
      </w:r>
      <w:r>
        <w:rPr>
          <w:rFonts w:hint="eastAsia" w:eastAsia="宋体"/>
          <w:lang w:eastAsia="zh-CN"/>
        </w:rPr>
        <w:t xml:space="preserve"> based nanocomposite hydrogel</w:t>
      </w:r>
      <w:r>
        <w:rPr>
          <w:rFonts w:hint="eastAsia" w:eastAsia="宋体"/>
          <w:lang w:val="en-US" w:eastAsia="zh-CN"/>
        </w:rPr>
        <w:t xml:space="preserve">[J]. </w:t>
      </w:r>
      <w:r>
        <w:rPr>
          <w:rFonts w:hint="eastAsia" w:eastAsia="宋体"/>
          <w:lang w:eastAsia="zh-CN"/>
        </w:rPr>
        <w:t>International Journal of Biological Macromolecules,</w:t>
      </w:r>
      <w:r>
        <w:rPr>
          <w:rFonts w:hint="eastAsia" w:eastAsia="宋体"/>
          <w:lang w:val="en-US" w:eastAsia="zh-CN"/>
        </w:rPr>
        <w:t xml:space="preserve"> </w:t>
      </w:r>
      <w:r>
        <w:rPr>
          <w:rFonts w:hint="eastAsia" w:eastAsia="宋体"/>
          <w:lang w:eastAsia="zh-CN"/>
        </w:rPr>
        <w:t>2016,</w:t>
      </w:r>
      <w:r>
        <w:rPr>
          <w:rFonts w:hint="eastAsia" w:eastAsia="宋体"/>
          <w:lang w:val="en-US" w:eastAsia="zh-CN"/>
        </w:rPr>
        <w:t xml:space="preserve"> </w:t>
      </w:r>
      <w:r>
        <w:rPr>
          <w:rFonts w:hint="eastAsia" w:eastAsia="宋体"/>
          <w:lang w:eastAsia="zh-CN"/>
        </w:rPr>
        <w:t>89</w:t>
      </w:r>
      <w:r>
        <w:rPr>
          <w:rFonts w:hint="eastAsia" w:eastAsia="宋体"/>
          <w:lang w:val="en-US" w:eastAsia="zh-CN"/>
        </w:rPr>
        <w:t xml:space="preserve">: </w:t>
      </w:r>
      <w:r>
        <w:rPr>
          <w:rFonts w:hint="eastAsia" w:eastAsia="宋体"/>
          <w:lang w:eastAsia="zh-CN"/>
        </w:rPr>
        <w:t>1-11</w:t>
      </w:r>
      <w:r>
        <w:rPr>
          <w:rFonts w:hint="eastAsia" w:eastAsia="宋体"/>
          <w:lang w:val="en-US" w:eastAsia="zh-CN"/>
        </w:rPr>
        <w:t>.</w:t>
      </w:r>
    </w:p>
    <w:p w14:paraId="10E4C4FA">
      <w:pPr>
        <w:keepNext w:val="0"/>
        <w:keepLines w:val="0"/>
        <w:pageBreakBefore w:val="0"/>
        <w:widowControl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jc w:val="both"/>
        <w:textAlignment w:val="auto"/>
        <w:rPr>
          <w:rFonts w:hint="eastAsia" w:eastAsia="宋体"/>
          <w:lang w:eastAsia="zh-CN"/>
        </w:rPr>
      </w:pPr>
      <w:r>
        <w:rPr>
          <w:rFonts w:hint="eastAsia" w:eastAsia="宋体"/>
          <w:lang w:val="en-US" w:eastAsia="zh-CN"/>
        </w:rPr>
        <w:t xml:space="preserve">Ansari Mojarad </w:t>
      </w:r>
      <w:r>
        <w:rPr>
          <w:rFonts w:hint="eastAsia" w:eastAsia="宋体"/>
          <w:lang w:eastAsia="zh-CN"/>
        </w:rPr>
        <w:t>A, Tamjidi</w:t>
      </w:r>
      <w:r>
        <w:rPr>
          <w:rFonts w:hint="eastAsia" w:eastAsia="宋体"/>
          <w:lang w:val="en-US" w:eastAsia="zh-CN"/>
        </w:rPr>
        <w:t xml:space="preserve"> </w:t>
      </w:r>
      <w:r>
        <w:rPr>
          <w:rFonts w:hint="eastAsia" w:eastAsia="宋体"/>
          <w:lang w:eastAsia="zh-CN"/>
        </w:rPr>
        <w:t>S, Esmaeili</w:t>
      </w:r>
      <w:r>
        <w:rPr>
          <w:rFonts w:hint="eastAsia" w:eastAsia="宋体"/>
          <w:lang w:val="en-US" w:eastAsia="zh-CN"/>
        </w:rPr>
        <w:t xml:space="preserve"> </w:t>
      </w:r>
      <w:r>
        <w:rPr>
          <w:rFonts w:hint="eastAsia" w:eastAsia="宋体"/>
          <w:lang w:eastAsia="zh-CN"/>
        </w:rPr>
        <w:t>H</w:t>
      </w:r>
      <w:r>
        <w:rPr>
          <w:rFonts w:hint="eastAsia" w:eastAsia="宋体"/>
          <w:lang w:val="en-US" w:eastAsia="zh-CN"/>
        </w:rPr>
        <w:t>. Clay/starch/</w:t>
      </w:r>
      <w:r>
        <w:rPr>
          <w:rFonts w:hint="eastAsia" w:eastAsia="宋体"/>
          <w:lang w:eastAsia="zh-CN"/>
        </w:rPr>
        <w:t>Fe</w:t>
      </w:r>
      <w:r>
        <w:rPr>
          <w:rFonts w:hint="eastAsia" w:eastAsia="宋体"/>
          <w:vertAlign w:val="subscript"/>
          <w:lang w:eastAsia="zh-CN"/>
        </w:rPr>
        <w:t>3</w:t>
      </w:r>
      <w:r>
        <w:rPr>
          <w:rFonts w:hint="eastAsia" w:eastAsia="宋体"/>
          <w:lang w:eastAsia="zh-CN"/>
        </w:rPr>
        <w:t>O</w:t>
      </w:r>
      <w:r>
        <w:rPr>
          <w:rFonts w:hint="eastAsia" w:eastAsia="宋体"/>
          <w:vertAlign w:val="subscript"/>
          <w:lang w:eastAsia="zh-CN"/>
        </w:rPr>
        <w:t>4</w:t>
      </w:r>
      <w:r>
        <w:rPr>
          <w:rFonts w:hint="eastAsia" w:eastAsia="宋体"/>
          <w:lang w:val="en-US" w:eastAsia="zh-CN"/>
        </w:rPr>
        <w:t xml:space="preserve"> nanocomposite as an efficient adsorbent for the removal of methyl violet dye from aqueous media[J]. International Journal of Environmental Analytical Chemistry, 2022, 102(19): 8159-8180.</w:t>
      </w:r>
    </w:p>
    <w:p w14:paraId="439AC120">
      <w:pPr>
        <w:keepNext w:val="0"/>
        <w:keepLines w:val="0"/>
        <w:pageBreakBefore w:val="0"/>
        <w:widowControl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jc w:val="both"/>
        <w:textAlignment w:val="auto"/>
        <w:rPr>
          <w:rFonts w:hint="eastAsia" w:eastAsia="宋体"/>
          <w:lang w:eastAsia="zh-CN"/>
        </w:rPr>
      </w:pPr>
      <w:r>
        <w:rPr>
          <w:rFonts w:hint="eastAsia" w:eastAsia="宋体"/>
          <w:lang w:val="en-US" w:eastAsia="zh-CN"/>
        </w:rPr>
        <w:t>Foroutan R, Mohammadi R, Mousa Khanloo F, et al. Performance of montmorillonite/graphene oxide/CoFe</w:t>
      </w:r>
      <w:r>
        <w:rPr>
          <w:rFonts w:hint="eastAsia" w:eastAsia="宋体"/>
          <w:vertAlign w:val="subscript"/>
          <w:lang w:val="en-US" w:eastAsia="zh-CN"/>
        </w:rPr>
        <w:t>2</w:t>
      </w:r>
      <w:r>
        <w:rPr>
          <w:rFonts w:hint="eastAsia" w:eastAsia="宋体"/>
          <w:lang w:val="en-US" w:eastAsia="zh-CN"/>
        </w:rPr>
        <w:t>O</w:t>
      </w:r>
      <w:r>
        <w:rPr>
          <w:rFonts w:hint="eastAsia" w:eastAsia="宋体"/>
          <w:vertAlign w:val="subscript"/>
          <w:lang w:val="en-US" w:eastAsia="zh-CN"/>
        </w:rPr>
        <w:t>4</w:t>
      </w:r>
      <w:r>
        <w:rPr>
          <w:rFonts w:hint="eastAsia" w:eastAsia="宋体"/>
          <w:lang w:val="en-US" w:eastAsia="zh-CN"/>
        </w:rPr>
        <w:t xml:space="preserve"> as a magnetic and recyclable nanocomposite for cleaning methyl violet dye-laden wastewater[J]. Advanced Powder Technology, 2020, 31(9): 3993-4004.</w:t>
      </w:r>
      <w:bookmarkStart w:id="0" w:name="_GoBack"/>
      <w:bookmarkEnd w:id="0"/>
    </w:p>
    <w:p w14:paraId="52CDD8C8">
      <w:pPr>
        <w:spacing w:before="80" w:after="240"/>
        <w:jc w:val="center"/>
        <w:rPr>
          <w:rFonts w:hint="eastAsia" w:eastAsia="宋体"/>
          <w:lang w:eastAsia="zh-CN"/>
        </w:rPr>
      </w:pPr>
    </w:p>
    <w:sectPr>
      <w:footerReference r:id="rId5" w:type="default"/>
      <w:pgSz w:w="11906" w:h="16838"/>
      <w:pgMar w:top="1247" w:right="1247" w:bottom="1134" w:left="124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70409020205020404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Cambria Math">
    <w:panose1 w:val="02040503050406030204"/>
    <w:charset w:val="00"/>
    <w:family w:val="auto"/>
    <w:pitch w:val="variable"/>
    <w:sig w:usb0="E00006FF" w:usb1="420024FF" w:usb2="02000000" w:usb3="00000000" w:csb0="2000019F" w:csb1="00000000"/>
  </w:font>
  <w:font w:name="@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AdvGulliv-I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AdvGulliv-R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A88174">
    <w:pPr>
      <w:pStyle w:val="24"/>
      <w:jc w:val="center"/>
    </w:pPr>
    <w:r>
      <w:fldChar w:fldCharType="begin"/>
    </w:r>
    <w:r>
      <w:instrText xml:space="preserve">PAGE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A74FDB9"/>
    <w:multiLevelType w:val="singleLevel"/>
    <w:tmpl w:val="CA74FDB9"/>
    <w:lvl w:ilvl="0" w:tentative="0">
      <w:start w:val="2"/>
      <w:numFmt w:val="decimal"/>
      <w:suff w:val="space"/>
      <w:lvlText w:val="[%1]"/>
      <w:lvlJc w:val="left"/>
    </w:lvl>
  </w:abstractNum>
  <w:abstractNum w:abstractNumId="1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2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3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4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5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6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3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balanceSingleByteDoubleByteWidth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40776"/>
    <w:rsid w:val="008568F4"/>
    <w:rsid w:val="00AA1D8D"/>
    <w:rsid w:val="00B47730"/>
    <w:rsid w:val="00B94490"/>
    <w:rsid w:val="00CB0664"/>
    <w:rsid w:val="00F16DF6"/>
    <w:rsid w:val="00FC693F"/>
    <w:rsid w:val="03A943FB"/>
    <w:rsid w:val="1D552DD9"/>
    <w:rsid w:val="1E4569AA"/>
    <w:rsid w:val="359306D7"/>
    <w:rsid w:val="40B35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qFormat="1"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qFormat="1"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qFormat="1" w:unhideWhenUsed="0" w:uiPriority="62" w:semiHidden="0" w:name="Light Grid Accent 1"/>
    <w:lsdException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qFormat="1"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qFormat="1"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unhideWhenUsed="0" w:uiPriority="63" w:semiHidden="0" w:name="Medium Shading 1 Accent 4"/>
    <w:lsdException w:qFormat="1"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unhideWhenUsed="0" w:uiPriority="64" w:semiHidden="0" w:name="Medium Shading 2 Accent 6"/>
    <w:lsdException w:qFormat="1"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Times New Roman" w:hAnsi="Times New Roman" w:eastAsia="Times New Roman" w:cstheme="minorBidi"/>
      <w:sz w:val="20"/>
      <w:szCs w:val="22"/>
      <w:lang w:val="en-US" w:eastAsia="en-US" w:bidi="ar-SA"/>
    </w:rPr>
  </w:style>
  <w:style w:type="paragraph" w:styleId="3">
    <w:name w:val="heading 1"/>
    <w:basedOn w:val="1"/>
    <w:next w:val="1"/>
    <w:link w:val="143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44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5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6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7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8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9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60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3">
    <w:name w:val="Default Paragraph Font"/>
    <w:semiHidden/>
    <w:unhideWhenUsed/>
    <w:uiPriority w:val="1"/>
  </w:style>
  <w:style w:type="table" w:default="1" w:styleId="33">
    <w:name w:val="Normal Table"/>
    <w:semiHidden/>
    <w:unhideWhenUsed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52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51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9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41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40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7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footnote text"/>
    <w:basedOn w:val="1"/>
    <w:link w:val="169"/>
    <w:semiHidden/>
    <w:unhideWhenUsed/>
    <w:uiPriority w:val="99"/>
    <w:pPr>
      <w:keepNext w:val="0"/>
      <w:keepLines w:val="0"/>
      <w:widowControl/>
      <w:suppressLineNumbers w:val="0"/>
      <w:snapToGrid w:val="0"/>
      <w:spacing w:before="0" w:beforeAutospacing="0" w:after="120" w:afterAutospacing="0" w:line="276" w:lineRule="auto"/>
      <w:ind w:left="0" w:right="0"/>
      <w:jc w:val="left"/>
    </w:pPr>
    <w:rPr>
      <w:rFonts w:hint="default" w:ascii="Times New Roman" w:hAnsi="Times New Roman" w:eastAsia="Times New Roman" w:cs="Times New Roman"/>
      <w:kern w:val="0"/>
      <w:sz w:val="18"/>
      <w:szCs w:val="22"/>
      <w:lang w:val="en-US" w:eastAsia="zh-CN" w:bidi="ar"/>
    </w:rPr>
  </w:style>
  <w:style w:type="paragraph" w:styleId="29">
    <w:name w:val="Body Text 2"/>
    <w:basedOn w:val="1"/>
    <w:link w:val="150"/>
    <w:unhideWhenUsed/>
    <w:uiPriority w:val="99"/>
    <w:pPr>
      <w:spacing w:after="120" w:line="480" w:lineRule="auto"/>
    </w:pPr>
  </w:style>
  <w:style w:type="paragraph" w:styleId="30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1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2">
    <w:name w:val="Title"/>
    <w:basedOn w:val="1"/>
    <w:next w:val="1"/>
    <w:link w:val="146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4">
    <w:name w:val="Table Grid"/>
    <w:basedOn w:val="3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35">
    <w:name w:val="Light Shading"/>
    <w:basedOn w:val="33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6">
    <w:name w:val="Light Shading Accent 1"/>
    <w:basedOn w:val="33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7">
    <w:name w:val="Light Shading Accent 2"/>
    <w:basedOn w:val="33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8">
    <w:name w:val="Light Shading Accent 3"/>
    <w:basedOn w:val="33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9">
    <w:name w:val="Light Shading Accent 4"/>
    <w:basedOn w:val="33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0">
    <w:name w:val="Light Shading Accent 5"/>
    <w:basedOn w:val="33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1">
    <w:name w:val="Light Shading Accent 6"/>
    <w:basedOn w:val="33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2">
    <w:name w:val="Light List"/>
    <w:basedOn w:val="33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3">
    <w:name w:val="Light List Accent 1"/>
    <w:basedOn w:val="33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4">
    <w:name w:val="Light List Accent 2"/>
    <w:basedOn w:val="33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5">
    <w:name w:val="Light List Accent 3"/>
    <w:basedOn w:val="33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6">
    <w:name w:val="Light List Accent 4"/>
    <w:basedOn w:val="33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7">
    <w:name w:val="Light List Accent 5"/>
    <w:basedOn w:val="33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8">
    <w:name w:val="Light List Accent 6"/>
    <w:basedOn w:val="33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9">
    <w:name w:val="Light Grid"/>
    <w:basedOn w:val="33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0">
    <w:name w:val="Light Grid Accent 1"/>
    <w:basedOn w:val="33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1">
    <w:name w:val="Light Grid Accent 2"/>
    <w:basedOn w:val="33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2">
    <w:name w:val="Light Grid Accent 3"/>
    <w:basedOn w:val="33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3">
    <w:name w:val="Light Grid Accent 4"/>
    <w:basedOn w:val="33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4">
    <w:name w:val="Light Grid Accent 5"/>
    <w:basedOn w:val="33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5">
    <w:name w:val="Light Grid Accent 6"/>
    <w:basedOn w:val="33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6">
    <w:name w:val="Medium Shading 1"/>
    <w:basedOn w:val="33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1"/>
    <w:basedOn w:val="33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2"/>
    <w:basedOn w:val="33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3"/>
    <w:basedOn w:val="33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4"/>
    <w:basedOn w:val="33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5"/>
    <w:basedOn w:val="33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1 Accent 6"/>
    <w:basedOn w:val="33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3">
    <w:name w:val="Medium Shading 2"/>
    <w:basedOn w:val="33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1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2"/>
    <w:basedOn w:val="33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3"/>
    <w:basedOn w:val="33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4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5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Shading 2 Accent 6"/>
    <w:basedOn w:val="33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List 1"/>
    <w:basedOn w:val="33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1">
    <w:name w:val="Medium List 1 Accent 1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2">
    <w:name w:val="Medium List 1 Accent 2"/>
    <w:basedOn w:val="33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3">
    <w:name w:val="Medium List 1 Accent 3"/>
    <w:basedOn w:val="33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4">
    <w:name w:val="Medium List 1 Accent 4"/>
    <w:basedOn w:val="33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5">
    <w:name w:val="Medium List 1 Accent 5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6">
    <w:name w:val="Medium List 1 Accent 6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7">
    <w:name w:val="Medium List 2"/>
    <w:basedOn w:val="33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1"/>
    <w:basedOn w:val="33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2"/>
    <w:basedOn w:val="33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3"/>
    <w:basedOn w:val="33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4"/>
    <w:basedOn w:val="33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5"/>
    <w:basedOn w:val="33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List 2 Accent 6"/>
    <w:basedOn w:val="33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4">
    <w:name w:val="Medium Grid 1"/>
    <w:basedOn w:val="33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5">
    <w:name w:val="Medium Grid 1 Accent 1"/>
    <w:basedOn w:val="33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6">
    <w:name w:val="Medium Grid 1 Accent 2"/>
    <w:basedOn w:val="33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7">
    <w:name w:val="Medium Grid 1 Accent 3"/>
    <w:basedOn w:val="33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8">
    <w:name w:val="Medium Grid 1 Accent 4"/>
    <w:basedOn w:val="33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9">
    <w:name w:val="Medium Grid 1 Accent 5"/>
    <w:basedOn w:val="33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90">
    <w:name w:val="Medium Grid 1 Accent 6"/>
    <w:basedOn w:val="33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33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33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33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33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33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33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33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3"/>
    <w:basedOn w:val="33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9">
    <w:name w:val="Medium Grid 3 Accent 1"/>
    <w:basedOn w:val="33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0">
    <w:name w:val="Medium Grid 3 Accent 2"/>
    <w:basedOn w:val="33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1">
    <w:name w:val="Medium Grid 3 Accent 3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2">
    <w:name w:val="Medium Grid 3 Accent 4"/>
    <w:basedOn w:val="33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3">
    <w:name w:val="Medium Grid 3 Accent 5"/>
    <w:basedOn w:val="33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4">
    <w:name w:val="Medium Grid 3 Accent 6"/>
    <w:basedOn w:val="33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5">
    <w:name w:val="Dark List"/>
    <w:basedOn w:val="33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6">
    <w:name w:val="Dark List Accent 1"/>
    <w:basedOn w:val="33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7">
    <w:name w:val="Dark List Accent 2"/>
    <w:basedOn w:val="33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8">
    <w:name w:val="Dark List Accent 3"/>
    <w:basedOn w:val="33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9">
    <w:name w:val="Dark List Accent 4"/>
    <w:basedOn w:val="33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0">
    <w:name w:val="Dark List Accent 5"/>
    <w:basedOn w:val="33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1">
    <w:name w:val="Dark List Accent 6"/>
    <w:basedOn w:val="33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2">
    <w:name w:val="Colorful Shading"/>
    <w:basedOn w:val="33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1"/>
    <w:basedOn w:val="33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2"/>
    <w:basedOn w:val="33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5">
    <w:name w:val="Colorful Shading Accent 3"/>
    <w:basedOn w:val="33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6">
    <w:name w:val="Colorful Shading Accent 4"/>
    <w:basedOn w:val="33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5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Shading Accent 6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9">
    <w:name w:val="Colorful List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20">
    <w:name w:val="Colorful List Accent 1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1">
    <w:name w:val="Colorful List Accent 2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2">
    <w:name w:val="Colorful List Accent 3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3">
    <w:name w:val="Colorful List Accent 4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4">
    <w:name w:val="Colorful List Accent 5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5">
    <w:name w:val="Colorful List Accent 6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6">
    <w:name w:val="Colorful Grid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7">
    <w:name w:val="Colorful Grid Accent 1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8">
    <w:name w:val="Colorful Grid Accent 2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9">
    <w:name w:val="Colorful Grid Accent 3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30">
    <w:name w:val="Colorful Grid Accent 4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1">
    <w:name w:val="Colorful Grid Accent 5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2">
    <w:name w:val="Colorful Grid Accent 6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4">
    <w:name w:val="Strong"/>
    <w:basedOn w:val="133"/>
    <w:qFormat/>
    <w:uiPriority w:val="22"/>
    <w:rPr>
      <w:b/>
      <w:bCs/>
    </w:rPr>
  </w:style>
  <w:style w:type="character" w:styleId="135">
    <w:name w:val="FollowedHyperlink"/>
    <w:basedOn w:val="133"/>
    <w:semiHidden/>
    <w:unhideWhenUsed/>
    <w:uiPriority w:val="99"/>
    <w:rPr>
      <w:color w:val="800080"/>
      <w:u w:val="single"/>
    </w:rPr>
  </w:style>
  <w:style w:type="character" w:styleId="136">
    <w:name w:val="Emphasis"/>
    <w:basedOn w:val="133"/>
    <w:qFormat/>
    <w:uiPriority w:val="20"/>
    <w:rPr>
      <w:i/>
      <w:iCs/>
    </w:rPr>
  </w:style>
  <w:style w:type="character" w:styleId="137">
    <w:name w:val="Hyperlink"/>
    <w:basedOn w:val="133"/>
    <w:semiHidden/>
    <w:unhideWhenUsed/>
    <w:uiPriority w:val="99"/>
    <w:rPr>
      <w:color w:val="0000FF"/>
      <w:u w:val="single"/>
    </w:rPr>
  </w:style>
  <w:style w:type="character" w:styleId="138">
    <w:name w:val="HTML Cite"/>
    <w:basedOn w:val="133"/>
    <w:semiHidden/>
    <w:unhideWhenUsed/>
    <w:uiPriority w:val="99"/>
    <w:rPr>
      <w:i/>
    </w:rPr>
  </w:style>
  <w:style w:type="character" w:styleId="139">
    <w:name w:val="footnote reference"/>
    <w:basedOn w:val="133"/>
    <w:semiHidden/>
    <w:unhideWhenUsed/>
    <w:uiPriority w:val="99"/>
    <w:rPr>
      <w:vertAlign w:val="superscript"/>
    </w:rPr>
  </w:style>
  <w:style w:type="character" w:customStyle="1" w:styleId="140">
    <w:name w:val="页眉 字符"/>
    <w:basedOn w:val="133"/>
    <w:link w:val="25"/>
    <w:qFormat/>
    <w:uiPriority w:val="99"/>
  </w:style>
  <w:style w:type="character" w:customStyle="1" w:styleId="141">
    <w:name w:val="页脚 字符"/>
    <w:basedOn w:val="133"/>
    <w:link w:val="24"/>
    <w:uiPriority w:val="99"/>
  </w:style>
  <w:style w:type="paragraph" w:styleId="142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43">
    <w:name w:val="标题 1 字符"/>
    <w:basedOn w:val="133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44">
    <w:name w:val="标题 2 字符"/>
    <w:basedOn w:val="133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5">
    <w:name w:val="标题 3 字符"/>
    <w:basedOn w:val="133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6">
    <w:name w:val="标题 字符"/>
    <w:basedOn w:val="133"/>
    <w:link w:val="32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7">
    <w:name w:val="副标题 字符"/>
    <w:basedOn w:val="133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8">
    <w:name w:val="List Paragraph"/>
    <w:basedOn w:val="1"/>
    <w:qFormat/>
    <w:uiPriority w:val="34"/>
    <w:pPr>
      <w:ind w:left="720"/>
      <w:contextualSpacing/>
    </w:pPr>
  </w:style>
  <w:style w:type="character" w:customStyle="1" w:styleId="149">
    <w:name w:val="正文文本 字符"/>
    <w:basedOn w:val="133"/>
    <w:link w:val="19"/>
    <w:uiPriority w:val="99"/>
  </w:style>
  <w:style w:type="character" w:customStyle="1" w:styleId="150">
    <w:name w:val="正文文本 2 字符"/>
    <w:basedOn w:val="133"/>
    <w:link w:val="29"/>
    <w:uiPriority w:val="99"/>
  </w:style>
  <w:style w:type="character" w:customStyle="1" w:styleId="151">
    <w:name w:val="正文文本 3 字符"/>
    <w:basedOn w:val="133"/>
    <w:link w:val="17"/>
    <w:uiPriority w:val="99"/>
    <w:rPr>
      <w:sz w:val="16"/>
      <w:szCs w:val="16"/>
    </w:rPr>
  </w:style>
  <w:style w:type="character" w:customStyle="1" w:styleId="152">
    <w:name w:val="宏文本 字符"/>
    <w:basedOn w:val="133"/>
    <w:link w:val="2"/>
    <w:uiPriority w:val="99"/>
    <w:rPr>
      <w:rFonts w:ascii="Courier" w:hAnsi="Courier"/>
      <w:sz w:val="20"/>
      <w:szCs w:val="20"/>
    </w:rPr>
  </w:style>
  <w:style w:type="paragraph" w:styleId="153">
    <w:name w:val="Quote"/>
    <w:basedOn w:val="1"/>
    <w:next w:val="1"/>
    <w:link w:val="154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4">
    <w:name w:val="引用 字符"/>
    <w:basedOn w:val="133"/>
    <w:link w:val="153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5">
    <w:name w:val="标题 4 字符"/>
    <w:basedOn w:val="133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6">
    <w:name w:val="标题 5 字符"/>
    <w:basedOn w:val="133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7">
    <w:name w:val="标题 6 字符"/>
    <w:basedOn w:val="133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8">
    <w:name w:val="标题 7 字符"/>
    <w:basedOn w:val="133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9">
    <w:name w:val="标题 8 字符"/>
    <w:basedOn w:val="133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60">
    <w:name w:val="标题 9 字符"/>
    <w:basedOn w:val="133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61">
    <w:name w:val="Intense Quote"/>
    <w:basedOn w:val="1"/>
    <w:next w:val="1"/>
    <w:link w:val="162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2">
    <w:name w:val="明显引用 字符"/>
    <w:basedOn w:val="133"/>
    <w:link w:val="161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3">
    <w:name w:val="Subtle Emphasis"/>
    <w:basedOn w:val="133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64">
    <w:name w:val="Intense Emphasis"/>
    <w:basedOn w:val="133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5">
    <w:name w:val="Subtle Reference"/>
    <w:basedOn w:val="133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6">
    <w:name w:val="Intense Reference"/>
    <w:basedOn w:val="133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7">
    <w:name w:val="Book Title"/>
    <w:basedOn w:val="133"/>
    <w:qFormat/>
    <w:uiPriority w:val="33"/>
    <w:rPr>
      <w:b/>
      <w:bCs/>
      <w:smallCaps/>
      <w:spacing w:val="5"/>
    </w:rPr>
  </w:style>
  <w:style w:type="paragraph" w:customStyle="1" w:styleId="168">
    <w:name w:val="TOC Heading"/>
    <w:basedOn w:val="3"/>
    <w:next w:val="1"/>
    <w:semiHidden/>
    <w:unhideWhenUsed/>
    <w:qFormat/>
    <w:uiPriority w:val="39"/>
    <w:pPr>
      <w:outlineLvl w:val="9"/>
    </w:pPr>
  </w:style>
  <w:style w:type="character" w:customStyle="1" w:styleId="169">
    <w:name w:val="脚注文本 字符"/>
    <w:basedOn w:val="133"/>
    <w:link w:val="28"/>
    <w:uiPriority w:val="0"/>
    <w:rPr>
      <w:rFonts w:hint="default" w:ascii="Times New Roman" w:hAnsi="Times New Roman" w:eastAsia="Times New Roman" w:cs="Times New Roman"/>
      <w:sz w:val="18"/>
      <w:szCs w:val="2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numbering" Target="numbering.xml"/><Relationship Id="rId11" Type="http://schemas.openxmlformats.org/officeDocument/2006/relationships/image" Target="media/image5.jpeg"/><Relationship Id="rId10" Type="http://schemas.openxmlformats.org/officeDocument/2006/relationships/image" Target="media/image4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207</Words>
  <Characters>1206</Characters>
  <Lines>10</Lines>
  <Paragraphs>2</Paragraphs>
  <TotalTime>6</TotalTime>
  <ScaleCrop>false</ScaleCrop>
  <LinksUpToDate>false</LinksUpToDate>
  <CharactersWithSpaces>1398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Author names to be completed</dc:creator>
  <dc:description>generated by python-docx</dc:description>
  <cp:keywords>magnetic microspheres; poly(acrylic acid); carboxylated colloids; cationic dyes; charge-selective adsorption</cp:keywords>
  <cp:lastModifiedBy>微信用户</cp:lastModifiedBy>
  <dcterms:modified xsi:type="dcterms:W3CDTF">2026-07-12T13:43:53Z</dcterms:modified>
  <dc:subject>Carboxylated magnetic polymer microspheres with tunable poly(acrylic acid) shells for charge-selective adsorption of cationic dyes</dc:subject>
  <dc:title>Electronic Supplementary Material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eyJoZGlkIjoiMTA1NDNjZTU2ODM0MjAwODkwYTViZjg5YmZjNjUxNDAiLCJ1c2VySWQiOiIxMjg4NDAwNjAzIn0=</vt:lpwstr>
  </property>
  <property fmtid="{D5CDD505-2E9C-101B-9397-08002B2CF9AE}" pid="3" name="KSOProductBuildVer">
    <vt:lpwstr>2052-12.1.0.26895</vt:lpwstr>
  </property>
  <property fmtid="{D5CDD505-2E9C-101B-9397-08002B2CF9AE}" pid="4" name="ICV">
    <vt:lpwstr>250B267E6A8D43B58236AE765D94E93C_12</vt:lpwstr>
  </property>
</Properties>
</file>