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27825" w14:textId="0E3FCB64" w:rsidR="00D012CA" w:rsidRPr="00B1581D" w:rsidRDefault="00E61A6A" w:rsidP="00D012CA">
      <w:pPr>
        <w:spacing w:line="360" w:lineRule="auto"/>
        <w:jc w:val="both"/>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SUPPLEMENTARY FILE</w:t>
      </w:r>
    </w:p>
    <w:p w14:paraId="72E21535" w14:textId="77777777" w:rsidR="00D012CA" w:rsidRPr="00CF15E3" w:rsidRDefault="00D012CA" w:rsidP="00D012CA">
      <w:pPr>
        <w:spacing w:line="360" w:lineRule="auto"/>
        <w:jc w:val="both"/>
        <w:rPr>
          <w:rFonts w:ascii="Times New Roman" w:hAnsi="Times New Roman" w:cs="Times New Roman"/>
          <w:b/>
          <w:bCs/>
          <w:color w:val="000000" w:themeColor="text1"/>
          <w:sz w:val="24"/>
        </w:rPr>
      </w:pPr>
      <w:r w:rsidRPr="00CF15E3">
        <w:rPr>
          <w:rFonts w:ascii="Times New Roman" w:hAnsi="Times New Roman" w:cs="Times New Roman"/>
          <w:b/>
          <w:bCs/>
          <w:color w:val="000000" w:themeColor="text1"/>
          <w:sz w:val="24"/>
        </w:rPr>
        <w:t>Supplementary Table S1. Extended dynamic endocrine evaluation and correlation analyses</w:t>
      </w:r>
    </w:p>
    <w:tbl>
      <w:tblPr>
        <w:tblStyle w:val="GridTable1Light"/>
        <w:tblW w:w="5000" w:type="pct"/>
        <w:tblLook w:val="04A0" w:firstRow="1" w:lastRow="0" w:firstColumn="1" w:lastColumn="0" w:noHBand="0" w:noVBand="1"/>
      </w:tblPr>
      <w:tblGrid>
        <w:gridCol w:w="6026"/>
        <w:gridCol w:w="3216"/>
      </w:tblGrid>
      <w:tr w:rsidR="00D012CA" w:rsidRPr="00CF15E3" w14:paraId="05490117" w14:textId="77777777" w:rsidTr="001F3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pct"/>
            <w:hideMark/>
          </w:tcPr>
          <w:p w14:paraId="5C27D3B2"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Test (reference range)</w:t>
            </w:r>
          </w:p>
        </w:tc>
        <w:tc>
          <w:tcPr>
            <w:tcW w:w="1740" w:type="pct"/>
            <w:hideMark/>
          </w:tcPr>
          <w:p w14:paraId="7EF12C9A" w14:textId="77777777" w:rsidR="00D012CA" w:rsidRPr="00CF15E3" w:rsidRDefault="00D012CA" w:rsidP="001F3E96">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median [IQR]; range (n)</w:t>
            </w:r>
          </w:p>
        </w:tc>
      </w:tr>
      <w:tr w:rsidR="00D012CA" w:rsidRPr="00CF15E3" w14:paraId="622C175E" w14:textId="77777777" w:rsidTr="001F3E96">
        <w:tc>
          <w:tcPr>
            <w:cnfStyle w:val="001000000000" w:firstRow="0" w:lastRow="0" w:firstColumn="1" w:lastColumn="0" w:oddVBand="0" w:evenVBand="0" w:oddHBand="0" w:evenHBand="0" w:firstRowFirstColumn="0" w:firstRowLastColumn="0" w:lastRowFirstColumn="0" w:lastRowLastColumn="0"/>
            <w:tcW w:w="3260" w:type="pct"/>
            <w:hideMark/>
          </w:tcPr>
          <w:p w14:paraId="5CBB8D9F"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Evening / midnight cortisol, µg/dL</w:t>
            </w:r>
          </w:p>
        </w:tc>
        <w:tc>
          <w:tcPr>
            <w:tcW w:w="1740" w:type="pct"/>
            <w:hideMark/>
          </w:tcPr>
          <w:p w14:paraId="2234E46E"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20.2 [15.4–35.6]; 1.5–62.8 (n=11)</w:t>
            </w:r>
          </w:p>
        </w:tc>
      </w:tr>
      <w:tr w:rsidR="00D012CA" w:rsidRPr="00CF15E3" w14:paraId="265422BA" w14:textId="77777777" w:rsidTr="001F3E96">
        <w:tc>
          <w:tcPr>
            <w:cnfStyle w:val="001000000000" w:firstRow="0" w:lastRow="0" w:firstColumn="1" w:lastColumn="0" w:oddVBand="0" w:evenVBand="0" w:oddHBand="0" w:evenHBand="0" w:firstRowFirstColumn="0" w:firstRowLastColumn="0" w:lastRowFirstColumn="0" w:lastRowLastColumn="0"/>
            <w:tcW w:w="3260" w:type="pct"/>
            <w:hideMark/>
          </w:tcPr>
          <w:p w14:paraId="50894EF5"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Late-night salivary cortisol</w:t>
            </w:r>
          </w:p>
        </w:tc>
        <w:tc>
          <w:tcPr>
            <w:tcW w:w="1740" w:type="pct"/>
            <w:hideMark/>
          </w:tcPr>
          <w:p w14:paraId="3EA6F6BA"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0.89 [0.68–1.87]; 0.63–19.2 (n=13)</w:t>
            </w:r>
          </w:p>
        </w:tc>
      </w:tr>
      <w:tr w:rsidR="00D012CA" w:rsidRPr="00CF15E3" w14:paraId="71AA0744" w14:textId="77777777" w:rsidTr="001F3E96">
        <w:tc>
          <w:tcPr>
            <w:cnfStyle w:val="001000000000" w:firstRow="0" w:lastRow="0" w:firstColumn="1" w:lastColumn="0" w:oddVBand="0" w:evenVBand="0" w:oddHBand="0" w:evenHBand="0" w:firstRowFirstColumn="0" w:firstRowLastColumn="0" w:lastRowFirstColumn="0" w:lastRowLastColumn="0"/>
            <w:tcW w:w="3260" w:type="pct"/>
            <w:hideMark/>
          </w:tcPr>
          <w:p w14:paraId="04C4F54B"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Overnight dexamethasone suppression (ONDST) cortisol, µg/dL</w:t>
            </w:r>
          </w:p>
        </w:tc>
        <w:tc>
          <w:tcPr>
            <w:tcW w:w="1740" w:type="pct"/>
            <w:hideMark/>
          </w:tcPr>
          <w:p w14:paraId="1302E8CF"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22.1 [8.6–26.5]; 2.0–63.4 (n=19)</w:t>
            </w:r>
          </w:p>
        </w:tc>
      </w:tr>
      <w:tr w:rsidR="00D012CA" w:rsidRPr="00CF15E3" w14:paraId="2BDEB891" w14:textId="77777777" w:rsidTr="001F3E96">
        <w:tc>
          <w:tcPr>
            <w:cnfStyle w:val="001000000000" w:firstRow="0" w:lastRow="0" w:firstColumn="1" w:lastColumn="0" w:oddVBand="0" w:evenVBand="0" w:oddHBand="0" w:evenHBand="0" w:firstRowFirstColumn="0" w:firstRowLastColumn="0" w:lastRowFirstColumn="0" w:lastRowLastColumn="0"/>
            <w:tcW w:w="3260" w:type="pct"/>
            <w:hideMark/>
          </w:tcPr>
          <w:p w14:paraId="22E5B324"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Low-dose dexamethasone suppression (LDDST) cortisol, µg/dL</w:t>
            </w:r>
          </w:p>
        </w:tc>
        <w:tc>
          <w:tcPr>
            <w:tcW w:w="1740" w:type="pct"/>
            <w:hideMark/>
          </w:tcPr>
          <w:p w14:paraId="6116343B"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19.3 [5.2–21.5]; 1.3–37.6 (n=19)</w:t>
            </w:r>
          </w:p>
        </w:tc>
      </w:tr>
      <w:tr w:rsidR="00D012CA" w:rsidRPr="00CF15E3" w14:paraId="783E6578" w14:textId="77777777" w:rsidTr="001F3E96">
        <w:tc>
          <w:tcPr>
            <w:cnfStyle w:val="001000000000" w:firstRow="0" w:lastRow="0" w:firstColumn="1" w:lastColumn="0" w:oddVBand="0" w:evenVBand="0" w:oddHBand="0" w:evenHBand="0" w:firstRowFirstColumn="0" w:firstRowLastColumn="0" w:lastRowFirstColumn="0" w:lastRowLastColumn="0"/>
            <w:tcW w:w="3260" w:type="pct"/>
            <w:hideMark/>
          </w:tcPr>
          <w:p w14:paraId="1A5B5331"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High-dose dexamethasone suppression (HDDST) cortisol, µg/dL</w:t>
            </w:r>
          </w:p>
        </w:tc>
        <w:tc>
          <w:tcPr>
            <w:tcW w:w="1740" w:type="pct"/>
            <w:hideMark/>
          </w:tcPr>
          <w:p w14:paraId="3C934156"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6.0 [2.7–14.6]; 0.8–50.9 (n=16)</w:t>
            </w:r>
          </w:p>
        </w:tc>
      </w:tr>
      <w:tr w:rsidR="00D012CA" w:rsidRPr="00CF15E3" w14:paraId="1669C493" w14:textId="77777777" w:rsidTr="001F3E96">
        <w:tc>
          <w:tcPr>
            <w:cnfStyle w:val="001000000000" w:firstRow="0" w:lastRow="0" w:firstColumn="1" w:lastColumn="0" w:oddVBand="0" w:evenVBand="0" w:oddHBand="0" w:evenHBand="0" w:firstRowFirstColumn="0" w:firstRowLastColumn="0" w:lastRowFirstColumn="0" w:lastRowLastColumn="0"/>
            <w:tcW w:w="3260" w:type="pct"/>
            <w:hideMark/>
          </w:tcPr>
          <w:p w14:paraId="0CC795A6"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Post-operative cortisol, µg/dL</w:t>
            </w:r>
          </w:p>
        </w:tc>
        <w:tc>
          <w:tcPr>
            <w:tcW w:w="1740" w:type="pct"/>
            <w:hideMark/>
          </w:tcPr>
          <w:p w14:paraId="5FC4A7E4"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8.5 [3.1–20.7]; 0.8–61.1 (n=35)</w:t>
            </w:r>
          </w:p>
        </w:tc>
      </w:tr>
      <w:tr w:rsidR="00D012CA" w:rsidRPr="00CF15E3" w14:paraId="3D97AA83" w14:textId="77777777" w:rsidTr="001F3E96">
        <w:tc>
          <w:tcPr>
            <w:cnfStyle w:val="001000000000" w:firstRow="0" w:lastRow="0" w:firstColumn="1" w:lastColumn="0" w:oddVBand="0" w:evenVBand="0" w:oddHBand="0" w:evenHBand="0" w:firstRowFirstColumn="0" w:firstRowLastColumn="0" w:lastRowFirstColumn="0" w:lastRowLastColumn="0"/>
            <w:tcW w:w="3260" w:type="pct"/>
            <w:hideMark/>
          </w:tcPr>
          <w:p w14:paraId="72A700B5"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 xml:space="preserve">Post-operative ACTH, </w:t>
            </w:r>
            <w:proofErr w:type="spellStart"/>
            <w:r w:rsidRPr="00CF15E3">
              <w:rPr>
                <w:rFonts w:ascii="Times New Roman" w:hAnsi="Times New Roman" w:cs="Times New Roman"/>
                <w:color w:val="000000" w:themeColor="text1"/>
                <w:sz w:val="24"/>
              </w:rPr>
              <w:t>pg</w:t>
            </w:r>
            <w:proofErr w:type="spellEnd"/>
            <w:r w:rsidRPr="00CF15E3">
              <w:rPr>
                <w:rFonts w:ascii="Times New Roman" w:hAnsi="Times New Roman" w:cs="Times New Roman"/>
                <w:color w:val="000000" w:themeColor="text1"/>
                <w:sz w:val="24"/>
              </w:rPr>
              <w:t>/mL</w:t>
            </w:r>
          </w:p>
        </w:tc>
        <w:tc>
          <w:tcPr>
            <w:tcW w:w="1740" w:type="pct"/>
            <w:hideMark/>
          </w:tcPr>
          <w:p w14:paraId="0BD320A2"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24.0 [8.8–32.4]; 1.0–88.0 (n=29)</w:t>
            </w:r>
          </w:p>
        </w:tc>
      </w:tr>
    </w:tbl>
    <w:p w14:paraId="7E753E40" w14:textId="77777777" w:rsidR="00D012CA" w:rsidRPr="00B1581D" w:rsidRDefault="00D012CA" w:rsidP="00D012CA">
      <w:pPr>
        <w:spacing w:line="360" w:lineRule="auto"/>
        <w:jc w:val="both"/>
        <w:rPr>
          <w:rFonts w:ascii="Times New Roman" w:hAnsi="Times New Roman" w:cs="Times New Roman"/>
          <w:b/>
          <w:bCs/>
          <w:color w:val="000000" w:themeColor="text1"/>
          <w:sz w:val="24"/>
        </w:rPr>
      </w:pPr>
    </w:p>
    <w:p w14:paraId="1D64E36D" w14:textId="77777777" w:rsidR="00D012CA" w:rsidRDefault="00D012CA" w:rsidP="00D012CA">
      <w:pPr>
        <w:spacing w:line="360" w:lineRule="auto"/>
        <w:jc w:val="both"/>
        <w:rPr>
          <w:rFonts w:ascii="Times New Roman" w:hAnsi="Times New Roman" w:cs="Times New Roman"/>
          <w:color w:val="000000" w:themeColor="text1"/>
          <w:sz w:val="24"/>
        </w:rPr>
      </w:pPr>
    </w:p>
    <w:p w14:paraId="796201E9" w14:textId="77777777" w:rsidR="00D012CA" w:rsidRDefault="00D012CA" w:rsidP="00D012CA">
      <w:pPr>
        <w:spacing w:line="360" w:lineRule="auto"/>
        <w:jc w:val="both"/>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 xml:space="preserve">Supplementary Table S2: </w:t>
      </w:r>
      <w:r w:rsidRPr="00CF15E3">
        <w:rPr>
          <w:rFonts w:ascii="Times New Roman" w:hAnsi="Times New Roman" w:cs="Times New Roman"/>
          <w:b/>
          <w:bCs/>
          <w:color w:val="000000" w:themeColor="text1"/>
          <w:sz w:val="24"/>
        </w:rPr>
        <w:t>Symptom co-occurrence (tetrachoric correlation, N=37)</w:t>
      </w:r>
    </w:p>
    <w:tbl>
      <w:tblPr>
        <w:tblStyle w:val="GridTable1Light"/>
        <w:tblW w:w="5000" w:type="pct"/>
        <w:tblLook w:val="04A0" w:firstRow="1" w:lastRow="0" w:firstColumn="1" w:lastColumn="0" w:noHBand="0" w:noVBand="1"/>
      </w:tblPr>
      <w:tblGrid>
        <w:gridCol w:w="6238"/>
        <w:gridCol w:w="3004"/>
      </w:tblGrid>
      <w:tr w:rsidR="00D012CA" w:rsidRPr="00CF15E3" w14:paraId="0F25BD89" w14:textId="77777777" w:rsidTr="001F3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5" w:type="pct"/>
            <w:hideMark/>
          </w:tcPr>
          <w:p w14:paraId="427587CB"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Co-occurring pair</w:t>
            </w:r>
          </w:p>
        </w:tc>
        <w:tc>
          <w:tcPr>
            <w:tcW w:w="1625" w:type="pct"/>
            <w:hideMark/>
          </w:tcPr>
          <w:p w14:paraId="31E73D41" w14:textId="77777777" w:rsidR="00D012CA" w:rsidRPr="00CF15E3" w:rsidRDefault="00D012CA" w:rsidP="001F3E96">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tetrachoric r</w:t>
            </w:r>
          </w:p>
        </w:tc>
      </w:tr>
      <w:tr w:rsidR="00D012CA" w:rsidRPr="00CF15E3" w14:paraId="2F4065F6" w14:textId="77777777" w:rsidTr="001F3E96">
        <w:tc>
          <w:tcPr>
            <w:cnfStyle w:val="001000000000" w:firstRow="0" w:lastRow="0" w:firstColumn="1" w:lastColumn="0" w:oddVBand="0" w:evenVBand="0" w:oddHBand="0" w:evenHBand="0" w:firstRowFirstColumn="0" w:firstRowLastColumn="0" w:lastRowFirstColumn="0" w:lastRowLastColumn="0"/>
            <w:tcW w:w="3375" w:type="pct"/>
            <w:hideMark/>
          </w:tcPr>
          <w:p w14:paraId="35E4D8DB"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Weight gain &amp; skin striae</w:t>
            </w:r>
          </w:p>
        </w:tc>
        <w:tc>
          <w:tcPr>
            <w:tcW w:w="1625" w:type="pct"/>
            <w:hideMark/>
          </w:tcPr>
          <w:p w14:paraId="27602A38"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0.62</w:t>
            </w:r>
          </w:p>
        </w:tc>
      </w:tr>
      <w:tr w:rsidR="00D012CA" w:rsidRPr="00CF15E3" w14:paraId="7EFBCD8C" w14:textId="77777777" w:rsidTr="001F3E96">
        <w:tc>
          <w:tcPr>
            <w:cnfStyle w:val="001000000000" w:firstRow="0" w:lastRow="0" w:firstColumn="1" w:lastColumn="0" w:oddVBand="0" w:evenVBand="0" w:oddHBand="0" w:evenHBand="0" w:firstRowFirstColumn="0" w:firstRowLastColumn="0" w:lastRowFirstColumn="0" w:lastRowLastColumn="0"/>
            <w:tcW w:w="3375" w:type="pct"/>
            <w:hideMark/>
          </w:tcPr>
          <w:p w14:paraId="54944A02"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Weight gain &amp; plethoric face</w:t>
            </w:r>
          </w:p>
        </w:tc>
        <w:tc>
          <w:tcPr>
            <w:tcW w:w="1625" w:type="pct"/>
            <w:hideMark/>
          </w:tcPr>
          <w:p w14:paraId="57E81F0B"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0.53</w:t>
            </w:r>
          </w:p>
        </w:tc>
      </w:tr>
      <w:tr w:rsidR="00D012CA" w:rsidRPr="00CF15E3" w14:paraId="7754E6A5" w14:textId="77777777" w:rsidTr="001F3E96">
        <w:tc>
          <w:tcPr>
            <w:cnfStyle w:val="001000000000" w:firstRow="0" w:lastRow="0" w:firstColumn="1" w:lastColumn="0" w:oddVBand="0" w:evenVBand="0" w:oddHBand="0" w:evenHBand="0" w:firstRowFirstColumn="0" w:firstRowLastColumn="0" w:lastRowFirstColumn="0" w:lastRowLastColumn="0"/>
            <w:tcW w:w="3375" w:type="pct"/>
            <w:hideMark/>
          </w:tcPr>
          <w:p w14:paraId="1D096AEC"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Skin striae &amp; plethoric face</w:t>
            </w:r>
          </w:p>
        </w:tc>
        <w:tc>
          <w:tcPr>
            <w:tcW w:w="1625" w:type="pct"/>
            <w:hideMark/>
          </w:tcPr>
          <w:p w14:paraId="0D57AB57"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0.51</w:t>
            </w:r>
          </w:p>
        </w:tc>
      </w:tr>
      <w:tr w:rsidR="00D012CA" w:rsidRPr="00CF15E3" w14:paraId="291FFC79" w14:textId="77777777" w:rsidTr="001F3E96">
        <w:tc>
          <w:tcPr>
            <w:cnfStyle w:val="001000000000" w:firstRow="0" w:lastRow="0" w:firstColumn="1" w:lastColumn="0" w:oddVBand="0" w:evenVBand="0" w:oddHBand="0" w:evenHBand="0" w:firstRowFirstColumn="0" w:firstRowLastColumn="0" w:lastRowFirstColumn="0" w:lastRowLastColumn="0"/>
            <w:tcW w:w="3375" w:type="pct"/>
            <w:hideMark/>
          </w:tcPr>
          <w:p w14:paraId="0F213112"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 xml:space="preserve">Skin striae &amp; easy </w:t>
            </w:r>
            <w:proofErr w:type="spellStart"/>
            <w:r w:rsidRPr="00CF15E3">
              <w:rPr>
                <w:rFonts w:ascii="Times New Roman" w:hAnsi="Times New Roman" w:cs="Times New Roman"/>
                <w:color w:val="000000" w:themeColor="text1"/>
                <w:sz w:val="24"/>
              </w:rPr>
              <w:t>bruisability</w:t>
            </w:r>
            <w:proofErr w:type="spellEnd"/>
          </w:p>
        </w:tc>
        <w:tc>
          <w:tcPr>
            <w:tcW w:w="1625" w:type="pct"/>
            <w:hideMark/>
          </w:tcPr>
          <w:p w14:paraId="07642D06"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0.50</w:t>
            </w:r>
          </w:p>
        </w:tc>
      </w:tr>
      <w:tr w:rsidR="00D012CA" w:rsidRPr="00CF15E3" w14:paraId="29E54372" w14:textId="77777777" w:rsidTr="001F3E96">
        <w:tc>
          <w:tcPr>
            <w:cnfStyle w:val="001000000000" w:firstRow="0" w:lastRow="0" w:firstColumn="1" w:lastColumn="0" w:oddVBand="0" w:evenVBand="0" w:oddHBand="0" w:evenHBand="0" w:firstRowFirstColumn="0" w:firstRowLastColumn="0" w:lastRowFirstColumn="0" w:lastRowLastColumn="0"/>
            <w:tcW w:w="3375" w:type="pct"/>
            <w:hideMark/>
          </w:tcPr>
          <w:p w14:paraId="4B2577C3"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lastRenderedPageBreak/>
              <w:t>Hirsutism &amp; proximal myopathy</w:t>
            </w:r>
          </w:p>
        </w:tc>
        <w:tc>
          <w:tcPr>
            <w:tcW w:w="1625" w:type="pct"/>
            <w:hideMark/>
          </w:tcPr>
          <w:p w14:paraId="77704A74"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0.41</w:t>
            </w:r>
          </w:p>
        </w:tc>
      </w:tr>
      <w:tr w:rsidR="00D012CA" w:rsidRPr="00CF15E3" w14:paraId="0046F8C8" w14:textId="77777777" w:rsidTr="001F3E96">
        <w:tc>
          <w:tcPr>
            <w:cnfStyle w:val="001000000000" w:firstRow="0" w:lastRow="0" w:firstColumn="1" w:lastColumn="0" w:oddVBand="0" w:evenVBand="0" w:oddHBand="0" w:evenHBand="0" w:firstRowFirstColumn="0" w:firstRowLastColumn="0" w:lastRowFirstColumn="0" w:lastRowLastColumn="0"/>
            <w:tcW w:w="3375" w:type="pct"/>
            <w:hideMark/>
          </w:tcPr>
          <w:p w14:paraId="5B593744"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Hirsutism &amp; acne</w:t>
            </w:r>
          </w:p>
        </w:tc>
        <w:tc>
          <w:tcPr>
            <w:tcW w:w="1625" w:type="pct"/>
            <w:hideMark/>
          </w:tcPr>
          <w:p w14:paraId="08AA1727"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0.35</w:t>
            </w:r>
          </w:p>
        </w:tc>
      </w:tr>
      <w:tr w:rsidR="00D012CA" w:rsidRPr="00CF15E3" w14:paraId="2FE38448" w14:textId="77777777" w:rsidTr="001F3E96">
        <w:tc>
          <w:tcPr>
            <w:cnfStyle w:val="001000000000" w:firstRow="0" w:lastRow="0" w:firstColumn="1" w:lastColumn="0" w:oddVBand="0" w:evenVBand="0" w:oddHBand="0" w:evenHBand="0" w:firstRowFirstColumn="0" w:firstRowLastColumn="0" w:lastRowFirstColumn="0" w:lastRowLastColumn="0"/>
            <w:tcW w:w="3375" w:type="pct"/>
            <w:hideMark/>
          </w:tcPr>
          <w:p w14:paraId="3DC2BA51"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Hyperpigmentation &amp; hirsutism</w:t>
            </w:r>
          </w:p>
        </w:tc>
        <w:tc>
          <w:tcPr>
            <w:tcW w:w="1625" w:type="pct"/>
            <w:hideMark/>
          </w:tcPr>
          <w:p w14:paraId="72728EF7"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−0.51 (inverse)</w:t>
            </w:r>
          </w:p>
        </w:tc>
      </w:tr>
      <w:tr w:rsidR="00D012CA" w:rsidRPr="00CF15E3" w14:paraId="4D453E73" w14:textId="77777777" w:rsidTr="001F3E96">
        <w:tc>
          <w:tcPr>
            <w:cnfStyle w:val="001000000000" w:firstRow="0" w:lastRow="0" w:firstColumn="1" w:lastColumn="0" w:oddVBand="0" w:evenVBand="0" w:oddHBand="0" w:evenHBand="0" w:firstRowFirstColumn="0" w:firstRowLastColumn="0" w:lastRowFirstColumn="0" w:lastRowLastColumn="0"/>
            <w:tcW w:w="3375" w:type="pct"/>
            <w:hideMark/>
          </w:tcPr>
          <w:p w14:paraId="46567D05" w14:textId="77777777" w:rsidR="00D012CA" w:rsidRPr="00CF15E3" w:rsidRDefault="00D012CA" w:rsidP="001F3E96">
            <w:pPr>
              <w:spacing w:after="160" w:line="360" w:lineRule="auto"/>
              <w:jc w:val="both"/>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Headache &amp; plethoric face</w:t>
            </w:r>
          </w:p>
        </w:tc>
        <w:tc>
          <w:tcPr>
            <w:tcW w:w="1625" w:type="pct"/>
            <w:hideMark/>
          </w:tcPr>
          <w:p w14:paraId="7F0711DD" w14:textId="77777777" w:rsidR="00D012CA" w:rsidRPr="00CF15E3" w:rsidRDefault="00D012CA" w:rsidP="001F3E96">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CF15E3">
              <w:rPr>
                <w:rFonts w:ascii="Times New Roman" w:hAnsi="Times New Roman" w:cs="Times New Roman"/>
                <w:color w:val="000000" w:themeColor="text1"/>
                <w:sz w:val="24"/>
              </w:rPr>
              <w:t>−0.49 (inverse)</w:t>
            </w:r>
          </w:p>
        </w:tc>
      </w:tr>
    </w:tbl>
    <w:p w14:paraId="7479A2A8" w14:textId="77777777" w:rsidR="00D012CA" w:rsidRDefault="00D012CA" w:rsidP="00D012CA">
      <w:pPr>
        <w:spacing w:line="360" w:lineRule="auto"/>
        <w:jc w:val="both"/>
        <w:rPr>
          <w:rFonts w:ascii="Times New Roman" w:hAnsi="Times New Roman" w:cs="Times New Roman"/>
          <w:color w:val="000000" w:themeColor="text1"/>
          <w:sz w:val="24"/>
        </w:rPr>
      </w:pPr>
    </w:p>
    <w:p w14:paraId="0229ED9A" w14:textId="46A11312" w:rsidR="00CB7A1F" w:rsidRDefault="00CB7A1F" w:rsidP="00CB7A1F">
      <w:pPr>
        <w:spacing w:line="360" w:lineRule="auto"/>
        <w:jc w:val="both"/>
        <w:rPr>
          <w:rFonts w:ascii="Times New Roman" w:hAnsi="Times New Roman" w:cs="Times New Roman"/>
          <w:color w:val="000000" w:themeColor="text1"/>
          <w:sz w:val="24"/>
        </w:rPr>
      </w:pPr>
      <w:r w:rsidRPr="00ED56AA">
        <w:rPr>
          <w:rFonts w:ascii="Times New Roman" w:hAnsi="Times New Roman" w:cs="Times New Roman"/>
          <w:color w:val="000000" w:themeColor="text1"/>
          <w:sz w:val="24"/>
        </w:rPr>
        <w:t>No predictor of remission reached statistical significance, although histological adenoma identification and an endoscopic approach both showed favourable trends. Previous</w:t>
      </w:r>
      <w:r w:rsidRPr="00BA0FA3">
        <w:rPr>
          <w:rFonts w:ascii="Times New Roman" w:hAnsi="Times New Roman" w:cs="Times New Roman"/>
          <w:color w:val="000000" w:themeColor="text1"/>
          <w:sz w:val="24"/>
        </w:rPr>
        <w:t xml:space="preserve"> studies have identified adenoma detection, ACTH immunopositivity, absence of invasion, and a postoperative morning cortisol &lt;1 µg/dL as the strongest predictors of durable remission </w:t>
      </w:r>
      <w:r>
        <w:rPr>
          <w:rFonts w:ascii="Times New Roman" w:hAnsi="Times New Roman" w:cs="Times New Roman"/>
          <w:color w:val="000000" w:themeColor="text1"/>
          <w:sz w:val="24"/>
        </w:rPr>
        <w:fldChar w:fldCharType="begin"/>
      </w:r>
      <w:r>
        <w:rPr>
          <w:rFonts w:ascii="Times New Roman" w:hAnsi="Times New Roman" w:cs="Times New Roman"/>
          <w:color w:val="000000" w:themeColor="text1"/>
          <w:sz w:val="24"/>
        </w:rPr>
        <w:instrText xml:space="preserve"> ADDIN ZOTERO_ITEM CSL_CITATION {"citationID":"rwywTsM5","properties":{"unsorted":false,"formattedCitation":"(7,28)","plainCitation":"(7,28)","noteIndex":0},"citationItems":[{"id":1614,"uris":["http://zotero.org/users/local/QoJ83VnD/items/K97NAZ5N"],"itemData":{"id":1614,"type":"article-journal","abstract":"CONTEXT: Factors influencing the outcome of surgical treatment of pediatric Cushing's disease (CD) have not been fully established.\nOBJECTIVE: The aim of this study was to examine features influencing the outcome of surgery for pediatric CD.\nDESIGN: In this prospective observational study, the clinical, imaging, endocrinological, and operative outcomes were analyzed in consecutive patients treated at the National Institutes of Health (NIH) from 1982 through 2010.\nSETTING: The study was conducted in a tertiary referral center.\nRESULTS: Two hundred CD patients (106 females, 94 males) were included. Mean age at symptom development was 10.6 ± 3.6 years (range, 4.0 to 19.0 y). Mean age at NIH operation was 13.7 ± 3.7 years. Twenty-seven patients (13%) had prior surgery at another institution. Magnetic resonance imaging identified adenomas in 97 patients (50%). When positive, magnetic resonance imaging accurately defined a discrete adenoma in 96 of the 97 patients (99%), which was more accurate than the use of ACTH ratios during inferior petrosal sinus sampling to determine adenoma lateralization (accurate in 72% of patients without prior surgery). A total of 195 of the 200 patients (98%) achieved remission after surgery (189 [97%] were hypocortisolemic; 6 [3%] were eucortisolemic postoperatively). Factors associated with initial remission (P &lt; .05) included identification of an adenoma at surgery, immunohistochemical ACTH-producing adenoma, and noninvasive ACTH adenoma. Younger age, smaller adenoma, and absence of cavernous sinus wall or other dural invasion were associated with long-term remission (P &lt; .05). A minimum morning serum cortisol of less than 1 μg/dl after surgery had a positive predictive value for lasting remission of 96%.\nCONCLUSIONS: With rare disorders, such as pediatric CD, enhanced outcomes are obtained by evaluation and treatment at centers with substantial experience. Resection of pituitary adenomas in pediatric CD in that setting can be safe, effective, and durable. Early postoperative endocrine testing predicts lasting remission. Because lasting remission is associated with younger age at surgery, smaller adenomas, and lack of dural invasion, early diagnosis should improve surgical outcome.","container-title":"The Journal of Clinical Endocrinology and Metabolism","DOI":"10.1210/jc.2012-3604","ISSN":"1945-7197","issue":"3","journalAbbreviation":"J Clin Endocrinol Metab","language":"eng","page":"892-901","PMID":"23372173","PMCID":"PMC3590477","source":"PubMed","title":"Outcome of surgical treatment of 200 children with Cushing's disease","volume":"98","author":[{"family":"Lonser","given":"Russell R."},{"family":"Wind","given":"Joshua J."},{"family":"Nieman","given":"Lynnette K."},{"family":"Weil","given":"Robert J."},{"family":"DeVroom","given":"Hetty L."},{"family":"Oldfield","given":"Edward H."}],"issued":{"date-parts":[["2013",3]]}}},{"id":1643,"uris":["http://zotero.org/users/local/QoJ83VnD/items/3BVRYH78"],"itemData":{"id":1643,"type":"article-journal","abstract":"Transsphenoidal surgery remains the primary treatment for Cushing's disease (CD). However, despite the vast improvements in pituitary surgery, successful treatment of CD remains a great challenge. Although selective transsphenoidal removal of the pituitary tumor is a safe and effective procedure, the disease persists in around 22% of CD patients due to incomplete tumor resection. The persistence of hypercortisolism after pituitary surgery may also be the consequence of a misdiagnosis, as can occur in case of ectopic ACTH secretion or pseudo-Cushing. Considering the elevated mortality and morbidity characterizing the disease, a multidisciplinary approach is needed to minimize potential pitfalls occurring during the diagnosis, avoid surgical failure and provide the best care in those patients who have undergone unsuccessful surgery. In this review, we analyze the factors that could predict remission or persistence of CD after pituitary surgery and revise the therapeutic options in case of surgical failure.","container-title":"Experimental and Clinical Endocrinology &amp; Diabetes: Official Journal, German Society of Endocrinology [and] German Diabetes Association","DOI":"10.1055/a-1220-6056","ISSN":"1439-3646","issue":"3","journalAbbreviation":"Exp Clin Endocrinol Diabetes","language":"eng","page":"208-215","PMID":"32838436","source":"PubMed","title":"Persistent Cushing's Disease after Transsphenoidal Surgery: Challenges and Solutions","title-short":"Persistent Cushing's Disease after Transsphenoidal Surgery","volume":"129","author":[{"family":"Albani","given":"Adriana"},{"family":"Theodoropoulou","given":"Marily"}],"issued":{"date-parts":[["2021",3]]}}}],"schema":"https://github.com/citation-style-language/schema/raw/master/csl-citation.json"} </w:instrText>
      </w:r>
      <w:r>
        <w:rPr>
          <w:rFonts w:ascii="Times New Roman" w:hAnsi="Times New Roman" w:cs="Times New Roman"/>
          <w:color w:val="000000" w:themeColor="text1"/>
          <w:sz w:val="24"/>
        </w:rPr>
        <w:fldChar w:fldCharType="separate"/>
      </w:r>
      <w:r w:rsidRPr="000E2D38">
        <w:rPr>
          <w:rFonts w:ascii="Times New Roman" w:hAnsi="Times New Roman" w:cs="Times New Roman"/>
          <w:sz w:val="24"/>
        </w:rPr>
        <w:t>(7,28)</w:t>
      </w:r>
      <w:r>
        <w:rPr>
          <w:rFonts w:ascii="Times New Roman" w:hAnsi="Times New Roman" w:cs="Times New Roman"/>
          <w:color w:val="000000" w:themeColor="text1"/>
          <w:sz w:val="24"/>
        </w:rPr>
        <w:fldChar w:fldCharType="end"/>
      </w:r>
      <w:r w:rsidRPr="00BA0FA3">
        <w:rPr>
          <w:rFonts w:ascii="Times New Roman" w:hAnsi="Times New Roman" w:cs="Times New Roman"/>
          <w:color w:val="000000" w:themeColor="text1"/>
          <w:sz w:val="24"/>
        </w:rPr>
        <w:t xml:space="preserve">. </w:t>
      </w:r>
      <w:r w:rsidRPr="00ED56AA">
        <w:rPr>
          <w:rFonts w:ascii="Times New Roman" w:hAnsi="Times New Roman" w:cs="Times New Roman"/>
          <w:color w:val="000000" w:themeColor="text1"/>
          <w:sz w:val="24"/>
        </w:rPr>
        <w:t xml:space="preserve">Our non-significant endoscopic advantage is consistent with comparative studies demonstrating similar remission, recurrence, and complication rates between endoscopic and microscopic transsphenoidal surgery, with the principal benefit of the endoscopic approach being shorter hospitalisation </w:t>
      </w:r>
      <w:r>
        <w:rPr>
          <w:rFonts w:ascii="Times New Roman" w:hAnsi="Times New Roman" w:cs="Times New Roman"/>
          <w:color w:val="000000" w:themeColor="text1"/>
          <w:sz w:val="24"/>
        </w:rPr>
        <w:fldChar w:fldCharType="begin"/>
      </w:r>
      <w:r>
        <w:rPr>
          <w:rFonts w:ascii="Times New Roman" w:hAnsi="Times New Roman" w:cs="Times New Roman"/>
          <w:color w:val="000000" w:themeColor="text1"/>
          <w:sz w:val="24"/>
        </w:rPr>
        <w:instrText xml:space="preserve"> ADDIN ZOTERO_ITEM CSL_CITATION {"citationID":"FhgCJpdH","properties":{"unsorted":false,"formattedCitation":"(29)","plainCitation":"(29)","noteIndex":0},"citationItems":[{"id":1669,"uris":["http://zotero.org/users/local/QoJ83VnD/items/ZG74I3JX"],"itemData":{"id":1669,"type":"article-journal","abstract":"BACKGROUND: Endoscopic endonasal surgery is the main transsphenoidal approach for pituitary surgery in many centers; however, few studies compare the endoscopic and microscopic surgical approaches with regard to long-term follow-up. This single-center study aimed to compare the 2 techniques over 15 years.\nMETHODS: Medical records and magnetic resonance images from 40 patients with primary transsphenoidal surgery for Cushing's disease at Sahlgrenska University Hospital between 2003 and 2018 were reviewed. 14 patients who underwent microscopic surgery and 26 patients who underwent endoscopic surgery were included in this study.\nRESULTS: In the microscopic group, 12 of 14 patients achieved endocrine remission, compared to 19 of 26 patients in the endoscopic group (n. s.). Three patients in each group developed a late recurrence. Complications were seen in 5 patients in the microscopic group and in 8 patients in the endoscopic group (n. s.). No serious complications, such as carotid artery damage, cerebrovascular fluid leakage, epistaxis, or meningitis, occurred in any group. The postoperative hospital stay was shorter in the endoscopic than in the microscopic group.\nCONCLUSIONS: Endoscopic endonasal surgery for Cushing's disease showed no difference in remission, recurrence, and complication rates compared to the microscopic approach. The endoscopic group had a shorter postoperative hospital stay than the microscopic group, which in part may be due to the minimal invasiveness of the endoscopic approach.","container-title":"World Neurosurgery","DOI":"10.1016/j.wneu.2022.07.027","ISSN":"1878-8769","journalAbbreviation":"World Neurosurg","language":"eng","page":"e427-e434","PMID":"35840092","source":"PubMed","title":"Long-Term Outcomes and Complications from Endoscopic Versus Microscopic Transsphenoidal Surgery for Cushing's Disease: A 15-Year Single-Center Study","title-short":"Long-Term Outcomes and Complications from Endoscopic Versus Microscopic Transsphenoidal Surgery for Cushing's Disease","volume":"166","author":[{"family":"Trimpou","given":"Penelope"},{"family":"Backlund","given":"Erika"},{"family":"Ragnarsson","given":"Oskar"},{"family":"Skoglund","given":"Thomas"},{"family":"Hallén","given":"Tobias"},{"family":"Gudnadottir","given":"Gunnhildur"},{"family":"Carlqvist","given":"Jeanette"},{"family":"Farahmand","given":"Dan"}],"issued":{"date-parts":[["2022",10]]}}}],"schema":"https://github.com/citation-style-language/schema/raw/master/csl-citation.json"} </w:instrText>
      </w:r>
      <w:r>
        <w:rPr>
          <w:rFonts w:ascii="Times New Roman" w:hAnsi="Times New Roman" w:cs="Times New Roman"/>
          <w:color w:val="000000" w:themeColor="text1"/>
          <w:sz w:val="24"/>
        </w:rPr>
        <w:fldChar w:fldCharType="separate"/>
      </w:r>
      <w:r w:rsidRPr="000E2D38">
        <w:rPr>
          <w:rFonts w:ascii="Times New Roman" w:hAnsi="Times New Roman" w:cs="Times New Roman"/>
          <w:sz w:val="24"/>
        </w:rPr>
        <w:t>(29)</w:t>
      </w:r>
      <w:r>
        <w:rPr>
          <w:rFonts w:ascii="Times New Roman" w:hAnsi="Times New Roman" w:cs="Times New Roman"/>
          <w:color w:val="000000" w:themeColor="text1"/>
          <w:sz w:val="24"/>
        </w:rPr>
        <w:fldChar w:fldCharType="end"/>
      </w:r>
      <w:r w:rsidRPr="00ED56AA">
        <w:rPr>
          <w:rFonts w:ascii="Times New Roman" w:hAnsi="Times New Roman" w:cs="Times New Roman"/>
          <w:color w:val="000000" w:themeColor="text1"/>
          <w:sz w:val="24"/>
        </w:rPr>
        <w:t xml:space="preserve">. </w:t>
      </w:r>
      <w:r w:rsidR="00A72724">
        <w:rPr>
          <w:rFonts w:ascii="Times New Roman" w:hAnsi="Times New Roman" w:cs="Times New Roman"/>
          <w:color w:val="000000" w:themeColor="text1"/>
          <w:sz w:val="24"/>
        </w:rPr>
        <w:t xml:space="preserve"> </w:t>
      </w:r>
      <w:r w:rsidRPr="00ED56AA">
        <w:rPr>
          <w:rFonts w:ascii="Times New Roman" w:hAnsi="Times New Roman" w:cs="Times New Roman"/>
          <w:color w:val="000000" w:themeColor="text1"/>
          <w:sz w:val="24"/>
        </w:rPr>
        <w:t xml:space="preserve">Although endoscopy provides superior illumination and a wider panoramic view, these advantages may be attenuated in </w:t>
      </w:r>
      <w:proofErr w:type="spellStart"/>
      <w:r w:rsidRPr="00ED56AA">
        <w:rPr>
          <w:rFonts w:ascii="Times New Roman" w:hAnsi="Times New Roman" w:cs="Times New Roman"/>
          <w:color w:val="000000" w:themeColor="text1"/>
          <w:sz w:val="24"/>
        </w:rPr>
        <w:t>pediatric</w:t>
      </w:r>
      <w:proofErr w:type="spellEnd"/>
      <w:r w:rsidRPr="00ED56AA">
        <w:rPr>
          <w:rFonts w:ascii="Times New Roman" w:hAnsi="Times New Roman" w:cs="Times New Roman"/>
          <w:color w:val="000000" w:themeColor="text1"/>
          <w:sz w:val="24"/>
        </w:rPr>
        <w:t xml:space="preserve"> patients because of a narrower nasal corridor, variable sphenoid sinus pneumatization, and smaller </w:t>
      </w:r>
      <w:proofErr w:type="spellStart"/>
      <w:r w:rsidRPr="00ED56AA">
        <w:rPr>
          <w:rFonts w:ascii="Times New Roman" w:hAnsi="Times New Roman" w:cs="Times New Roman"/>
          <w:color w:val="000000" w:themeColor="text1"/>
          <w:sz w:val="24"/>
        </w:rPr>
        <w:t>sellar</w:t>
      </w:r>
      <w:proofErr w:type="spellEnd"/>
      <w:r w:rsidRPr="00ED56AA">
        <w:rPr>
          <w:rFonts w:ascii="Times New Roman" w:hAnsi="Times New Roman" w:cs="Times New Roman"/>
          <w:color w:val="000000" w:themeColor="text1"/>
          <w:sz w:val="24"/>
        </w:rPr>
        <w:t xml:space="preserve"> anatomy, which can make surgical exposure and instrument manoeuvrability more challenging, particularly in younger children </w:t>
      </w:r>
      <w:r>
        <w:rPr>
          <w:rFonts w:ascii="Times New Roman" w:hAnsi="Times New Roman" w:cs="Times New Roman"/>
          <w:color w:val="000000" w:themeColor="text1"/>
          <w:sz w:val="24"/>
        </w:rPr>
        <w:fldChar w:fldCharType="begin"/>
      </w:r>
      <w:r>
        <w:rPr>
          <w:rFonts w:ascii="Times New Roman" w:hAnsi="Times New Roman" w:cs="Times New Roman"/>
          <w:color w:val="000000" w:themeColor="text1"/>
          <w:sz w:val="24"/>
        </w:rPr>
        <w:instrText xml:space="preserve"> ADDIN ZOTERO_ITEM CSL_CITATION {"citationID":"G7UmEwnV","properties":{"unsorted":false,"formattedCitation":"(24,25)","plainCitation":"(24,25)","noteIndex":0},"citationItems":[{"id":1664,"uris":["http://zotero.org/users/local/QoJ83VnD/items/434Q6CEN"],"itemData":{"id":1664,"type":"article-journal","abstract":"INTRODUCTION: Pediatric pituitary adenomas are rare lesions. Incidence is reported between 1 and 10% of all childhood brain tumors and between 3 and 6% of all surgically treated adenomas. Although pituitary adenomas present with symptoms of hormone hypersecretion or neurological disruptions secondary to mass effect, they are almost constantly benign. Characteristics of patients may vary in different studies according to age, gender, size of adenoma, hormonal activity, and recurrence rates.\nMETHODS: Data on consecutive pediatric patients who were operated for pituitary adenoma with endoscopic endonasal transsphenoidal surgery (EETS) and transsphenoidal microsurgery (TMS) in the Department of Neurosurgery, Istanbul University Cerrahpasa Medical Faculty, Istanbul, Turkey, in the Neurosurgical Unit of the San Matteo Hospital, Pavia, Italy, and in the Division of Neurological Surgery Department of Biotechnology and Life Sciences, University of Insubria-Varese, ASST Sette Laghi, Ospedale di Circolo e Fondazione Macchi, Varese, Italy, between July 1997 and May 2018, were analyzed. Twenty-seven patients (11 males and 16 females), who were 18 years old or younger at the time of surgery, were included in the study. Medical records, images, and operative notes of patients were retrospectively reviewed.\nRESULTS: There were 16 females (59.3%) and 11 males (40.7%). Mean age was 15.3 ± 3.3 (4-18). Thirty-two surgical procedures were performed for 27 patients (6 children required second operation). Thirteen patients (48.14%) had Cushing's disease (CD), 5 patients (18.5%) had growth hormone (GH)-secreting adenoma, 5 patients (18.5%) had prolactinoma, and 4 patients (14.8%) had non-functional adenoma. Twenty-two patients (81.4%) met remission criteria, and 5 patients (18.5%) did not meet remission criteria. Four patients met remission criteria after the second operation.\nCONCLUSION: Transsphenoidal approach affords effective release of mass effect and not only restoration but also perpetuation of normal endocrine functions in the majority of pediatric pituitary adenoma patients. Satisfactory results are reported with both EETS and TMS in the literature. Despite the technical difficulties in pediatric age, transsphenoidal resection of adenoma is still the mainstay treatment that provides cure in pediatric patients.","container-title":"Child's Nervous System: ChNS: Official Journal of the International Society for Pediatric Neurosurgery","DOI":"10.1007/s00381-019-04179-z","ISSN":"1433-0350","issue":"11","journalAbbreviation":"Childs Nerv Syst","language":"eng","page":"2119-2126","PMID":"31079182","source":"PubMed","title":"Transsphenoidal surgery for pituitary adenomas in pediatric patients: a multicentric retrospective study","title-short":"Transsphenoidal surgery for pituitary adenomas in pediatric patients","volume":"35","author":[{"family":"Locatelli","given":"Davide"},{"family":"Veiceschi","given":"Pierlorenzo"},{"family":"Castelnuovo","given":"Paolo"},{"family":"Tanriover","given":"Necmettin"},{"family":"Evliyaoglu","given":"Olcay"},{"family":"Canaz","given":"Huseyin"},{"family":"Ugurlar","given":"Doga"},{"family":"Gazioglu","given":"Nurperi"}],"issued":{"date-parts":[["2019",11]]}}},{"id":1662,"uris":["http://zotero.org/users/local/QoJ83VnD/items/GE8LIBLP"],"itemData":{"id":1662,"type":"article-journal","abstract":"Pituitary adenomas are a rare but important central nervous system tumor in children. Because of differences in growth and development, the manifestations of pituitary adenomas in children may differ from those seen in adults. Unlike adult patients, the pediatric population more often presents with clinically secretory adenomas. Although medical management is first-line treatment of prolactinomas, transsphenoidal surgery is appropriate for most children with Cushing disease and gigantism. Although some pediatric patients present surgical challenges because of small anatomic dimensions or an incompletely developed sphenoid sinus, transsphenoidal surgery can be safely and effectively undertaken in most children, with low complication rates.","container-title":"Neurosurgery Clinics of North America","DOI":"10.1016/j.nec.2019.05.008","ISSN":"1558-1349","issue":"4","journalAbbreviation":"Neurosurg Clin N Am","language":"eng","page":"465-471","PMID":"31471053","source":"PubMed","title":"Surgery for Pediatric Pituitary Adenomas","volume":"30","author":[{"family":"Marino","given":"Alexandria C."},{"family":"Taylor","given":"Davis G."},{"family":"Desai","given":"Bhargav"},{"family":"Jane","given":"John A."}],"issued":{"date-parts":[["2019",10]]}}}],"schema":"https://github.com/citation-style-language/schema/raw/master/csl-citation.json"} </w:instrText>
      </w:r>
      <w:r>
        <w:rPr>
          <w:rFonts w:ascii="Times New Roman" w:hAnsi="Times New Roman" w:cs="Times New Roman"/>
          <w:color w:val="000000" w:themeColor="text1"/>
          <w:sz w:val="24"/>
        </w:rPr>
        <w:fldChar w:fldCharType="separate"/>
      </w:r>
      <w:r w:rsidRPr="000E2D38">
        <w:rPr>
          <w:rFonts w:ascii="Times New Roman" w:hAnsi="Times New Roman" w:cs="Times New Roman"/>
          <w:sz w:val="24"/>
        </w:rPr>
        <w:t>(24,25)</w:t>
      </w:r>
      <w:r>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t xml:space="preserve">. </w:t>
      </w:r>
      <w:r w:rsidRPr="00ED56AA">
        <w:rPr>
          <w:rFonts w:ascii="Times New Roman" w:hAnsi="Times New Roman" w:cs="Times New Roman"/>
          <w:color w:val="000000" w:themeColor="text1"/>
          <w:sz w:val="24"/>
        </w:rPr>
        <w:t>Consequently, when surgery is performed in experienced multidisciplinary pituitary centres, remission appears to depend more on accurate tumour localisation and surgical expertise than on the operative approach itself</w:t>
      </w:r>
      <w:r>
        <w:rPr>
          <w:rFonts w:ascii="Times New Roman" w:hAnsi="Times New Roman" w:cs="Times New Roman"/>
          <w:color w:val="000000" w:themeColor="text1"/>
          <w:sz w:val="24"/>
        </w:rPr>
        <w:t xml:space="preserve">. </w:t>
      </w:r>
      <w:r w:rsidRPr="007E7F0C">
        <w:rPr>
          <w:rFonts w:ascii="Times New Roman" w:hAnsi="Times New Roman" w:cs="Times New Roman"/>
          <w:color w:val="000000" w:themeColor="text1"/>
          <w:sz w:val="24"/>
        </w:rPr>
        <w:t xml:space="preserve">The exploratory symptom co-occurrence analysis identified distinct catabolic–metabolic and androgenic clusters. These findings should be interpreted as hypothesis-generating because of the limited sample size and require validation in larger </w:t>
      </w:r>
      <w:proofErr w:type="spellStart"/>
      <w:r w:rsidRPr="007E7F0C">
        <w:rPr>
          <w:rFonts w:ascii="Times New Roman" w:hAnsi="Times New Roman" w:cs="Times New Roman"/>
          <w:color w:val="000000" w:themeColor="text1"/>
          <w:sz w:val="24"/>
        </w:rPr>
        <w:t>multicenter</w:t>
      </w:r>
      <w:proofErr w:type="spellEnd"/>
      <w:r w:rsidRPr="007E7F0C">
        <w:rPr>
          <w:rFonts w:ascii="Times New Roman" w:hAnsi="Times New Roman" w:cs="Times New Roman"/>
          <w:color w:val="000000" w:themeColor="text1"/>
          <w:sz w:val="24"/>
        </w:rPr>
        <w:t xml:space="preserve"> </w:t>
      </w:r>
      <w:proofErr w:type="spellStart"/>
      <w:r w:rsidRPr="007E7F0C">
        <w:rPr>
          <w:rFonts w:ascii="Times New Roman" w:hAnsi="Times New Roman" w:cs="Times New Roman"/>
          <w:color w:val="000000" w:themeColor="text1"/>
          <w:sz w:val="24"/>
        </w:rPr>
        <w:t>pediatric</w:t>
      </w:r>
      <w:proofErr w:type="spellEnd"/>
      <w:r w:rsidRPr="007E7F0C">
        <w:rPr>
          <w:rFonts w:ascii="Times New Roman" w:hAnsi="Times New Roman" w:cs="Times New Roman"/>
          <w:color w:val="000000" w:themeColor="text1"/>
          <w:sz w:val="24"/>
        </w:rPr>
        <w:t xml:space="preserve"> cohorts</w:t>
      </w:r>
      <w:r>
        <w:rPr>
          <w:rFonts w:ascii="Times New Roman" w:hAnsi="Times New Roman" w:cs="Times New Roman"/>
          <w:b/>
          <w:bCs/>
          <w:color w:val="000000" w:themeColor="text1"/>
          <w:sz w:val="24"/>
        </w:rPr>
        <w:t xml:space="preserve"> </w:t>
      </w:r>
      <w:r>
        <w:rPr>
          <w:rFonts w:ascii="Times New Roman" w:hAnsi="Times New Roman" w:cs="Times New Roman"/>
          <w:color w:val="000000" w:themeColor="text1"/>
          <w:sz w:val="24"/>
        </w:rPr>
        <w:fldChar w:fldCharType="begin"/>
      </w:r>
      <w:r>
        <w:rPr>
          <w:rFonts w:ascii="Times New Roman" w:hAnsi="Times New Roman" w:cs="Times New Roman"/>
          <w:color w:val="000000" w:themeColor="text1"/>
          <w:sz w:val="24"/>
        </w:rPr>
        <w:instrText xml:space="preserve"> ADDIN ZOTERO_ITEM CSL_CITATION {"citationID":"Edk205ts","properties":{"unsorted":false,"formattedCitation":"(3)","plainCitation":"(3)","noteIndex":0},"citationItems":[{"id":1592,"uris":["http://zotero.org/users/local/QoJ83VnD/items/5HINPW9A"],"itemData":{"id":1592,"type":"article-journal","abstract":"BACKGROUND: Paediatric endogenous Cushing syndrome is a rare condition with variable signs and symptoms of presentation. We studied a large cohort of paediatric patients with endogenous Cushing syndrome with the aim of describing anthropometric, clinical, and biochemical characteristics as well as associated complications and outcomes to aid diagnosis, treatment, and management.\nMETHODS: In this prospective, multisite cohort study, we studied children and adolescents (≤18 years at time of presentation) with a diagnosis of Cushing syndrome. Patients had either received their initial diagnosis and evaluation at the Eunice Kennedy Shriver National Institute of Child Health and Human Development (Bethesda, MD, USA) or been referred from other centres in the USA or outside the USA. We collected participants' clinical, biochemical, and imaging findings and recorded their post-operative course until their latest appointment.\nFINDINGS: Of 342 paediatric patients with a diagnosis of Cushing syndrome, 193 (56%) were female and 149 (44%) male. 261 (76%) patients had corticotroph pituitary neuroendocrine tumours (Cushing disease), 74 (22%) had adrenal-associated Cushing syndrome, and seven (2%) had ectopic Cushing syndrome. Patients were diagnosed at a median of 2 years (IQR 1·0-3·0) after the first concerning sign or symptom, and patients with adrenal-associated Cushing syndrome were the youngest at diagnosis (median 10·4 years [IQR 7·4-13·6] vs 13·0 years [10·5-15·3] for Cushing disease vs 13·4 years [11·0-13·7] for ectopic Cushing syndrome; p&lt;0·0001). Body-mass index z-scores did not differ between the diagnostic groups (1·90 [1·19-2·34] for adrenal-associated Cushing syndrome vs 2·18 [1·60-2·56] for Cushing disease vs 2·22 [1·42-2·35] for ectopic Cushing syndrome; p=0·26). Baseline biochemical screening for cortisol and adrenocorticotropin at diagnosis showed overlapping results between subtypes, and especially between Cushing disease and ectopic Cushing syndrome. However, patients with ectopic Cushing syndrome had higher urinary free cortisol (fold change in median cortisol concentration from upper limit of normal: 15·5 [IQR 12·7-18·0]) than patients with adrenal-associated Cushing syndrome (1·5 [0·6-5·7]) or Cushing disease (3·9 [2·3-6·9]; p&lt;0·0001). Common complications of endogenous Cushing syndrome were hypertension (147 [52%] of 281 patients), hyperglycaemia (78 [30%] of 260 patients), elevated alanine transaminase (145 [64%] of 227 patients), and dyslipidaemia (105 [48%] of 219 patients). Long-term recurrence was noted in at least 16 (8%) of 195 patients with Cushing disease.\nINTERPRETATION: This extensive description of a unique cohort of paediatric patients with Cushing syndrome has the potential to inform diagnostic workup, preventative actions, and follow-up of children with this rare endocrine condition.\nFUNDING: Intramural Research Program, Eunice Kennedy Shriver National Institute of Child Health &amp; Human Development, National Institutes of Health.","container-title":"The Lancet. Child &amp; Adolescent Health","DOI":"10.1016/S2352-4642(23)00264-X","ISSN":"2352-4650","issue":"1","journalAbbreviation":"Lancet Child Adolesc Health","language":"eng","page":"51-62","PMID":"38097317","PMCID":"PMC11245730","source":"PubMed","title":"Paediatric Cushing syndrome: a prospective, multisite, observational cohort study","title-short":"Paediatric Cushing syndrome","volume":"8","author":[{"family":"Tatsi","given":"Christina"},{"family":"Kamilaris","given":"Crystal"},{"family":"Keil","given":"Meg"},{"family":"Saidkhodjaeva","given":"Lola"},{"family":"Faucz","given":"Fabio R."},{"family":"Chittiboina","given":"Prashant"},{"family":"Stratakis","given":"Constantine A."}],"issued":{"date-parts":[["2024",1]]}}}],"schema":"https://github.com/citation-style-language/schema/raw/master/csl-citation.json"} </w:instrText>
      </w:r>
      <w:r>
        <w:rPr>
          <w:rFonts w:ascii="Times New Roman" w:hAnsi="Times New Roman" w:cs="Times New Roman"/>
          <w:color w:val="000000" w:themeColor="text1"/>
          <w:sz w:val="24"/>
        </w:rPr>
        <w:fldChar w:fldCharType="separate"/>
      </w:r>
      <w:r w:rsidRPr="00BA0FA3">
        <w:rPr>
          <w:rFonts w:ascii="Times New Roman" w:hAnsi="Times New Roman" w:cs="Times New Roman"/>
          <w:sz w:val="24"/>
        </w:rPr>
        <w:t>(3)</w:t>
      </w:r>
      <w:r>
        <w:rPr>
          <w:rFonts w:ascii="Times New Roman" w:hAnsi="Times New Roman" w:cs="Times New Roman"/>
          <w:color w:val="000000" w:themeColor="text1"/>
          <w:sz w:val="24"/>
        </w:rPr>
        <w:fldChar w:fldCharType="end"/>
      </w:r>
      <w:r w:rsidRPr="00BA0FA3">
        <w:rPr>
          <w:rFonts w:ascii="Times New Roman" w:hAnsi="Times New Roman" w:cs="Times New Roman"/>
          <w:color w:val="000000" w:themeColor="text1"/>
          <w:sz w:val="24"/>
        </w:rPr>
        <w:t>.</w:t>
      </w:r>
    </w:p>
    <w:p w14:paraId="7B658EF3" w14:textId="77777777" w:rsidR="00CB7A1F" w:rsidRPr="00CF15E3" w:rsidRDefault="00CB7A1F" w:rsidP="00D012CA">
      <w:pPr>
        <w:spacing w:line="360" w:lineRule="auto"/>
        <w:jc w:val="both"/>
        <w:rPr>
          <w:rFonts w:ascii="Times New Roman" w:hAnsi="Times New Roman" w:cs="Times New Roman"/>
          <w:color w:val="000000" w:themeColor="text1"/>
          <w:sz w:val="24"/>
        </w:rPr>
      </w:pPr>
    </w:p>
    <w:p w14:paraId="3FF043A7" w14:textId="77777777" w:rsidR="00D012CA" w:rsidRPr="00CF15E3" w:rsidRDefault="00D012CA" w:rsidP="00D012CA">
      <w:pPr>
        <w:spacing w:line="360" w:lineRule="auto"/>
        <w:jc w:val="both"/>
        <w:rPr>
          <w:rFonts w:ascii="Times New Roman" w:hAnsi="Times New Roman" w:cs="Times New Roman"/>
          <w:color w:val="000000" w:themeColor="text1"/>
          <w:sz w:val="24"/>
        </w:rPr>
      </w:pPr>
    </w:p>
    <w:p w14:paraId="7F6028D1" w14:textId="77777777" w:rsidR="00D012CA" w:rsidRDefault="00D012CA" w:rsidP="00D012CA">
      <w:pPr>
        <w:spacing w:line="360" w:lineRule="auto"/>
        <w:jc w:val="both"/>
        <w:rPr>
          <w:rFonts w:ascii="Times New Roman" w:hAnsi="Times New Roman" w:cs="Times New Roman"/>
          <w:color w:val="000000" w:themeColor="text1"/>
          <w:sz w:val="24"/>
        </w:rPr>
      </w:pPr>
    </w:p>
    <w:p w14:paraId="270AE140" w14:textId="77777777" w:rsidR="00D012CA" w:rsidRDefault="00D012CA" w:rsidP="00D012CA">
      <w:pPr>
        <w:spacing w:line="360" w:lineRule="auto"/>
        <w:jc w:val="both"/>
        <w:rPr>
          <w:rFonts w:ascii="Times New Roman" w:hAnsi="Times New Roman" w:cs="Times New Roman"/>
          <w:color w:val="000000" w:themeColor="text1"/>
          <w:sz w:val="24"/>
        </w:rPr>
      </w:pPr>
    </w:p>
    <w:p w14:paraId="67700986" w14:textId="77777777" w:rsidR="00D012CA" w:rsidRPr="00CF15E3" w:rsidRDefault="00D012CA" w:rsidP="00D012CA">
      <w:pPr>
        <w:spacing w:line="360" w:lineRule="auto"/>
        <w:jc w:val="both"/>
        <w:rPr>
          <w:rFonts w:ascii="Times New Roman" w:hAnsi="Times New Roman" w:cs="Times New Roman"/>
          <w:color w:val="000000" w:themeColor="text1"/>
          <w:sz w:val="24"/>
        </w:rPr>
      </w:pPr>
    </w:p>
    <w:p w14:paraId="502A3923" w14:textId="77777777" w:rsidR="00D012CA" w:rsidRPr="007A428A" w:rsidRDefault="00D012CA" w:rsidP="00D012CA">
      <w:pPr>
        <w:spacing w:line="360" w:lineRule="auto"/>
        <w:rPr>
          <w:rFonts w:ascii="Times New Roman" w:hAnsi="Times New Roman" w:cs="Times New Roman"/>
          <w:color w:val="000000" w:themeColor="text1"/>
          <w:sz w:val="24"/>
        </w:rPr>
      </w:pPr>
    </w:p>
    <w:p w14:paraId="7E0CBC41" w14:textId="77777777" w:rsidR="0071620B" w:rsidRDefault="0071620B"/>
    <w:sectPr w:rsidR="0071620B" w:rsidSect="00D012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012CA"/>
    <w:rsid w:val="001F529F"/>
    <w:rsid w:val="002364C7"/>
    <w:rsid w:val="003B52A7"/>
    <w:rsid w:val="004E4B9F"/>
    <w:rsid w:val="00593A0E"/>
    <w:rsid w:val="0071620B"/>
    <w:rsid w:val="00966184"/>
    <w:rsid w:val="00A72724"/>
    <w:rsid w:val="00B93E3D"/>
    <w:rsid w:val="00BD4A6C"/>
    <w:rsid w:val="00CB7A1F"/>
    <w:rsid w:val="00D012CA"/>
    <w:rsid w:val="00E61A6A"/>
    <w:rsid w:val="00EC7B3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B574F"/>
  <w15:chartTrackingRefBased/>
  <w15:docId w15:val="{55AC47F4-6B91-4724-8F46-6057F2F4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2CA"/>
  </w:style>
  <w:style w:type="paragraph" w:styleId="Heading1">
    <w:name w:val="heading 1"/>
    <w:basedOn w:val="Normal"/>
    <w:next w:val="Normal"/>
    <w:link w:val="Heading1Char"/>
    <w:uiPriority w:val="9"/>
    <w:qFormat/>
    <w:rsid w:val="00D012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012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012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12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12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12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2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2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2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2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12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12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12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12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12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2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2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2CA"/>
    <w:rPr>
      <w:rFonts w:eastAsiaTheme="majorEastAsia" w:cstheme="majorBidi"/>
      <w:color w:val="272727" w:themeColor="text1" w:themeTint="D8"/>
    </w:rPr>
  </w:style>
  <w:style w:type="paragraph" w:styleId="Title">
    <w:name w:val="Title"/>
    <w:basedOn w:val="Normal"/>
    <w:next w:val="Normal"/>
    <w:link w:val="TitleChar"/>
    <w:uiPriority w:val="10"/>
    <w:qFormat/>
    <w:rsid w:val="00D01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2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2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2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2CA"/>
    <w:pPr>
      <w:spacing w:before="160"/>
      <w:jc w:val="center"/>
    </w:pPr>
    <w:rPr>
      <w:i/>
      <w:iCs/>
      <w:color w:val="404040" w:themeColor="text1" w:themeTint="BF"/>
    </w:rPr>
  </w:style>
  <w:style w:type="character" w:customStyle="1" w:styleId="QuoteChar">
    <w:name w:val="Quote Char"/>
    <w:basedOn w:val="DefaultParagraphFont"/>
    <w:link w:val="Quote"/>
    <w:uiPriority w:val="29"/>
    <w:rsid w:val="00D012CA"/>
    <w:rPr>
      <w:i/>
      <w:iCs/>
      <w:color w:val="404040" w:themeColor="text1" w:themeTint="BF"/>
    </w:rPr>
  </w:style>
  <w:style w:type="paragraph" w:styleId="ListParagraph">
    <w:name w:val="List Paragraph"/>
    <w:basedOn w:val="Normal"/>
    <w:uiPriority w:val="34"/>
    <w:qFormat/>
    <w:rsid w:val="00D012CA"/>
    <w:pPr>
      <w:ind w:left="720"/>
      <w:contextualSpacing/>
    </w:pPr>
  </w:style>
  <w:style w:type="character" w:styleId="IntenseEmphasis">
    <w:name w:val="Intense Emphasis"/>
    <w:basedOn w:val="DefaultParagraphFont"/>
    <w:uiPriority w:val="21"/>
    <w:qFormat/>
    <w:rsid w:val="00D012CA"/>
    <w:rPr>
      <w:i/>
      <w:iCs/>
      <w:color w:val="2F5496" w:themeColor="accent1" w:themeShade="BF"/>
    </w:rPr>
  </w:style>
  <w:style w:type="paragraph" w:styleId="IntenseQuote">
    <w:name w:val="Intense Quote"/>
    <w:basedOn w:val="Normal"/>
    <w:next w:val="Normal"/>
    <w:link w:val="IntenseQuoteChar"/>
    <w:uiPriority w:val="30"/>
    <w:qFormat/>
    <w:rsid w:val="00D012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12CA"/>
    <w:rPr>
      <w:i/>
      <w:iCs/>
      <w:color w:val="2F5496" w:themeColor="accent1" w:themeShade="BF"/>
    </w:rPr>
  </w:style>
  <w:style w:type="character" w:styleId="IntenseReference">
    <w:name w:val="Intense Reference"/>
    <w:basedOn w:val="DefaultParagraphFont"/>
    <w:uiPriority w:val="32"/>
    <w:qFormat/>
    <w:rsid w:val="00D012CA"/>
    <w:rPr>
      <w:b/>
      <w:bCs/>
      <w:smallCaps/>
      <w:color w:val="2F5496" w:themeColor="accent1" w:themeShade="BF"/>
      <w:spacing w:val="5"/>
    </w:rPr>
  </w:style>
  <w:style w:type="table" w:styleId="GridTable1Light">
    <w:name w:val="Grid Table 1 Light"/>
    <w:basedOn w:val="TableNormal"/>
    <w:uiPriority w:val="46"/>
    <w:rsid w:val="00D012C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2949</Words>
  <Characters>16811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Kumar</dc:creator>
  <cp:keywords/>
  <dc:description/>
  <cp:lastModifiedBy>SS</cp:lastModifiedBy>
  <cp:revision>6</cp:revision>
  <dcterms:created xsi:type="dcterms:W3CDTF">2026-07-04T16:09:00Z</dcterms:created>
  <dcterms:modified xsi:type="dcterms:W3CDTF">2026-07-11T11:39:00Z</dcterms:modified>
</cp:coreProperties>
</file>