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27265" w14:textId="77777777" w:rsidR="00775AC8" w:rsidRPr="00E237FF" w:rsidRDefault="00775AC8" w:rsidP="003F7A32">
      <w:pPr>
        <w:spacing w:after="160" w:line="30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37FF">
        <w:rPr>
          <w:rFonts w:ascii="Times New Roman" w:hAnsi="Times New Roman" w:cs="Times New Roman"/>
          <w:b/>
          <w:bCs/>
          <w:sz w:val="28"/>
          <w:szCs w:val="28"/>
        </w:rPr>
        <w:t>SPR measurements and data analysis for mutated EGFR</w:t>
      </w:r>
    </w:p>
    <w:p w14:paraId="7D2B7BBB" w14:textId="7DEC3091" w:rsidR="00775AC8" w:rsidRPr="00E237FF" w:rsidRDefault="00775AC8" w:rsidP="00CE63B0">
      <w:pPr>
        <w:spacing w:after="160" w:line="30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E237FF">
        <w:rPr>
          <w:rFonts w:ascii="Times New Roman" w:hAnsi="Times New Roman" w:cs="Times New Roman"/>
          <w:sz w:val="28"/>
          <w:szCs w:val="28"/>
        </w:rPr>
        <w:t>SPR was performed using the same running buffer and temperature as previously described. EGFR</w:t>
      </w:r>
      <w:r w:rsidR="003F7A32" w:rsidRPr="00E237F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L858R/T790M/C797S </w:t>
      </w:r>
      <w:r w:rsidR="00EA50A1" w:rsidRPr="00E237FF">
        <w:rPr>
          <w:rFonts w:ascii="Times New Roman" w:hAnsi="Times New Roman" w:cs="Times New Roman"/>
          <w:sz w:val="28"/>
          <w:szCs w:val="28"/>
          <w:lang w:val="en-US"/>
        </w:rPr>
        <w:t xml:space="preserve">triple </w:t>
      </w:r>
      <w:r w:rsidRPr="00E237FF">
        <w:rPr>
          <w:rFonts w:ascii="Times New Roman" w:hAnsi="Times New Roman" w:cs="Times New Roman"/>
          <w:sz w:val="28"/>
          <w:szCs w:val="28"/>
        </w:rPr>
        <w:t>mutant</w:t>
      </w:r>
      <w:r w:rsidR="00EA50A1" w:rsidRPr="00E237FF">
        <w:rPr>
          <w:rFonts w:ascii="Times New Roman" w:hAnsi="Times New Roman" w:cs="Times New Roman"/>
          <w:sz w:val="28"/>
          <w:szCs w:val="28"/>
        </w:rPr>
        <w:t xml:space="preserve"> </w:t>
      </w:r>
      <w:r w:rsidRPr="00E237F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237FF">
        <w:rPr>
          <w:rFonts w:ascii="Times New Roman" w:hAnsi="Times New Roman" w:cs="Times New Roman"/>
          <w:sz w:val="28"/>
          <w:szCs w:val="28"/>
        </w:rPr>
        <w:t>MedChemExpress</w:t>
      </w:r>
      <w:proofErr w:type="spellEnd"/>
      <w:r w:rsidRPr="00E237FF">
        <w:rPr>
          <w:rFonts w:ascii="Times New Roman" w:hAnsi="Times New Roman" w:cs="Times New Roman"/>
          <w:sz w:val="28"/>
          <w:szCs w:val="28"/>
        </w:rPr>
        <w:t xml:space="preserve">, </w:t>
      </w:r>
      <w:r w:rsidRPr="00E237FF">
        <w:rPr>
          <w:rFonts w:ascii="Times New Roman" w:hAnsi="Times New Roman" w:cs="Times New Roman"/>
          <w:color w:val="331515"/>
          <w:sz w:val="28"/>
          <w:szCs w:val="28"/>
          <w:shd w:val="clear" w:color="auto" w:fill="FFFFFF"/>
        </w:rPr>
        <w:t>HY-P702831)</w:t>
      </w:r>
      <w:r w:rsidRPr="00E237FF">
        <w:rPr>
          <w:rFonts w:ascii="Times New Roman" w:hAnsi="Times New Roman" w:cs="Times New Roman"/>
          <w:sz w:val="28"/>
          <w:szCs w:val="28"/>
        </w:rPr>
        <w:t xml:space="preserve"> protein was immobilized on flow cell 2 (FC2) of a CM5 sensor chip via amine coupling: the surface was activated with a 1:1 mixture of</w:t>
      </w:r>
      <w:r w:rsidR="00CE63B0" w:rsidRPr="00E237FF">
        <w:rPr>
          <w:rFonts w:ascii="Times New Roman" w:hAnsi="Times New Roman" w:cs="Times New Roman"/>
          <w:sz w:val="28"/>
          <w:szCs w:val="28"/>
        </w:rPr>
        <w:t xml:space="preserve"> 1-ethyl-3-(3-dimethylaminopropyl)carbodiimide and N-</w:t>
      </w:r>
      <w:proofErr w:type="spellStart"/>
      <w:r w:rsidR="00CE63B0" w:rsidRPr="00E237FF">
        <w:rPr>
          <w:rFonts w:ascii="Times New Roman" w:hAnsi="Times New Roman" w:cs="Times New Roman"/>
          <w:sz w:val="28"/>
          <w:szCs w:val="28"/>
        </w:rPr>
        <w:t>hydroxysuccinimide</w:t>
      </w:r>
      <w:proofErr w:type="spellEnd"/>
      <w:r w:rsidRPr="00E237FF">
        <w:rPr>
          <w:rFonts w:ascii="Times New Roman" w:hAnsi="Times New Roman" w:cs="Times New Roman"/>
          <w:sz w:val="28"/>
          <w:szCs w:val="28"/>
        </w:rPr>
        <w:t xml:space="preserve"> </w:t>
      </w:r>
      <w:r w:rsidR="00CE63B0" w:rsidRPr="00E237FF">
        <w:rPr>
          <w:rFonts w:ascii="Times New Roman" w:hAnsi="Times New Roman" w:cs="Times New Roman"/>
          <w:sz w:val="28"/>
          <w:szCs w:val="28"/>
        </w:rPr>
        <w:t>(</w:t>
      </w:r>
      <w:r w:rsidRPr="00E237FF">
        <w:rPr>
          <w:rFonts w:ascii="Times New Roman" w:hAnsi="Times New Roman" w:cs="Times New Roman"/>
          <w:sz w:val="28"/>
          <w:szCs w:val="28"/>
        </w:rPr>
        <w:t>EDC/NHS</w:t>
      </w:r>
      <w:r w:rsidR="00CE63B0" w:rsidRPr="00E237FF">
        <w:rPr>
          <w:rFonts w:ascii="Times New Roman" w:hAnsi="Times New Roman" w:cs="Times New Roman"/>
          <w:sz w:val="28"/>
          <w:szCs w:val="28"/>
        </w:rPr>
        <w:t>)</w:t>
      </w:r>
      <w:r w:rsidRPr="00E237FF">
        <w:rPr>
          <w:rFonts w:ascii="Times New Roman" w:hAnsi="Times New Roman" w:cs="Times New Roman"/>
          <w:sz w:val="28"/>
          <w:szCs w:val="28"/>
        </w:rPr>
        <w:t xml:space="preserve"> for 9 min, followed by injection of protein (30 </w:t>
      </w:r>
      <w:proofErr w:type="spellStart"/>
      <w:r w:rsidRPr="00E237FF">
        <w:rPr>
          <w:rFonts w:ascii="Times New Roman" w:hAnsi="Times New Roman" w:cs="Times New Roman"/>
          <w:sz w:val="28"/>
          <w:szCs w:val="28"/>
        </w:rPr>
        <w:t>μg</w:t>
      </w:r>
      <w:proofErr w:type="spellEnd"/>
      <w:r w:rsidRPr="00E237FF">
        <w:rPr>
          <w:rFonts w:ascii="Times New Roman" w:hAnsi="Times New Roman" w:cs="Times New Roman"/>
          <w:sz w:val="28"/>
          <w:szCs w:val="28"/>
        </w:rPr>
        <w:t xml:space="preserve">/mL in 10 </w:t>
      </w:r>
      <w:proofErr w:type="spellStart"/>
      <w:r w:rsidRPr="00E237FF">
        <w:rPr>
          <w:rFonts w:ascii="Times New Roman" w:hAnsi="Times New Roman" w:cs="Times New Roman"/>
          <w:sz w:val="28"/>
          <w:szCs w:val="28"/>
        </w:rPr>
        <w:t>mM</w:t>
      </w:r>
      <w:proofErr w:type="spellEnd"/>
      <w:r w:rsidRPr="00E237FF">
        <w:rPr>
          <w:rFonts w:ascii="Times New Roman" w:hAnsi="Times New Roman" w:cs="Times New Roman"/>
          <w:sz w:val="28"/>
          <w:szCs w:val="28"/>
        </w:rPr>
        <w:t xml:space="preserve"> sodium acetate, pH 4.5) for 400 s, and residual reactive groups were quenched with ethanolamine for 9 min. The level of ligand immobili</w:t>
      </w:r>
      <w:r w:rsidR="00665635">
        <w:rPr>
          <w:rFonts w:ascii="Times New Roman" w:hAnsi="Times New Roman" w:cs="Times New Roman"/>
          <w:sz w:val="28"/>
          <w:szCs w:val="28"/>
        </w:rPr>
        <w:t>z</w:t>
      </w:r>
      <w:r w:rsidRPr="00E237FF">
        <w:rPr>
          <w:rFonts w:ascii="Times New Roman" w:hAnsi="Times New Roman" w:cs="Times New Roman"/>
          <w:sz w:val="28"/>
          <w:szCs w:val="28"/>
        </w:rPr>
        <w:t>ation was 13,000 RU. Flow cell 1 (FC1) was left blank-immobilized to serve as the reference surface. Analytes were prepared in 1.05</w:t>
      </w:r>
      <w:r w:rsidR="00E578E1" w:rsidRPr="00E237FF">
        <w:rPr>
          <w:rFonts w:ascii="Times New Roman" w:hAnsi="Times New Roman" w:cs="Times New Roman"/>
          <w:sz w:val="28"/>
          <w:szCs w:val="28"/>
        </w:rPr>
        <w:t xml:space="preserve">X </w:t>
      </w:r>
      <w:r w:rsidRPr="00E237FF">
        <w:rPr>
          <w:rFonts w:ascii="Times New Roman" w:hAnsi="Times New Roman" w:cs="Times New Roman"/>
          <w:sz w:val="28"/>
          <w:szCs w:val="28"/>
        </w:rPr>
        <w:t xml:space="preserve">PBS-P+ to give a stock concentration of 500 </w:t>
      </w:r>
      <w:proofErr w:type="spellStart"/>
      <w:r w:rsidRPr="00E237FF">
        <w:rPr>
          <w:rFonts w:ascii="Times New Roman" w:hAnsi="Times New Roman" w:cs="Times New Roman"/>
          <w:sz w:val="28"/>
          <w:szCs w:val="28"/>
        </w:rPr>
        <w:t>μM</w:t>
      </w:r>
      <w:proofErr w:type="spellEnd"/>
      <w:r w:rsidRPr="00E237FF">
        <w:rPr>
          <w:rFonts w:ascii="Times New Roman" w:hAnsi="Times New Roman" w:cs="Times New Roman"/>
          <w:sz w:val="28"/>
          <w:szCs w:val="28"/>
        </w:rPr>
        <w:t xml:space="preserve"> in 5% DMSO–1</w:t>
      </w:r>
      <w:r w:rsidR="00E578E1" w:rsidRPr="00E237FF">
        <w:rPr>
          <w:rFonts w:ascii="Times New Roman" w:hAnsi="Times New Roman" w:cs="Times New Roman"/>
          <w:sz w:val="28"/>
          <w:szCs w:val="28"/>
        </w:rPr>
        <w:t>X</w:t>
      </w:r>
      <w:r w:rsidRPr="00E237FF">
        <w:rPr>
          <w:rFonts w:ascii="Times New Roman" w:hAnsi="Times New Roman" w:cs="Times New Roman"/>
          <w:sz w:val="28"/>
          <w:szCs w:val="28"/>
        </w:rPr>
        <w:t xml:space="preserve"> PBS-P+, and this stock was serially diluted in running buffer to yield final concentrations of 1, 10, 25, 50, 75, 125, and 250 </w:t>
      </w:r>
      <w:proofErr w:type="spellStart"/>
      <w:r w:rsidRPr="00E237FF">
        <w:rPr>
          <w:rFonts w:ascii="Times New Roman" w:hAnsi="Times New Roman" w:cs="Times New Roman"/>
          <w:sz w:val="28"/>
          <w:szCs w:val="28"/>
        </w:rPr>
        <w:t>μM</w:t>
      </w:r>
      <w:proofErr w:type="spellEnd"/>
      <w:r w:rsidRPr="00E237FF">
        <w:rPr>
          <w:rFonts w:ascii="Times New Roman" w:hAnsi="Times New Roman" w:cs="Times New Roman"/>
          <w:sz w:val="28"/>
          <w:szCs w:val="28"/>
        </w:rPr>
        <w:t xml:space="preserve">. Each analyte was injected over the reference and active surfaces with an association time of 120 s and a dissociation time of 120 s. Binding responses were double-referenced against FC1 and buffer-only injections, and the resulting </w:t>
      </w:r>
      <w:proofErr w:type="spellStart"/>
      <w:r w:rsidRPr="00E237FF">
        <w:rPr>
          <w:rFonts w:ascii="Times New Roman" w:hAnsi="Times New Roman" w:cs="Times New Roman"/>
          <w:sz w:val="28"/>
          <w:szCs w:val="28"/>
        </w:rPr>
        <w:t>sensorgrams</w:t>
      </w:r>
      <w:proofErr w:type="spellEnd"/>
      <w:r w:rsidRPr="00E237FF">
        <w:rPr>
          <w:rFonts w:ascii="Times New Roman" w:hAnsi="Times New Roman" w:cs="Times New Roman"/>
          <w:sz w:val="28"/>
          <w:szCs w:val="28"/>
        </w:rPr>
        <w:t xml:space="preserve"> were </w:t>
      </w:r>
      <w:proofErr w:type="spellStart"/>
      <w:r w:rsidRPr="00E237FF">
        <w:rPr>
          <w:rFonts w:ascii="Times New Roman" w:hAnsi="Times New Roman" w:cs="Times New Roman"/>
          <w:sz w:val="28"/>
          <w:szCs w:val="28"/>
        </w:rPr>
        <w:t>analyzed</w:t>
      </w:r>
      <w:proofErr w:type="spellEnd"/>
      <w:r w:rsidRPr="00E237FF">
        <w:rPr>
          <w:rFonts w:ascii="Times New Roman" w:hAnsi="Times New Roman" w:cs="Times New Roman"/>
          <w:sz w:val="28"/>
          <w:szCs w:val="28"/>
        </w:rPr>
        <w:t xml:space="preserve"> by steady-state affinity fitting to determine the equilibrium dissociation constant (K</w:t>
      </w:r>
      <w:r w:rsidR="00332BCD" w:rsidRPr="00E237FF">
        <w:rPr>
          <w:rFonts w:ascii="Times New Roman" w:hAnsi="Times New Roman" w:cs="Times New Roman"/>
          <w:sz w:val="28"/>
          <w:szCs w:val="28"/>
          <w:vertAlign w:val="subscript"/>
        </w:rPr>
        <w:t>D</w:t>
      </w:r>
      <w:r w:rsidRPr="00E237FF">
        <w:rPr>
          <w:rFonts w:ascii="Times New Roman" w:hAnsi="Times New Roman" w:cs="Times New Roman"/>
          <w:sz w:val="28"/>
          <w:szCs w:val="28"/>
        </w:rPr>
        <w:t xml:space="preserve">) for each interaction using </w:t>
      </w:r>
      <w:proofErr w:type="spellStart"/>
      <w:r w:rsidRPr="00E237FF">
        <w:rPr>
          <w:rFonts w:ascii="Times New Roman" w:hAnsi="Times New Roman" w:cs="Times New Roman"/>
          <w:sz w:val="28"/>
          <w:szCs w:val="28"/>
        </w:rPr>
        <w:t>Biacore</w:t>
      </w:r>
      <w:proofErr w:type="spellEnd"/>
      <w:r w:rsidRPr="00E237FF">
        <w:rPr>
          <w:rFonts w:ascii="Times New Roman" w:hAnsi="Times New Roman" w:cs="Times New Roman"/>
          <w:sz w:val="28"/>
          <w:szCs w:val="28"/>
        </w:rPr>
        <w:t xml:space="preserve"> X100 Evaluation Software (v2.0.x).</w:t>
      </w:r>
    </w:p>
    <w:p w14:paraId="71B4BB33" w14:textId="3D7E79BB" w:rsidR="00E5239C" w:rsidRPr="00E237FF" w:rsidRDefault="00E5239C" w:rsidP="00CE63B0">
      <w:pPr>
        <w:spacing w:after="160" w:line="30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775B11A3" w14:textId="77777777" w:rsidR="00E5239C" w:rsidRPr="00E237FF" w:rsidRDefault="00E5239C" w:rsidP="00E5239C">
      <w:pPr>
        <w:spacing w:after="160" w:line="30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37FF">
        <w:rPr>
          <w:rFonts w:ascii="Times New Roman" w:hAnsi="Times New Roman" w:cs="Times New Roman"/>
          <w:b/>
          <w:bCs/>
          <w:sz w:val="28"/>
          <w:szCs w:val="28"/>
        </w:rPr>
        <w:t>Results</w:t>
      </w:r>
    </w:p>
    <w:p w14:paraId="22F73A67" w14:textId="213B6591" w:rsidR="00E5239C" w:rsidRPr="00151EBB" w:rsidRDefault="00AA0CF0" w:rsidP="00151EBB">
      <w:pPr>
        <w:spacing w:after="160" w:line="300" w:lineRule="auto"/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151EBB">
        <w:rPr>
          <w:rFonts w:ascii="Times New Roman" w:hAnsi="Times New Roman" w:cs="Times New Roman"/>
          <w:sz w:val="28"/>
          <w:szCs w:val="28"/>
        </w:rPr>
        <w:t>To evaluate the binding of the compounds to mutant EGFR, the triple-mutant EGFR (</w:t>
      </w:r>
      <w:r w:rsidR="00A74D71" w:rsidRPr="00151EBB">
        <w:rPr>
          <w:rFonts w:ascii="Times New Roman" w:hAnsi="Times New Roman" w:cs="Times New Roman"/>
          <w:sz w:val="28"/>
          <w:szCs w:val="28"/>
        </w:rPr>
        <w:t>L858R</w:t>
      </w:r>
      <w:r w:rsidR="00A74D71" w:rsidRPr="00151EBB">
        <w:rPr>
          <w:rFonts w:ascii="Times New Roman" w:hAnsi="Times New Roman" w:cs="Times New Roman"/>
          <w:sz w:val="28"/>
          <w:szCs w:val="28"/>
        </w:rPr>
        <w:t xml:space="preserve"> </w:t>
      </w:r>
      <w:r w:rsidRPr="00151EBB">
        <w:rPr>
          <w:rFonts w:ascii="Times New Roman" w:hAnsi="Times New Roman" w:cs="Times New Roman"/>
          <w:sz w:val="28"/>
          <w:szCs w:val="28"/>
        </w:rPr>
        <w:t>/T790M/</w:t>
      </w:r>
      <w:r w:rsidR="00A74D71" w:rsidRPr="00A74D71">
        <w:rPr>
          <w:rFonts w:ascii="Times New Roman" w:hAnsi="Times New Roman" w:cs="Times New Roman"/>
          <w:sz w:val="28"/>
          <w:szCs w:val="28"/>
        </w:rPr>
        <w:t xml:space="preserve"> </w:t>
      </w:r>
      <w:r w:rsidR="00A74D71" w:rsidRPr="00151EBB">
        <w:rPr>
          <w:rFonts w:ascii="Times New Roman" w:hAnsi="Times New Roman" w:cs="Times New Roman"/>
          <w:sz w:val="28"/>
          <w:szCs w:val="28"/>
        </w:rPr>
        <w:t>C797S</w:t>
      </w:r>
      <w:r w:rsidRPr="00151EBB">
        <w:rPr>
          <w:rFonts w:ascii="Times New Roman" w:hAnsi="Times New Roman" w:cs="Times New Roman"/>
          <w:sz w:val="28"/>
          <w:szCs w:val="28"/>
        </w:rPr>
        <w:t xml:space="preserve">), which confers resistance to the third-generation EGFR inhibitor </w:t>
      </w:r>
      <w:proofErr w:type="spellStart"/>
      <w:r w:rsidRPr="00151EBB">
        <w:rPr>
          <w:rFonts w:ascii="Times New Roman" w:hAnsi="Times New Roman" w:cs="Times New Roman"/>
          <w:sz w:val="28"/>
          <w:szCs w:val="28"/>
        </w:rPr>
        <w:t>osimertinib</w:t>
      </w:r>
      <w:proofErr w:type="spellEnd"/>
      <w:r w:rsidRPr="00151EBB">
        <w:rPr>
          <w:rFonts w:ascii="Times New Roman" w:hAnsi="Times New Roman" w:cs="Times New Roman"/>
          <w:sz w:val="28"/>
          <w:szCs w:val="28"/>
        </w:rPr>
        <w:t xml:space="preserve"> </w:t>
      </w:r>
      <w:r w:rsidR="00E669F1" w:rsidRPr="00151EBB">
        <w:rPr>
          <w:rFonts w:ascii="Times New Roman" w:hAnsi="Times New Roman" w:cs="Times New Roman"/>
          <w:sz w:val="28"/>
          <w:szCs w:val="28"/>
        </w:rPr>
        <w:fldChar w:fldCharType="begin"/>
      </w:r>
      <w:r w:rsidR="00E669F1" w:rsidRPr="00151EBB">
        <w:rPr>
          <w:rFonts w:ascii="Times New Roman" w:hAnsi="Times New Roman" w:cs="Times New Roman"/>
          <w:sz w:val="28"/>
          <w:szCs w:val="28"/>
        </w:rPr>
        <w:instrText xml:space="preserve"> ADDIN EN.CITE &lt;EndNote&gt;&lt;Cite&gt;&lt;Author&gt;Wang&lt;/Author&gt;&lt;Year&gt;2016&lt;/Year&gt;&lt;RecNum&gt;139&lt;/RecNum&gt;&lt;DisplayText&gt;(1)&lt;/DisplayText&gt;&lt;record&gt;&lt;rec-number&gt;139&lt;/rec-number&gt;&lt;foreign-keys&gt;&lt;key app="EN" db-id="0wsaxz5pusts98esa0dvp2dozx292rff5dr9" timestamp="1783835123"&gt;139&lt;/key&gt;&lt;/foreign-keys&gt;&lt;ref-type name="Journal Article"&gt;17&lt;/ref-type&gt;&lt;contributors&gt;&lt;authors&gt;&lt;author&gt;Wang, Shuhang&lt;/author&gt;&lt;author&gt;Tsui, Stella T.&lt;/author&gt;&lt;author&gt;Liu, Christina&lt;/author&gt;&lt;author&gt;Song, Yongping&lt;/author&gt;&lt;author&gt;Liu, Delong&lt;/author&gt;&lt;/authors&gt;&lt;/contributors&gt;&lt;titles&gt;&lt;title&gt;EGFR C797S mutation mediates resistance to third-generation inhibitors in T790M-positive non-small cell lung cancer&lt;/title&gt;&lt;secondary-title&gt;Journal of Hematology &amp;amp; Oncology&lt;/secondary-title&gt;&lt;/titles&gt;&lt;periodical&gt;&lt;full-title&gt;Journal of Hematology &amp;amp; Oncology&lt;/full-title&gt;&lt;/periodical&gt;&lt;pages&gt;59&lt;/pages&gt;&lt;volume&gt;9&lt;/volume&gt;&lt;number&gt;1&lt;/number&gt;&lt;dates&gt;&lt;year&gt;2016&lt;/year&gt;&lt;pub-dates&gt;&lt;date&gt;2016/07/22&lt;/date&gt;&lt;/pub-dates&gt;&lt;/dates&gt;&lt;isbn&gt;1756-8722&lt;/isbn&gt;&lt;urls&gt;&lt;related-urls&gt;&lt;url&gt;https://doi.org/10.1186/s13045-016-0290-1&lt;/url&gt;&lt;/related-urls&gt;&lt;/urls&gt;&lt;electronic-resource-num&gt;10.1186/s13045-016-0290-1&lt;/electronic-resource-num&gt;&lt;/record&gt;&lt;/Cite&gt;&lt;/EndNote&gt;</w:instrText>
      </w:r>
      <w:r w:rsidR="00E669F1" w:rsidRPr="00151EBB">
        <w:rPr>
          <w:rFonts w:ascii="Times New Roman" w:hAnsi="Times New Roman" w:cs="Times New Roman"/>
          <w:sz w:val="28"/>
          <w:szCs w:val="28"/>
        </w:rPr>
        <w:fldChar w:fldCharType="separate"/>
      </w:r>
      <w:r w:rsidR="00E669F1" w:rsidRPr="00151EBB">
        <w:rPr>
          <w:rFonts w:ascii="Times New Roman" w:hAnsi="Times New Roman" w:cs="Times New Roman"/>
          <w:noProof/>
          <w:sz w:val="28"/>
          <w:szCs w:val="28"/>
        </w:rPr>
        <w:t>(1)</w:t>
      </w:r>
      <w:r w:rsidR="00E669F1" w:rsidRPr="00151EBB">
        <w:rPr>
          <w:rFonts w:ascii="Times New Roman" w:hAnsi="Times New Roman" w:cs="Times New Roman"/>
          <w:sz w:val="28"/>
          <w:szCs w:val="28"/>
        </w:rPr>
        <w:fldChar w:fldCharType="end"/>
      </w:r>
      <w:r w:rsidRPr="00151EBB">
        <w:rPr>
          <w:rFonts w:ascii="Times New Roman" w:hAnsi="Times New Roman" w:cs="Times New Roman"/>
          <w:sz w:val="28"/>
          <w:szCs w:val="28"/>
        </w:rPr>
        <w:t xml:space="preserve">, was </w:t>
      </w:r>
      <w:proofErr w:type="spellStart"/>
      <w:r w:rsidRPr="00151EBB">
        <w:rPr>
          <w:rFonts w:ascii="Times New Roman" w:hAnsi="Times New Roman" w:cs="Times New Roman"/>
          <w:sz w:val="28"/>
          <w:szCs w:val="28"/>
        </w:rPr>
        <w:t>analy</w:t>
      </w:r>
      <w:r w:rsidR="0073649E">
        <w:rPr>
          <w:rFonts w:ascii="Times New Roman" w:hAnsi="Times New Roman" w:cs="Times New Roman"/>
          <w:sz w:val="28"/>
          <w:szCs w:val="28"/>
        </w:rPr>
        <w:t>z</w:t>
      </w:r>
      <w:r w:rsidRPr="00151EBB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151EBB">
        <w:rPr>
          <w:rFonts w:ascii="Times New Roman" w:hAnsi="Times New Roman" w:cs="Times New Roman"/>
          <w:sz w:val="28"/>
          <w:szCs w:val="28"/>
        </w:rPr>
        <w:t xml:space="preserve">. </w:t>
      </w:r>
      <w:r w:rsidR="00151EBB" w:rsidRPr="00151EBB">
        <w:rPr>
          <w:rFonts w:ascii="Times New Roman" w:hAnsi="Times New Roman" w:cs="Times New Roman"/>
          <w:sz w:val="28"/>
          <w:szCs w:val="28"/>
        </w:rPr>
        <w:t>C</w:t>
      </w:r>
      <w:r w:rsidR="00E5239C" w:rsidRPr="00151EBB">
        <w:rPr>
          <w:rFonts w:ascii="Times New Roman" w:hAnsi="Times New Roman" w:cs="Times New Roman"/>
          <w:sz w:val="28"/>
          <w:szCs w:val="28"/>
        </w:rPr>
        <w:t xml:space="preserve">ompounds </w:t>
      </w:r>
      <w:r w:rsidR="00151EBB" w:rsidRPr="00151EBB">
        <w:rPr>
          <w:rFonts w:ascii="Times New Roman" w:hAnsi="Times New Roman" w:cs="Times New Roman"/>
          <w:sz w:val="28"/>
          <w:szCs w:val="28"/>
        </w:rPr>
        <w:t>1</w:t>
      </w:r>
      <w:r w:rsidR="00E5239C" w:rsidRPr="00151EBB">
        <w:rPr>
          <w:rFonts w:ascii="Times New Roman" w:hAnsi="Times New Roman" w:cs="Times New Roman"/>
          <w:sz w:val="28"/>
          <w:szCs w:val="28"/>
        </w:rPr>
        <w:t xml:space="preserve">, </w:t>
      </w:r>
      <w:r w:rsidR="00151EBB" w:rsidRPr="00151EBB">
        <w:rPr>
          <w:rFonts w:ascii="Times New Roman" w:hAnsi="Times New Roman" w:cs="Times New Roman"/>
          <w:sz w:val="28"/>
          <w:szCs w:val="28"/>
        </w:rPr>
        <w:t>MUC-</w:t>
      </w:r>
      <w:r w:rsidR="00E5239C" w:rsidRPr="00151EBB">
        <w:rPr>
          <w:rFonts w:ascii="Times New Roman" w:hAnsi="Times New Roman" w:cs="Times New Roman"/>
          <w:sz w:val="28"/>
          <w:szCs w:val="28"/>
        </w:rPr>
        <w:t xml:space="preserve">853, and </w:t>
      </w:r>
      <w:r w:rsidR="00151EBB" w:rsidRPr="00151EBB">
        <w:rPr>
          <w:rFonts w:ascii="Times New Roman" w:hAnsi="Times New Roman" w:cs="Times New Roman"/>
          <w:sz w:val="28"/>
          <w:szCs w:val="28"/>
        </w:rPr>
        <w:t>MUC-</w:t>
      </w:r>
      <w:r w:rsidR="00E5239C" w:rsidRPr="00151EBB">
        <w:rPr>
          <w:rFonts w:ascii="Times New Roman" w:hAnsi="Times New Roman" w:cs="Times New Roman"/>
          <w:sz w:val="28"/>
          <w:szCs w:val="28"/>
        </w:rPr>
        <w:t>858 showed markedly enhanced binding to the mutant relative to wild-type EGFR</w:t>
      </w:r>
      <w:r w:rsidR="00151EBB" w:rsidRPr="00151EBB">
        <w:rPr>
          <w:rFonts w:ascii="Times New Roman" w:hAnsi="Times New Roman" w:cs="Times New Roman"/>
          <w:sz w:val="28"/>
          <w:szCs w:val="28"/>
        </w:rPr>
        <w:t xml:space="preserve"> (Figure 7)</w:t>
      </w:r>
      <w:r w:rsidR="00E5239C" w:rsidRPr="00151EBB">
        <w:rPr>
          <w:rFonts w:ascii="Times New Roman" w:hAnsi="Times New Roman" w:cs="Times New Roman"/>
          <w:sz w:val="28"/>
          <w:szCs w:val="28"/>
        </w:rPr>
        <w:t xml:space="preserve">, with KD values of 0.04 </w:t>
      </w:r>
      <w:proofErr w:type="spellStart"/>
      <w:r w:rsidR="00E5239C" w:rsidRPr="00151EBB">
        <w:rPr>
          <w:rFonts w:ascii="Times New Roman" w:hAnsi="Times New Roman" w:cs="Times New Roman"/>
          <w:sz w:val="28"/>
          <w:szCs w:val="28"/>
        </w:rPr>
        <w:t>μM</w:t>
      </w:r>
      <w:proofErr w:type="spellEnd"/>
      <w:r w:rsidR="00E5239C" w:rsidRPr="00151EBB">
        <w:rPr>
          <w:rFonts w:ascii="Times New Roman" w:hAnsi="Times New Roman" w:cs="Times New Roman"/>
          <w:sz w:val="28"/>
          <w:szCs w:val="28"/>
        </w:rPr>
        <w:t xml:space="preserve">, 6.6 </w:t>
      </w:r>
      <w:proofErr w:type="spellStart"/>
      <w:r w:rsidR="00E5239C" w:rsidRPr="00151EBB">
        <w:rPr>
          <w:rFonts w:ascii="Times New Roman" w:hAnsi="Times New Roman" w:cs="Times New Roman"/>
          <w:sz w:val="28"/>
          <w:szCs w:val="28"/>
        </w:rPr>
        <w:t>μM</w:t>
      </w:r>
      <w:proofErr w:type="spellEnd"/>
      <w:r w:rsidR="00E5239C" w:rsidRPr="00151EBB">
        <w:rPr>
          <w:rFonts w:ascii="Times New Roman" w:hAnsi="Times New Roman" w:cs="Times New Roman"/>
          <w:sz w:val="28"/>
          <w:szCs w:val="28"/>
        </w:rPr>
        <w:t xml:space="preserve">, and 0.2 </w:t>
      </w:r>
      <w:proofErr w:type="spellStart"/>
      <w:r w:rsidR="00E5239C" w:rsidRPr="00151EBB">
        <w:rPr>
          <w:rFonts w:ascii="Times New Roman" w:hAnsi="Times New Roman" w:cs="Times New Roman"/>
          <w:sz w:val="28"/>
          <w:szCs w:val="28"/>
        </w:rPr>
        <w:t>μM</w:t>
      </w:r>
      <w:proofErr w:type="spellEnd"/>
      <w:r w:rsidR="00E5239C" w:rsidRPr="00151EBB">
        <w:rPr>
          <w:rFonts w:ascii="Times New Roman" w:hAnsi="Times New Roman" w:cs="Times New Roman"/>
          <w:sz w:val="28"/>
          <w:szCs w:val="28"/>
        </w:rPr>
        <w:t>, respectively (</w:t>
      </w:r>
      <w:r w:rsidR="00E5239C" w:rsidRPr="00151EBB">
        <w:rPr>
          <w:rFonts w:ascii="Times New Roman" w:hAnsi="Times New Roman" w:cs="Times New Roman"/>
          <w:b/>
          <w:bCs/>
          <w:sz w:val="28"/>
          <w:szCs w:val="28"/>
        </w:rPr>
        <w:t>Figure S3</w:t>
      </w:r>
      <w:r w:rsidR="00E5239C" w:rsidRPr="00151EBB">
        <w:rPr>
          <w:rFonts w:ascii="Times New Roman" w:hAnsi="Times New Roman" w:cs="Times New Roman"/>
          <w:sz w:val="28"/>
          <w:szCs w:val="28"/>
        </w:rPr>
        <w:t>).</w:t>
      </w:r>
      <w:r w:rsidR="00151E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EBB" w:rsidRPr="00151EBB">
        <w:rPr>
          <w:rFonts w:ascii="Times New Roman" w:hAnsi="Times New Roman" w:cs="Times New Roman"/>
          <w:sz w:val="28"/>
          <w:szCs w:val="28"/>
        </w:rPr>
        <w:t>Osimertinib</w:t>
      </w:r>
      <w:proofErr w:type="spellEnd"/>
      <w:r w:rsidR="00151EBB" w:rsidRPr="00151EBB">
        <w:rPr>
          <w:rFonts w:ascii="Times New Roman" w:hAnsi="Times New Roman" w:cs="Times New Roman"/>
          <w:sz w:val="28"/>
          <w:szCs w:val="28"/>
        </w:rPr>
        <w:t xml:space="preserve"> was also evaluated against the mutant EGFR under identical experimental conditions. It exhibited relatively weak binding, with a </w:t>
      </w:r>
      <w:r w:rsidR="00E5239C" w:rsidRPr="00C0017D">
        <w:rPr>
          <w:rFonts w:ascii="Times New Roman" w:hAnsi="Times New Roman" w:cs="Times New Roman"/>
          <w:sz w:val="28"/>
          <w:szCs w:val="28"/>
        </w:rPr>
        <w:t>K</w:t>
      </w:r>
      <w:r w:rsidR="00E5239C" w:rsidRPr="00C0017D">
        <w:rPr>
          <w:rFonts w:ascii="Times New Roman" w:hAnsi="Times New Roman" w:cs="Times New Roman"/>
          <w:sz w:val="28"/>
          <w:szCs w:val="28"/>
          <w:vertAlign w:val="subscript"/>
        </w:rPr>
        <w:t>D</w:t>
      </w:r>
      <w:r w:rsidR="00E5239C" w:rsidRPr="00C0017D">
        <w:rPr>
          <w:rFonts w:ascii="Times New Roman" w:hAnsi="Times New Roman" w:cs="Times New Roman"/>
          <w:sz w:val="28"/>
          <w:szCs w:val="28"/>
        </w:rPr>
        <w:t xml:space="preserve"> of 73.3 M (</w:t>
      </w:r>
      <w:r w:rsidR="00E5239C" w:rsidRPr="00C0017D">
        <w:rPr>
          <w:rFonts w:ascii="Times New Roman" w:hAnsi="Times New Roman" w:cs="Times New Roman"/>
          <w:b/>
          <w:bCs/>
          <w:sz w:val="28"/>
          <w:szCs w:val="28"/>
        </w:rPr>
        <w:t>Figure S3</w:t>
      </w:r>
      <w:r w:rsidR="00E5239C" w:rsidRPr="00C0017D">
        <w:rPr>
          <w:rFonts w:ascii="Times New Roman" w:hAnsi="Times New Roman" w:cs="Times New Roman"/>
          <w:sz w:val="28"/>
          <w:szCs w:val="28"/>
        </w:rPr>
        <w:t>)</w:t>
      </w:r>
      <w:r w:rsidR="00151EBB" w:rsidRPr="00C0017D">
        <w:rPr>
          <w:rFonts w:ascii="Times New Roman" w:hAnsi="Times New Roman" w:cs="Times New Roman"/>
          <w:sz w:val="28"/>
          <w:szCs w:val="28"/>
        </w:rPr>
        <w:t xml:space="preserve">. </w:t>
      </w:r>
      <w:r w:rsidR="00151EBB" w:rsidRPr="00151EBB">
        <w:rPr>
          <w:rFonts w:ascii="Times New Roman" w:hAnsi="Times New Roman" w:cs="Times New Roman"/>
          <w:sz w:val="28"/>
          <w:szCs w:val="28"/>
        </w:rPr>
        <w:t>This finding is consistent with previous reports demonstrating that the C797S mutation confers resistance to third-generation EGFR inhibitors.</w:t>
      </w:r>
    </w:p>
    <w:p w14:paraId="3810CB7B" w14:textId="77777777" w:rsidR="00E5239C" w:rsidRPr="00CE63B0" w:rsidRDefault="00E5239C" w:rsidP="00CE63B0">
      <w:pPr>
        <w:spacing w:after="160" w:line="30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F77D158" w14:textId="710E9C43" w:rsidR="007020B0" w:rsidRPr="003F7A32" w:rsidRDefault="000A7246" w:rsidP="003F7A32">
      <w:pPr>
        <w:rPr>
          <w:rFonts w:ascii="Times New Roman" w:hAnsi="Times New Roman" w:cs="Times New Roman"/>
          <w:sz w:val="24"/>
          <w:szCs w:val="24"/>
        </w:rPr>
      </w:pPr>
      <w:r w:rsidRPr="003F7A3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8DA861" wp14:editId="280C3840">
            <wp:extent cx="5627262" cy="812272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3_SPR_Mutant EGF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8914" cy="812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8316C" w14:textId="2B861ED9" w:rsidR="00E669F1" w:rsidRDefault="00775AC8" w:rsidP="006B64E1">
      <w:pPr>
        <w:spacing w:after="160" w:line="300" w:lineRule="auto"/>
        <w:rPr>
          <w:rFonts w:ascii="Times New Roman" w:hAnsi="Times New Roman" w:cs="Times New Roman"/>
          <w:sz w:val="24"/>
          <w:szCs w:val="24"/>
        </w:rPr>
      </w:pPr>
      <w:r w:rsidRPr="00C9653C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0A7246" w:rsidRPr="00C9653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9653C">
        <w:rPr>
          <w:rFonts w:ascii="Times New Roman" w:hAnsi="Times New Roman" w:cs="Times New Roman"/>
          <w:sz w:val="24"/>
          <w:szCs w:val="24"/>
        </w:rPr>
        <w:t xml:space="preserve">. </w:t>
      </w:r>
      <w:r w:rsidRPr="00C9653C">
        <w:rPr>
          <w:rFonts w:ascii="Times New Roman" w:hAnsi="Times New Roman" w:cs="Times New Roman"/>
          <w:b/>
          <w:bCs/>
          <w:sz w:val="24"/>
          <w:szCs w:val="24"/>
        </w:rPr>
        <w:t>Steady s</w:t>
      </w:r>
      <w:bookmarkStart w:id="0" w:name="_GoBack"/>
      <w:bookmarkEnd w:id="0"/>
      <w:r w:rsidRPr="00C9653C">
        <w:rPr>
          <w:rFonts w:ascii="Times New Roman" w:hAnsi="Times New Roman" w:cs="Times New Roman"/>
          <w:b/>
          <w:bCs/>
          <w:sz w:val="24"/>
          <w:szCs w:val="24"/>
        </w:rPr>
        <w:t xml:space="preserve">tate affinity analysis of compounds against triple mutant EGFR. </w:t>
      </w:r>
      <w:r w:rsidR="001B5FDB" w:rsidRPr="00C9653C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C965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E2F20" w:rsidRPr="00AE2F20">
        <w:rPr>
          <w:rFonts w:ascii="Times New Roman" w:hAnsi="Times New Roman" w:cs="Times New Roman"/>
          <w:sz w:val="24"/>
          <w:szCs w:val="24"/>
        </w:rPr>
        <w:t>Sensorgrams</w:t>
      </w:r>
      <w:proofErr w:type="spellEnd"/>
      <w:r w:rsidR="00AE2F20" w:rsidRPr="00AE2F20">
        <w:rPr>
          <w:rFonts w:ascii="Times New Roman" w:hAnsi="Times New Roman" w:cs="Times New Roman"/>
          <w:sz w:val="24"/>
          <w:szCs w:val="24"/>
        </w:rPr>
        <w:t xml:space="preserve"> show the binding responses following the injection of analytes over a range of concentrations</w:t>
      </w:r>
      <w:r w:rsidRPr="00C9653C">
        <w:rPr>
          <w:rFonts w:ascii="Times New Roman" w:hAnsi="Times New Roman" w:cs="Times New Roman"/>
          <w:sz w:val="24"/>
          <w:szCs w:val="24"/>
        </w:rPr>
        <w:t>.</w:t>
      </w:r>
      <w:r w:rsidRPr="00C965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583E" w:rsidRPr="00C9653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B5FDB" w:rsidRPr="00C9653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9653C">
        <w:rPr>
          <w:rFonts w:ascii="Times New Roman" w:hAnsi="Times New Roman" w:cs="Times New Roman"/>
          <w:sz w:val="24"/>
          <w:szCs w:val="24"/>
        </w:rPr>
        <w:t>Steady-state analyses</w:t>
      </w:r>
      <w:r w:rsidR="00E550C0">
        <w:rPr>
          <w:rFonts w:ascii="Times New Roman" w:hAnsi="Times New Roman" w:cs="Times New Roman"/>
          <w:sz w:val="24"/>
          <w:szCs w:val="24"/>
        </w:rPr>
        <w:t>.</w:t>
      </w:r>
    </w:p>
    <w:p w14:paraId="203F9C4F" w14:textId="51A81552" w:rsidR="00E669F1" w:rsidRPr="0018090B" w:rsidRDefault="0018090B" w:rsidP="006B64E1">
      <w:pPr>
        <w:spacing w:after="160" w:line="30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090B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</w:t>
      </w:r>
    </w:p>
    <w:p w14:paraId="43DACD2F" w14:textId="77777777" w:rsidR="00E669F1" w:rsidRPr="00E669F1" w:rsidRDefault="00E669F1" w:rsidP="00E669F1">
      <w:pPr>
        <w:pStyle w:val="EndNoteBibliography"/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E669F1">
        <w:rPr>
          <w:noProof/>
        </w:rPr>
        <w:t>1.</w:t>
      </w:r>
      <w:r w:rsidRPr="00E669F1">
        <w:rPr>
          <w:noProof/>
        </w:rPr>
        <w:tab/>
        <w:t>Wang S, Tsui ST, Liu C, Song Y, Liu D. EGFR C797S mutation mediates resistance to third-generation inhibitors in T790M-positive non-small cell lung cancer. Journal of Hematology &amp; Oncology. 2016;9(1):59.</w:t>
      </w:r>
    </w:p>
    <w:p w14:paraId="01EE64AF" w14:textId="540AF80C" w:rsidR="00775AC8" w:rsidRPr="003F7A32" w:rsidRDefault="00E669F1" w:rsidP="006B64E1">
      <w:pPr>
        <w:spacing w:after="16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775AC8" w:rsidRPr="003F7A32" w:rsidSect="004D7C6E">
      <w:pgSz w:w="11900" w:h="16840"/>
      <w:pgMar w:top="1440" w:right="1440" w:bottom="1440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mirrorMargins/>
  <w:proofState w:spelling="clean" w:grammar="clean"/>
  <w:defaultTabStop w:val="720"/>
  <w:evenAndOddHeaders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wsaxz5pusts98esa0dvp2dozx292rff5dr9&quot;&gt;Amm_MO&lt;record-ids&gt;&lt;item&gt;139&lt;/item&gt;&lt;/record-ids&gt;&lt;/item&gt;&lt;/Libraries&gt;"/>
  </w:docVars>
  <w:rsids>
    <w:rsidRoot w:val="00775AC8"/>
    <w:rsid w:val="00003B8F"/>
    <w:rsid w:val="0000704B"/>
    <w:rsid w:val="0002328E"/>
    <w:rsid w:val="000610A3"/>
    <w:rsid w:val="00087DD6"/>
    <w:rsid w:val="00091182"/>
    <w:rsid w:val="000A3EA2"/>
    <w:rsid w:val="000A7246"/>
    <w:rsid w:val="000B5564"/>
    <w:rsid w:val="000D463A"/>
    <w:rsid w:val="000F43F4"/>
    <w:rsid w:val="000F67FA"/>
    <w:rsid w:val="00104886"/>
    <w:rsid w:val="00122B85"/>
    <w:rsid w:val="00124162"/>
    <w:rsid w:val="001267B0"/>
    <w:rsid w:val="00151EBB"/>
    <w:rsid w:val="00152A63"/>
    <w:rsid w:val="0018090B"/>
    <w:rsid w:val="0018255B"/>
    <w:rsid w:val="0018583E"/>
    <w:rsid w:val="00187E19"/>
    <w:rsid w:val="0019643C"/>
    <w:rsid w:val="001A2044"/>
    <w:rsid w:val="001A5D1D"/>
    <w:rsid w:val="001B0697"/>
    <w:rsid w:val="001B5B0A"/>
    <w:rsid w:val="001B5FDB"/>
    <w:rsid w:val="001C3920"/>
    <w:rsid w:val="001F4C2D"/>
    <w:rsid w:val="002034D2"/>
    <w:rsid w:val="00222D87"/>
    <w:rsid w:val="00254060"/>
    <w:rsid w:val="00257EE0"/>
    <w:rsid w:val="00280544"/>
    <w:rsid w:val="00281ECE"/>
    <w:rsid w:val="00293911"/>
    <w:rsid w:val="002A134F"/>
    <w:rsid w:val="002B1C55"/>
    <w:rsid w:val="002D553C"/>
    <w:rsid w:val="002D72D6"/>
    <w:rsid w:val="002F5470"/>
    <w:rsid w:val="003108EE"/>
    <w:rsid w:val="003278A4"/>
    <w:rsid w:val="00332BCD"/>
    <w:rsid w:val="003406E3"/>
    <w:rsid w:val="00357B11"/>
    <w:rsid w:val="00374A39"/>
    <w:rsid w:val="003912B3"/>
    <w:rsid w:val="0039530D"/>
    <w:rsid w:val="00395B93"/>
    <w:rsid w:val="003A6B00"/>
    <w:rsid w:val="003D1230"/>
    <w:rsid w:val="003E41B0"/>
    <w:rsid w:val="003F7A32"/>
    <w:rsid w:val="0040114B"/>
    <w:rsid w:val="0040247F"/>
    <w:rsid w:val="00402F75"/>
    <w:rsid w:val="00404003"/>
    <w:rsid w:val="00410CB4"/>
    <w:rsid w:val="00445210"/>
    <w:rsid w:val="004477A6"/>
    <w:rsid w:val="00464A3B"/>
    <w:rsid w:val="004679F9"/>
    <w:rsid w:val="00482C54"/>
    <w:rsid w:val="004830C9"/>
    <w:rsid w:val="00494857"/>
    <w:rsid w:val="00495D9C"/>
    <w:rsid w:val="00497110"/>
    <w:rsid w:val="004A48B3"/>
    <w:rsid w:val="004A599F"/>
    <w:rsid w:val="004C0053"/>
    <w:rsid w:val="004D310B"/>
    <w:rsid w:val="004D7C6E"/>
    <w:rsid w:val="004E7DE4"/>
    <w:rsid w:val="004F7ABC"/>
    <w:rsid w:val="00505531"/>
    <w:rsid w:val="00514845"/>
    <w:rsid w:val="00524343"/>
    <w:rsid w:val="00524BF4"/>
    <w:rsid w:val="005312A4"/>
    <w:rsid w:val="00554818"/>
    <w:rsid w:val="00571EB6"/>
    <w:rsid w:val="0057718B"/>
    <w:rsid w:val="00577AD2"/>
    <w:rsid w:val="005941B9"/>
    <w:rsid w:val="005A3475"/>
    <w:rsid w:val="005C7A68"/>
    <w:rsid w:val="005E7E65"/>
    <w:rsid w:val="005F04CC"/>
    <w:rsid w:val="005F43CA"/>
    <w:rsid w:val="00601714"/>
    <w:rsid w:val="006075F2"/>
    <w:rsid w:val="00612228"/>
    <w:rsid w:val="00640853"/>
    <w:rsid w:val="00651945"/>
    <w:rsid w:val="0065440B"/>
    <w:rsid w:val="0065740E"/>
    <w:rsid w:val="00665635"/>
    <w:rsid w:val="00674DE8"/>
    <w:rsid w:val="00681516"/>
    <w:rsid w:val="006B64E1"/>
    <w:rsid w:val="006C45BA"/>
    <w:rsid w:val="006E0C5E"/>
    <w:rsid w:val="006E2AA2"/>
    <w:rsid w:val="006E379B"/>
    <w:rsid w:val="007020B0"/>
    <w:rsid w:val="00727DDE"/>
    <w:rsid w:val="00733BC2"/>
    <w:rsid w:val="0073649E"/>
    <w:rsid w:val="0074647D"/>
    <w:rsid w:val="007670FF"/>
    <w:rsid w:val="0076725F"/>
    <w:rsid w:val="00770E94"/>
    <w:rsid w:val="00775AC8"/>
    <w:rsid w:val="00793EBB"/>
    <w:rsid w:val="007A7716"/>
    <w:rsid w:val="007A7C40"/>
    <w:rsid w:val="00803C5A"/>
    <w:rsid w:val="008121B5"/>
    <w:rsid w:val="00814725"/>
    <w:rsid w:val="00840A1E"/>
    <w:rsid w:val="00842955"/>
    <w:rsid w:val="00845395"/>
    <w:rsid w:val="0085723E"/>
    <w:rsid w:val="0086084B"/>
    <w:rsid w:val="00861F8A"/>
    <w:rsid w:val="00870AD2"/>
    <w:rsid w:val="00877138"/>
    <w:rsid w:val="008B3145"/>
    <w:rsid w:val="008D61EB"/>
    <w:rsid w:val="008F6905"/>
    <w:rsid w:val="009034F3"/>
    <w:rsid w:val="00914AA2"/>
    <w:rsid w:val="00964264"/>
    <w:rsid w:val="00966FF5"/>
    <w:rsid w:val="0097681B"/>
    <w:rsid w:val="009971C1"/>
    <w:rsid w:val="009A7647"/>
    <w:rsid w:val="009B384E"/>
    <w:rsid w:val="00A00C88"/>
    <w:rsid w:val="00A13482"/>
    <w:rsid w:val="00A33A05"/>
    <w:rsid w:val="00A33DEF"/>
    <w:rsid w:val="00A71204"/>
    <w:rsid w:val="00A74D71"/>
    <w:rsid w:val="00A755AF"/>
    <w:rsid w:val="00A7624D"/>
    <w:rsid w:val="00A77F47"/>
    <w:rsid w:val="00A8764A"/>
    <w:rsid w:val="00AA0CF0"/>
    <w:rsid w:val="00AA119C"/>
    <w:rsid w:val="00AA178C"/>
    <w:rsid w:val="00AD7634"/>
    <w:rsid w:val="00AE2F20"/>
    <w:rsid w:val="00AF12EA"/>
    <w:rsid w:val="00B131DF"/>
    <w:rsid w:val="00B41482"/>
    <w:rsid w:val="00B4231D"/>
    <w:rsid w:val="00B472AF"/>
    <w:rsid w:val="00B57582"/>
    <w:rsid w:val="00B61C5E"/>
    <w:rsid w:val="00BC4822"/>
    <w:rsid w:val="00BE4BCF"/>
    <w:rsid w:val="00BE4FCF"/>
    <w:rsid w:val="00C0017D"/>
    <w:rsid w:val="00C123FB"/>
    <w:rsid w:val="00C3770C"/>
    <w:rsid w:val="00C5070F"/>
    <w:rsid w:val="00C64CB4"/>
    <w:rsid w:val="00C75766"/>
    <w:rsid w:val="00C871F0"/>
    <w:rsid w:val="00C957DD"/>
    <w:rsid w:val="00C9653C"/>
    <w:rsid w:val="00CA2BB9"/>
    <w:rsid w:val="00CB7BEE"/>
    <w:rsid w:val="00CD5386"/>
    <w:rsid w:val="00CD67A3"/>
    <w:rsid w:val="00CE63B0"/>
    <w:rsid w:val="00CE7E08"/>
    <w:rsid w:val="00CF6429"/>
    <w:rsid w:val="00D5727D"/>
    <w:rsid w:val="00D604E2"/>
    <w:rsid w:val="00D861F6"/>
    <w:rsid w:val="00D9731A"/>
    <w:rsid w:val="00DA7FAE"/>
    <w:rsid w:val="00DC0371"/>
    <w:rsid w:val="00E003F3"/>
    <w:rsid w:val="00E12768"/>
    <w:rsid w:val="00E21F00"/>
    <w:rsid w:val="00E223BE"/>
    <w:rsid w:val="00E2306A"/>
    <w:rsid w:val="00E237FF"/>
    <w:rsid w:val="00E3139B"/>
    <w:rsid w:val="00E33996"/>
    <w:rsid w:val="00E5239C"/>
    <w:rsid w:val="00E550C0"/>
    <w:rsid w:val="00E578E1"/>
    <w:rsid w:val="00E66693"/>
    <w:rsid w:val="00E669F1"/>
    <w:rsid w:val="00E763F3"/>
    <w:rsid w:val="00E86124"/>
    <w:rsid w:val="00E96479"/>
    <w:rsid w:val="00EA27B8"/>
    <w:rsid w:val="00EA50A1"/>
    <w:rsid w:val="00EB23EF"/>
    <w:rsid w:val="00EB2F72"/>
    <w:rsid w:val="00ED2B24"/>
    <w:rsid w:val="00EE1E69"/>
    <w:rsid w:val="00EE1F59"/>
    <w:rsid w:val="00EE75D0"/>
    <w:rsid w:val="00F173FB"/>
    <w:rsid w:val="00F23F37"/>
    <w:rsid w:val="00F419D4"/>
    <w:rsid w:val="00F4733B"/>
    <w:rsid w:val="00F7068E"/>
    <w:rsid w:val="00F713CD"/>
    <w:rsid w:val="00F725A1"/>
    <w:rsid w:val="00F72CE3"/>
    <w:rsid w:val="00F92CF3"/>
    <w:rsid w:val="00FB15F9"/>
    <w:rsid w:val="00FB34DB"/>
    <w:rsid w:val="00FB36DE"/>
    <w:rsid w:val="00FB4066"/>
    <w:rsid w:val="00FB59B0"/>
    <w:rsid w:val="00FC41D5"/>
    <w:rsid w:val="00FD46F3"/>
    <w:rsid w:val="00FE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309A0"/>
  <w15:chartTrackingRefBased/>
  <w15:docId w15:val="{3A080335-20ED-3747-82D8-8FEF72995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5AC8"/>
    <w:rPr>
      <w:rFonts w:ascii="Arial" w:eastAsia="Arial" w:hAnsi="Arial" w:cs="Angsana New"/>
      <w:sz w:val="22"/>
      <w:szCs w:val="22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7A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B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F7A32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val="en-GB"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E669F1"/>
    <w:pPr>
      <w:jc w:val="center"/>
    </w:pPr>
    <w:rPr>
      <w:rFonts w:cs="Ari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669F1"/>
    <w:rPr>
      <w:rFonts w:ascii="Arial" w:eastAsia="Arial" w:hAnsi="Arial" w:cs="Arial"/>
      <w:sz w:val="22"/>
      <w:szCs w:val="22"/>
      <w:lang w:val="en-GB" w:eastAsia="zh-CN"/>
    </w:rPr>
  </w:style>
  <w:style w:type="paragraph" w:customStyle="1" w:styleId="EndNoteBibliography">
    <w:name w:val="EndNote Bibliography"/>
    <w:basedOn w:val="Normal"/>
    <w:link w:val="EndNoteBibliographyChar"/>
    <w:rsid w:val="00E669F1"/>
    <w:rPr>
      <w:rFonts w:cs="Arial"/>
    </w:rPr>
  </w:style>
  <w:style w:type="character" w:customStyle="1" w:styleId="EndNoteBibliographyChar">
    <w:name w:val="EndNote Bibliography Char"/>
    <w:basedOn w:val="DefaultParagraphFont"/>
    <w:link w:val="EndNoteBibliography"/>
    <w:rsid w:val="00E669F1"/>
    <w:rPr>
      <w:rFonts w:ascii="Arial" w:eastAsia="Arial" w:hAnsi="Arial" w:cs="Arial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8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2026-07-12T09:30:00Z</dcterms:created>
  <dcterms:modified xsi:type="dcterms:W3CDTF">2026-07-12T09:30:00Z</dcterms:modified>
</cp:coreProperties>
</file>