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Supplementary File 4</w:t>
        <w:br/>
        <w:t>Risk of Bias Tables</w:t>
      </w:r>
    </w:p>
    <w:p>
      <w:pPr>
        <w:pStyle w:val="Heading2"/>
      </w:pPr>
      <w:r>
        <w:t>Table 1. Cochrane RoB 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Study</w:t>
            </w:r>
          </w:p>
        </w:tc>
        <w:tc>
          <w:tcPr>
            <w:tcW w:type="dxa" w:w="1440"/>
          </w:tcPr>
          <w:p>
            <w:r>
              <w:t>Randomization</w:t>
            </w:r>
          </w:p>
        </w:tc>
        <w:tc>
          <w:tcPr>
            <w:tcW w:type="dxa" w:w="1440"/>
          </w:tcPr>
          <w:p>
            <w:r>
              <w:t>Deviations</w:t>
            </w:r>
          </w:p>
        </w:tc>
        <w:tc>
          <w:tcPr>
            <w:tcW w:type="dxa" w:w="1440"/>
          </w:tcPr>
          <w:p>
            <w:r>
              <w:t>Missing Data</w:t>
            </w:r>
          </w:p>
        </w:tc>
        <w:tc>
          <w:tcPr>
            <w:tcW w:type="dxa" w:w="1440"/>
          </w:tcPr>
          <w:p>
            <w:r>
              <w:t>Outcome Measurement</w:t>
            </w:r>
          </w:p>
        </w:tc>
        <w:tc>
          <w:tcPr>
            <w:tcW w:type="dxa" w:w="1440"/>
          </w:tcPr>
          <w:p>
            <w:r>
              <w:t>Overall Risk</w:t>
            </w:r>
          </w:p>
        </w:tc>
      </w:tr>
      <w:tr>
        <w:tc>
          <w:tcPr>
            <w:tcW w:type="dxa" w:w="1440"/>
          </w:tcPr>
          <w:p>
            <w:r>
              <w:t>Zinman et al. 2015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</w:tr>
      <w:tr>
        <w:tc>
          <w:tcPr>
            <w:tcW w:type="dxa" w:w="1440"/>
          </w:tcPr>
          <w:p>
            <w:r>
              <w:t>Neal et al. 2017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</w:tr>
      <w:tr>
        <w:tc>
          <w:tcPr>
            <w:tcW w:type="dxa" w:w="1440"/>
          </w:tcPr>
          <w:p>
            <w:r>
              <w:t>Wiviott et al. 2019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  <w:tc>
          <w:tcPr>
            <w:tcW w:type="dxa" w:w="1440"/>
          </w:tcPr>
          <w:p>
            <w:r>
              <w:t>Low</w:t>
            </w:r>
          </w:p>
        </w:tc>
      </w:tr>
    </w:tbl>
    <w:p>
      <w:pPr>
        <w:pStyle w:val="Heading2"/>
      </w:pPr>
      <w:r>
        <w:t>Table 2. Newcastle-Ottawa Scale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Study</w:t>
            </w:r>
          </w:p>
        </w:tc>
        <w:tc>
          <w:tcPr>
            <w:tcW w:type="dxa" w:w="1440"/>
          </w:tcPr>
          <w:p>
            <w:r>
              <w:t>Selection</w:t>
            </w:r>
          </w:p>
        </w:tc>
        <w:tc>
          <w:tcPr>
            <w:tcW w:type="dxa" w:w="1440"/>
          </w:tcPr>
          <w:p>
            <w:r>
              <w:t>Comparability</w:t>
            </w:r>
          </w:p>
        </w:tc>
        <w:tc>
          <w:tcPr>
            <w:tcW w:type="dxa" w:w="1440"/>
          </w:tcPr>
          <w:p>
            <w:r>
              <w:t>Outcome</w:t>
            </w:r>
          </w:p>
        </w:tc>
        <w:tc>
          <w:tcPr>
            <w:tcW w:type="dxa" w:w="1440"/>
          </w:tcPr>
          <w:p>
            <w:r>
              <w:t>Total</w:t>
            </w:r>
          </w:p>
        </w:tc>
        <w:tc>
          <w:tcPr>
            <w:tcW w:type="dxa" w:w="1440"/>
          </w:tcPr>
          <w:p>
            <w:r>
              <w:t>Quality</w:t>
            </w:r>
          </w:p>
        </w:tc>
      </w:tr>
      <w:tr>
        <w:tc>
          <w:tcPr>
            <w:tcW w:type="dxa" w:w="1440"/>
          </w:tcPr>
          <w:p>
            <w:r>
              <w:t>Bersoff-Matcha et al. 2019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</w:tr>
      <w:tr>
        <w:tc>
          <w:tcPr>
            <w:tcW w:type="dxa" w:w="1440"/>
          </w:tcPr>
          <w:p>
            <w:r>
              <w:t>Kridin &amp; Bergman 2018</w:t>
            </w:r>
          </w:p>
        </w:tc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9</w:t>
            </w:r>
          </w:p>
        </w:tc>
        <w:tc>
          <w:tcPr>
            <w:tcW w:type="dxa" w:w="1440"/>
          </w:tcPr>
          <w:p>
            <w:r>
              <w:t>Excellent</w:t>
            </w:r>
          </w:p>
        </w:tc>
      </w:tr>
      <w:tr>
        <w:tc>
          <w:tcPr>
            <w:tcW w:type="dxa" w:w="1440"/>
          </w:tcPr>
          <w:p>
            <w:r>
              <w:t>Hu et al. 2020</w:t>
            </w:r>
          </w:p>
        </w:tc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7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</w:tr>
    </w:tbl>
    <w:p>
      <w:pPr>
        <w:pStyle w:val="Heading2"/>
      </w:pPr>
      <w:r>
        <w:t>Table 3. JBI Critical Appraisal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Study</w:t>
            </w:r>
          </w:p>
        </w:tc>
        <w:tc>
          <w:tcPr>
            <w:tcW w:type="dxa" w:w="2880"/>
          </w:tcPr>
          <w:p>
            <w:r>
              <w:t>Score</w:t>
            </w:r>
          </w:p>
        </w:tc>
        <w:tc>
          <w:tcPr>
            <w:tcW w:type="dxa" w:w="2880"/>
          </w:tcPr>
          <w:p>
            <w:r>
              <w:t>Overall</w:t>
            </w:r>
          </w:p>
        </w:tc>
      </w:tr>
      <w:tr>
        <w:tc>
          <w:tcPr>
            <w:tcW w:type="dxa" w:w="2880"/>
          </w:tcPr>
          <w:p>
            <w:r>
              <w:t>Lee &amp; Park 2024</w:t>
            </w:r>
          </w:p>
        </w:tc>
        <w:tc>
          <w:tcPr>
            <w:tcW w:type="dxa" w:w="2880"/>
          </w:tcPr>
          <w:p>
            <w:r>
              <w:t>8/10</w:t>
            </w:r>
          </w:p>
        </w:tc>
        <w:tc>
          <w:tcPr>
            <w:tcW w:type="dxa" w:w="2880"/>
          </w:tcPr>
          <w:p>
            <w:r>
              <w:t>Low risk</w:t>
            </w:r>
          </w:p>
        </w:tc>
      </w:tr>
      <w:tr>
        <w:tc>
          <w:tcPr>
            <w:tcW w:type="dxa" w:w="2880"/>
          </w:tcPr>
          <w:p>
            <w:r>
              <w:t>Garcia et al. 2025</w:t>
            </w:r>
          </w:p>
        </w:tc>
        <w:tc>
          <w:tcPr>
            <w:tcW w:type="dxa" w:w="2880"/>
          </w:tcPr>
          <w:p>
            <w:r>
              <w:t>8/10</w:t>
            </w:r>
          </w:p>
        </w:tc>
        <w:tc>
          <w:tcPr>
            <w:tcW w:type="dxa" w:w="2880"/>
          </w:tcPr>
          <w:p>
            <w:r>
              <w:t>Low risk</w:t>
            </w:r>
          </w:p>
        </w:tc>
      </w:tr>
      <w:tr>
        <w:tc>
          <w:tcPr>
            <w:tcW w:type="dxa" w:w="2880"/>
          </w:tcPr>
          <w:p>
            <w:r>
              <w:t>Patel et al. 2023</w:t>
            </w:r>
          </w:p>
        </w:tc>
        <w:tc>
          <w:tcPr>
            <w:tcW w:type="dxa" w:w="2880"/>
          </w:tcPr>
          <w:p>
            <w:r>
              <w:t>7/10</w:t>
            </w:r>
          </w:p>
        </w:tc>
        <w:tc>
          <w:tcPr>
            <w:tcW w:type="dxa" w:w="2880"/>
          </w:tcPr>
          <w:p>
            <w:r>
              <w:t>Moderate risk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