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PRISMA 2020 for Abstracts Checklist</w:t>
      </w:r>
    </w:p>
    <w:p>
      <w:r>
        <w:t>Completed for the systematic review manuscript.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Checklist item</w:t>
            </w:r>
          </w:p>
        </w:tc>
        <w:tc>
          <w:tcPr>
            <w:tcW w:type="dxa" w:w="2160"/>
          </w:tcPr>
          <w:p>
            <w:r>
              <w:t>Reported</w:t>
            </w:r>
          </w:p>
        </w:tc>
        <w:tc>
          <w:tcPr>
            <w:tcW w:type="dxa" w:w="2160"/>
          </w:tcPr>
          <w:p>
            <w:r>
              <w:t>Details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Title includes "Systematic Review"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Objectives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Objective states characterization of phenotypes, time-to-onset profiles, and management strategies.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Eligibility criteria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PICOS framework described.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Information sources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PubMed, EMBASE, Scopus, and Google Scholar (2020–2026).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Risk of bias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RoB 2, Newcastle–Ottawa Scale, and JBI checklists.</w:t>
            </w:r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Synthesis methods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Narrative synthesis; no meta-analysis due to heterogeneity.</w:t>
            </w:r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Included studies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42 studies; 18,432 patients.</w:t>
            </w:r>
          </w:p>
        </w:tc>
      </w:tr>
      <w:tr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Main results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Results summarized by phenotype categories.</w:t>
            </w:r>
          </w:p>
        </w:tc>
      </w:tr>
      <w:tr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Limitations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Limitations summarized in the abstract.</w:t>
            </w:r>
          </w:p>
        </w:tc>
      </w:tr>
      <w:tr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Conclusions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Phenotype-guided management and vigilance recommended.</w:t>
            </w:r>
          </w:p>
        </w:tc>
      </w:tr>
      <w:tr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Funding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 funding received.</w:t>
            </w:r>
          </w:p>
        </w:tc>
      </w:tr>
      <w:tr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Registration</w:t>
            </w:r>
          </w:p>
        </w:tc>
        <w:tc>
          <w:tcPr>
            <w:tcW w:type="dxa" w:w="2160"/>
          </w:tcPr>
          <w:p>
            <w:r>
              <w:t>Yes</w:t>
            </w:r>
          </w:p>
        </w:tc>
        <w:tc>
          <w:tcPr>
            <w:tcW w:type="dxa" w:w="2160"/>
          </w:tcPr>
          <w:p>
            <w:r>
              <w:t>Not registered; explained in Methods.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