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Supplementary File 2</w:t>
        <w:br/>
        <w:t>PRISMA 2020 Flow Diagram</w:t>
      </w:r>
    </w:p>
    <w:p>
      <w:r>
        <w:t>PRISMA 2020 flow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Databases identified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Other sources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After duplicates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Screened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Excluded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Full-text assessed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Full-text excluded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 xml:space="preserve"> - Not original data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 xml:space="preserve"> - No explicit SGLT2i CARs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 xml:space="preserve"> - Duplicate cohorts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 xml:space="preserve"> - Non-English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Included studies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Meta-analysis</w:t>
            </w:r>
          </w:p>
        </w:tc>
        <w:tc>
          <w:tcPr>
            <w:tcW w:type="dxa" w:w="4320"/>
          </w:tcPr>
          <w:p>
            <w:r>
              <w:t>0 (not applicable)</w:t>
            </w:r>
          </w:p>
        </w:tc>
      </w:tr>
    </w:tbl>
    <w:p>
      <w:r>
        <w:br/>
        <w:t>Figure 1. PRISMA 2020 flow diagram showing the study selection process for the systematic review of SGLT2 inhibitor-induced cutaneous adverse reactions.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