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PRISMA 2020 Checklist</w:t>
      </w:r>
    </w:p>
    <w:p>
      <w:r>
        <w:t xml:space="preserve">Systematic Review: </w:t>
      </w:r>
      <w:r>
        <w:rPr>
          <w:b/>
        </w:rPr>
        <w:t>Sodium-Glucose Cotransporter-2 Inhibitors and Cutaneous Adverse Reactions: A Systematic Review of Clinical Phenotypes, Time-to-Onset Profiles, and Management Strategies (2020–2026)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Section</w:t>
            </w:r>
          </w:p>
        </w:tc>
        <w:tc>
          <w:tcPr>
            <w:tcW w:type="dxa" w:w="2160"/>
          </w:tcPr>
          <w:p>
            <w:r>
              <w:t>Reported</w:t>
            </w:r>
          </w:p>
        </w:tc>
        <w:tc>
          <w:tcPr>
            <w:tcW w:type="dxa" w:w="2160"/>
          </w:tcPr>
          <w:p>
            <w:r>
              <w:t>Location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Title page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Abstract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Abstract section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Rationale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Introduction, paragraphs 1–2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Objectives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Introduction, final paragraph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Eligibility criteria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2.3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Information sources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2.2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Search strategy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2.2 + Supplementary File 3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Selection process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Data collection process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Data items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Risk of bias assessment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2.5 + Supplementary File 4</w:t>
            </w:r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Effect measures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Synthesis methods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Certainty assessment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Study selection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3.1 + Supplementary File 2</w:t>
            </w:r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Study characteristics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3.1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Risk of bias in studies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Supplementary File 4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Results of individual studies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3.3–3.5</w:t>
            </w:r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Synthesis of results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3.3–3.5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Certainty of evidence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 4.3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Interpretation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 4.1–4.2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Limitations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 4.3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Conclusions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Conclusion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Registration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2.1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Competing interests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Conflict of Interest</w:t>
            </w:r>
          </w:p>
        </w:tc>
      </w:tr>
      <w:tr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Funding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Funding</w:t>
            </w:r>
          </w:p>
        </w:tc>
      </w:tr>
      <w:tr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Data availability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Supplementary Files 1–4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